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p>
      <w:pPr>
        <w:pStyle w:val="TextBody"/>
        <w:bidi w:val="0"/>
        <w:spacing w:lineRule="auto" w:line="288" w:before="160" w:after="283"/>
        <w:jc w:val="center"/>
        <w:rPr/>
      </w:pPr>
      <w:r>
        <w:rPr>
          <w:rFonts w:ascii="Times New Roman;serif" w:hAnsi="Times New Roman;serif"/>
          <w:b/>
          <w:color w:val="000000"/>
          <w:sz w:val="26"/>
        </w:rPr>
        <w:t>FORM 10-Q</w:t>
      </w:r>
      <w:r>
        <w:rPr>
          <w:color w:val="000000"/>
        </w:rPr>
        <w:t xml:space="preserve">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w:t>
      </w:r>
    </w:p>
    <w:tbl>
      <w:tblPr>
        <w:tblW w:w="9810" w:type="dxa"/>
        <w:jc w:val="center"/>
        <w:tblInd w:w="0" w:type="dxa"/>
        <w:tblLayout w:type="fixed"/>
        <w:tblCellMar>
          <w:top w:w="28" w:type="dxa"/>
          <w:left w:w="28" w:type="dxa"/>
          <w:bottom w:w="28" w:type="dxa"/>
          <w:right w:w="28" w:type="dxa"/>
        </w:tblCellMar>
      </w:tblPr>
      <w:tblGrid>
        <w:gridCol w:w="141"/>
        <w:gridCol w:w="124"/>
        <w:gridCol w:w="126"/>
        <w:gridCol w:w="2759"/>
        <w:gridCol w:w="2759"/>
        <w:gridCol w:w="390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March 31, 2026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8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001-37806</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TWILIO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101 Spear Street, Fifth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San Francisco, California 94105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(415) 390-2337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w:t>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12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As of April 17, 2026, 151,773,860 shares of the registrant’s Class A common stock were outstanding.</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40" w:after="283"/>
        <w:jc w:val="left"/>
        <w:rPr/>
      </w:pPr>
      <w:r>
        <w:rPr/>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No</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6"/>
        <w:gridCol w:w="252"/>
        <w:gridCol w:w="253"/>
        <w:gridCol w:w="2955"/>
        <w:gridCol w:w="2955"/>
        <w:gridCol w:w="2961"/>
        <w:gridCol w:w="158"/>
        <w:gridCol w:w="158"/>
        <w:gridCol w:w="227"/>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719abdc9144394bf517258d751d88c_19">
              <w:r>
                <w:rPr>
                  <w:rStyle w:val="InternetLink"/>
                  <w:rFonts w:ascii="Times New Roman;serif" w:hAnsi="Times New Roman;serif"/>
                  <w:b/>
                  <w:color w:val="0000FF"/>
                  <w:sz w:val="18"/>
                  <w:u w:val="single"/>
                </w:rPr>
                <w:t>PART I - FINANCIAL INFORMATION</w:t>
              </w:r>
            </w:hyperlink>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67">
              <w:r>
                <w:rPr>
                  <w:rStyle w:val="InternetLink"/>
                  <w:rFonts w:ascii="Times New Roman;serif" w:hAnsi="Times New Roman;serif"/>
                  <w:b w:val="false"/>
                  <w:color w:val="0000FF"/>
                  <w:sz w:val="20"/>
                  <w:u w:val="single"/>
                </w:rPr>
                <w:t>Item 1.</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67">
              <w:r>
                <w:rPr>
                  <w:rStyle w:val="InternetLink"/>
                  <w:rFonts w:ascii="Times New Roman;serif" w:hAnsi="Times New Roman;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67">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0">
              <w:r>
                <w:rPr>
                  <w:rStyle w:val="InternetLink"/>
                  <w:rFonts w:ascii="Times New Roman;serif" w:hAnsi="Times New Roman;serif"/>
                  <w:b w:val="false"/>
                  <w:color w:val="000080"/>
                  <w:sz w:val="20"/>
                  <w:u w:val="single"/>
                </w:rPr>
                <w:t xml:space="preserve">Condensed Consolidated Balance Sheets as of </w:t>
              </w:r>
            </w:hyperlink>
            <w:hyperlink w:anchor="i43719abdc9144394bf517258d751d88c_70">
              <w:r>
                <w:rPr>
                  <w:rStyle w:val="InternetLink"/>
                  <w:rFonts w:ascii="Times New Roman;serif" w:hAnsi="Times New Roman;serif"/>
                  <w:b w:val="false"/>
                  <w:color w:val="000080"/>
                  <w:sz w:val="20"/>
                  <w:u w:val="single"/>
                </w:rPr>
                <w:t>March 31, 2026</w:t>
              </w:r>
            </w:hyperlink>
            <w:hyperlink w:anchor="i43719abdc9144394bf517258d751d88c_70">
              <w:r>
                <w:rPr>
                  <w:rStyle w:val="InternetLink"/>
                  <w:rFonts w:ascii="Times New Roman;serif" w:hAnsi="Times New Roman;serif"/>
                  <w:b w:val="false"/>
                  <w:color w:val="000080"/>
                  <w:sz w:val="20"/>
                  <w:u w:val="single"/>
                </w:rPr>
                <w:t xml:space="preserve"> and December 31, 202</w:t>
              </w:r>
            </w:hyperlink>
            <w:hyperlink w:anchor="i43719abdc9144394bf517258d751d88c_70">
              <w:r>
                <w:rPr>
                  <w:rStyle w:val="InternetLink"/>
                  <w:rFonts w:ascii="Times New Roman;serif" w:hAnsi="Times New Roman;serif"/>
                  <w:b w:val="false"/>
                  <w:color w:val="000080"/>
                  <w:sz w:val="20"/>
                  <w:u w:val="single"/>
                </w:rPr>
                <w:t>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0">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3">
              <w:r>
                <w:rPr>
                  <w:rStyle w:val="InternetLink"/>
                  <w:rFonts w:ascii="Times New Roman;serif" w:hAnsi="Times New Roman;serif"/>
                  <w:b w:val="false"/>
                  <w:color w:val="000080"/>
                  <w:sz w:val="20"/>
                  <w:u w:val="single"/>
                </w:rPr>
                <w:t>Condensed Consolidated Statements of Operations for the Three</w:t>
              </w:r>
            </w:hyperlink>
            <w:hyperlink w:anchor="i43719abdc9144394bf517258d751d88c_73">
              <w:r>
                <w:rPr>
                  <w:rStyle w:val="InternetLink"/>
                  <w:rFonts w:ascii="Times New Roman;serif" w:hAnsi="Times New Roman;serif"/>
                  <w:b w:val="false"/>
                  <w:color w:val="000080"/>
                  <w:sz w:val="20"/>
                  <w:u w:val="single"/>
                </w:rPr>
                <w:t xml:space="preserve"> Months Ended </w:t>
              </w:r>
            </w:hyperlink>
            <w:hyperlink w:anchor="i43719abdc9144394bf517258d751d88c_73">
              <w:r>
                <w:rPr>
                  <w:rStyle w:val="InternetLink"/>
                  <w:rFonts w:ascii="Times New Roman;serif" w:hAnsi="Times New Roman;serif"/>
                  <w:b w:val="false"/>
                  <w:color w:val="000080"/>
                  <w:sz w:val="20"/>
                  <w:u w:val="single"/>
                </w:rPr>
                <w:t>March 31</w:t>
              </w:r>
            </w:hyperlink>
            <w:hyperlink w:anchor="i43719abdc9144394bf517258d751d88c_73">
              <w:r>
                <w:rPr>
                  <w:rStyle w:val="InternetLink"/>
                  <w:rFonts w:ascii="Times New Roman;serif" w:hAnsi="Times New Roman;serif"/>
                  <w:b w:val="false"/>
                  <w:color w:val="000080"/>
                  <w:sz w:val="20"/>
                  <w:u w:val="single"/>
                </w:rPr>
                <w:t>, 202</w:t>
              </w:r>
            </w:hyperlink>
            <w:hyperlink w:anchor="i43719abdc9144394bf517258d751d88c_73">
              <w:r>
                <w:rPr>
                  <w:rStyle w:val="InternetLink"/>
                  <w:rFonts w:ascii="Times New Roman;serif" w:hAnsi="Times New Roman;serif"/>
                  <w:b w:val="false"/>
                  <w:color w:val="000080"/>
                  <w:sz w:val="20"/>
                  <w:u w:val="single"/>
                </w:rPr>
                <w:t>6</w:t>
              </w:r>
            </w:hyperlink>
            <w:hyperlink w:anchor="i43719abdc9144394bf517258d751d88c_73">
              <w:r>
                <w:rPr>
                  <w:rStyle w:val="InternetLink"/>
                  <w:rFonts w:ascii="Times New Roman;serif" w:hAnsi="Times New Roman;serif"/>
                  <w:b w:val="false"/>
                  <w:color w:val="000080"/>
                  <w:sz w:val="20"/>
                  <w:u w:val="single"/>
                </w:rPr>
                <w:t xml:space="preserve"> and 202</w:t>
              </w:r>
            </w:hyperlink>
            <w:hyperlink w:anchor="i43719abdc9144394bf517258d751d88c_73">
              <w:r>
                <w:rPr>
                  <w:rStyle w:val="InternetLink"/>
                  <w:rFonts w:ascii="Times New Roman;serif" w:hAnsi="Times New Roman;serif"/>
                  <w:b w:val="false"/>
                  <w:color w:val="000080"/>
                  <w:sz w:val="20"/>
                  <w:u w:val="single"/>
                </w:rPr>
                <w:t>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3">
              <w:r>
                <w:rPr>
                  <w:rStyle w:val="InternetLink"/>
                  <w:rFonts w:ascii="Times New Roman;serif" w:hAnsi="Times New Roman;serif"/>
                  <w:b w:val="false"/>
                  <w:color w:val="0000FF"/>
                  <w:sz w:val="20"/>
                  <w:u w:val="single"/>
                </w:rPr>
                <w:t>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6">
              <w:r>
                <w:rPr>
                  <w:rStyle w:val="InternetLink"/>
                  <w:rFonts w:ascii="Times New Roman;serif" w:hAnsi="Times New Roman;serif"/>
                  <w:b w:val="false"/>
                  <w:color w:val="000080"/>
                  <w:sz w:val="20"/>
                  <w:u w:val="single"/>
                </w:rPr>
                <w:t>Condensed Consolidated Statements of Comprehensive Income</w:t>
              </w:r>
            </w:hyperlink>
            <w:hyperlink w:anchor="i43719abdc9144394bf517258d751d88c_76">
              <w:r>
                <w:rPr>
                  <w:rStyle w:val="InternetLink"/>
                  <w:rFonts w:ascii="Times New Roman;serif" w:hAnsi="Times New Roman;serif"/>
                  <w:b w:val="false"/>
                  <w:color w:val="000080"/>
                  <w:sz w:val="20"/>
                  <w:u w:val="single"/>
                </w:rPr>
                <w:t xml:space="preserve"> for the Three</w:t>
              </w:r>
            </w:hyperlink>
            <w:hyperlink w:anchor="i43719abdc9144394bf517258d751d88c_76">
              <w:r>
                <w:rPr>
                  <w:rStyle w:val="InternetLink"/>
                  <w:rFonts w:ascii="Times New Roman;serif" w:hAnsi="Times New Roman;serif"/>
                  <w:b w:val="false"/>
                  <w:color w:val="000080"/>
                  <w:sz w:val="20"/>
                  <w:u w:val="single"/>
                </w:rPr>
                <w:t xml:space="preserve"> Months Ended </w:t>
              </w:r>
            </w:hyperlink>
            <w:hyperlink w:anchor="i43719abdc9144394bf517258d751d88c_76">
              <w:r>
                <w:rPr>
                  <w:rStyle w:val="InternetLink"/>
                  <w:rFonts w:ascii="Times New Roman;serif" w:hAnsi="Times New Roman;serif"/>
                  <w:b w:val="false"/>
                  <w:color w:val="000080"/>
                  <w:sz w:val="20"/>
                  <w:u w:val="single"/>
                </w:rPr>
                <w:t>March 31</w:t>
              </w:r>
            </w:hyperlink>
            <w:hyperlink w:anchor="i43719abdc9144394bf517258d751d88c_76">
              <w:r>
                <w:rPr>
                  <w:rStyle w:val="InternetLink"/>
                  <w:rFonts w:ascii="Times New Roman;serif" w:hAnsi="Times New Roman;serif"/>
                  <w:b w:val="false"/>
                  <w:color w:val="000080"/>
                  <w:sz w:val="20"/>
                  <w:u w:val="single"/>
                </w:rPr>
                <w:t>, 202</w:t>
              </w:r>
            </w:hyperlink>
            <w:hyperlink w:anchor="i43719abdc9144394bf517258d751d88c_76">
              <w:r>
                <w:rPr>
                  <w:rStyle w:val="InternetLink"/>
                  <w:rFonts w:ascii="Times New Roman;serif" w:hAnsi="Times New Roman;serif"/>
                  <w:b w:val="false"/>
                  <w:color w:val="000080"/>
                  <w:sz w:val="20"/>
                  <w:u w:val="single"/>
                </w:rPr>
                <w:t>6</w:t>
              </w:r>
            </w:hyperlink>
            <w:hyperlink w:anchor="i43719abdc9144394bf517258d751d88c_76">
              <w:r>
                <w:rPr>
                  <w:rStyle w:val="InternetLink"/>
                  <w:rFonts w:ascii="Times New Roman;serif" w:hAnsi="Times New Roman;serif"/>
                  <w:b w:val="false"/>
                  <w:color w:val="000080"/>
                  <w:sz w:val="20"/>
                  <w:u w:val="single"/>
                </w:rPr>
                <w:t xml:space="preserve"> and 202</w:t>
              </w:r>
            </w:hyperlink>
            <w:hyperlink w:anchor="i43719abdc9144394bf517258d751d88c_76">
              <w:r>
                <w:rPr>
                  <w:rStyle w:val="InternetLink"/>
                  <w:rFonts w:ascii="Times New Roman;serif" w:hAnsi="Times New Roman;serif"/>
                  <w:b w:val="false"/>
                  <w:color w:val="000080"/>
                  <w:sz w:val="20"/>
                  <w:u w:val="single"/>
                </w:rPr>
                <w:t>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6">
              <w:r>
                <w:rPr>
                  <w:rStyle w:val="InternetLink"/>
                  <w:rFonts w:ascii="Times New Roman;serif" w:hAnsi="Times New Roman;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9">
              <w:r>
                <w:rPr>
                  <w:rStyle w:val="InternetLink"/>
                  <w:rFonts w:ascii="Times New Roman;serif" w:hAnsi="Times New Roman;serif"/>
                  <w:b w:val="false"/>
                  <w:color w:val="000080"/>
                  <w:sz w:val="20"/>
                  <w:u w:val="single"/>
                </w:rPr>
                <w:t>Condensed Consolidated Statements of Stockholders’ Equity for the Three</w:t>
              </w:r>
            </w:hyperlink>
            <w:hyperlink w:anchor="i43719abdc9144394bf517258d751d88c_79">
              <w:r>
                <w:rPr>
                  <w:rStyle w:val="InternetLink"/>
                  <w:rFonts w:ascii="Times New Roman;serif" w:hAnsi="Times New Roman;serif"/>
                  <w:b w:val="false"/>
                  <w:color w:val="000080"/>
                  <w:sz w:val="20"/>
                  <w:u w:val="single"/>
                </w:rPr>
                <w:t xml:space="preserve"> Months Ended </w:t>
              </w:r>
            </w:hyperlink>
            <w:hyperlink w:anchor="i43719abdc9144394bf517258d751d88c_79">
              <w:r>
                <w:rPr>
                  <w:rStyle w:val="InternetLink"/>
                  <w:rFonts w:ascii="Times New Roman;serif" w:hAnsi="Times New Roman;serif"/>
                  <w:b w:val="false"/>
                  <w:color w:val="000080"/>
                  <w:sz w:val="20"/>
                  <w:u w:val="single"/>
                </w:rPr>
                <w:t>March 31</w:t>
              </w:r>
            </w:hyperlink>
            <w:hyperlink w:anchor="i43719abdc9144394bf517258d751d88c_79">
              <w:r>
                <w:rPr>
                  <w:rStyle w:val="InternetLink"/>
                  <w:rFonts w:ascii="Times New Roman;serif" w:hAnsi="Times New Roman;serif"/>
                  <w:b w:val="false"/>
                  <w:color w:val="000080"/>
                  <w:sz w:val="20"/>
                  <w:u w:val="single"/>
                </w:rPr>
                <w:t>, 202</w:t>
              </w:r>
            </w:hyperlink>
            <w:hyperlink w:anchor="i43719abdc9144394bf517258d751d88c_79">
              <w:r>
                <w:rPr>
                  <w:rStyle w:val="InternetLink"/>
                  <w:rFonts w:ascii="Times New Roman;serif" w:hAnsi="Times New Roman;serif"/>
                  <w:b w:val="false"/>
                  <w:color w:val="000080"/>
                  <w:sz w:val="20"/>
                  <w:u w:val="single"/>
                </w:rPr>
                <w:t>6</w:t>
              </w:r>
            </w:hyperlink>
            <w:hyperlink w:anchor="i43719abdc9144394bf517258d751d88c_79">
              <w:r>
                <w:rPr>
                  <w:rStyle w:val="InternetLink"/>
                  <w:rFonts w:ascii="Times New Roman;serif" w:hAnsi="Times New Roman;serif"/>
                  <w:b w:val="false"/>
                  <w:color w:val="000080"/>
                  <w:sz w:val="20"/>
                  <w:u w:val="single"/>
                </w:rPr>
                <w:t xml:space="preserve"> and 2</w:t>
              </w:r>
            </w:hyperlink>
            <w:hyperlink w:anchor="i43719abdc9144394bf517258d751d88c_79">
              <w:r>
                <w:rPr>
                  <w:rStyle w:val="InternetLink"/>
                  <w:rFonts w:ascii="Times New Roman;serif" w:hAnsi="Times New Roman;serif"/>
                  <w:b w:val="false"/>
                  <w:color w:val="000080"/>
                  <w:sz w:val="20"/>
                  <w:u w:val="single"/>
                </w:rPr>
                <w:t>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79">
              <w:r>
                <w:rPr>
                  <w:rStyle w:val="InternetLink"/>
                  <w:rFonts w:ascii="Times New Roman;serif" w:hAnsi="Times New Roman;serif"/>
                  <w:b w:val="false"/>
                  <w:color w:val="0000FF"/>
                  <w:sz w:val="20"/>
                  <w:u w:val="single"/>
                </w:rPr>
                <w:t>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82">
              <w:r>
                <w:rPr>
                  <w:rStyle w:val="InternetLink"/>
                  <w:rFonts w:ascii="Times New Roman;serif" w:hAnsi="Times New Roman;serif"/>
                  <w:b w:val="false"/>
                  <w:color w:val="000080"/>
                  <w:sz w:val="20"/>
                  <w:u w:val="single"/>
                </w:rPr>
                <w:t xml:space="preserve">Condensed Consolidated Statements of Cash Flows for the </w:t>
              </w:r>
            </w:hyperlink>
            <w:hyperlink w:anchor="i43719abdc9144394bf517258d751d88c_82">
              <w:r>
                <w:rPr>
                  <w:rStyle w:val="InternetLink"/>
                  <w:rFonts w:ascii="Times New Roman;serif" w:hAnsi="Times New Roman;serif"/>
                  <w:b w:val="false"/>
                  <w:color w:val="000080"/>
                  <w:sz w:val="20"/>
                  <w:u w:val="single"/>
                </w:rPr>
                <w:t>Three</w:t>
              </w:r>
            </w:hyperlink>
            <w:hyperlink w:anchor="i43719abdc9144394bf517258d751d88c_82">
              <w:r>
                <w:rPr>
                  <w:rStyle w:val="InternetLink"/>
                  <w:rFonts w:ascii="Times New Roman;serif" w:hAnsi="Times New Roman;serif"/>
                  <w:b w:val="false"/>
                  <w:color w:val="000080"/>
                  <w:sz w:val="20"/>
                  <w:u w:val="single"/>
                </w:rPr>
                <w:t xml:space="preserve"> Months Ended </w:t>
              </w:r>
            </w:hyperlink>
            <w:hyperlink w:anchor="i43719abdc9144394bf517258d751d88c_82">
              <w:r>
                <w:rPr>
                  <w:rStyle w:val="InternetLink"/>
                  <w:rFonts w:ascii="Times New Roman;serif" w:hAnsi="Times New Roman;serif"/>
                  <w:b w:val="false"/>
                  <w:color w:val="000080"/>
                  <w:sz w:val="20"/>
                  <w:u w:val="single"/>
                </w:rPr>
                <w:t>March 31</w:t>
              </w:r>
            </w:hyperlink>
            <w:hyperlink w:anchor="i43719abdc9144394bf517258d751d88c_82">
              <w:r>
                <w:rPr>
                  <w:rStyle w:val="InternetLink"/>
                  <w:rFonts w:ascii="Times New Roman;serif" w:hAnsi="Times New Roman;serif"/>
                  <w:b w:val="false"/>
                  <w:color w:val="000080"/>
                  <w:sz w:val="20"/>
                  <w:u w:val="single"/>
                </w:rPr>
                <w:t>, 202</w:t>
              </w:r>
            </w:hyperlink>
            <w:hyperlink w:anchor="i43719abdc9144394bf517258d751d88c_82">
              <w:r>
                <w:rPr>
                  <w:rStyle w:val="InternetLink"/>
                  <w:rFonts w:ascii="Times New Roman;serif" w:hAnsi="Times New Roman;serif"/>
                  <w:b w:val="false"/>
                  <w:color w:val="000080"/>
                  <w:sz w:val="20"/>
                  <w:u w:val="single"/>
                </w:rPr>
                <w:t>6</w:t>
              </w:r>
            </w:hyperlink>
            <w:hyperlink w:anchor="i43719abdc9144394bf517258d751d88c_82">
              <w:r>
                <w:rPr>
                  <w:rStyle w:val="InternetLink"/>
                  <w:rFonts w:ascii="Times New Roman;serif" w:hAnsi="Times New Roman;serif"/>
                  <w:b w:val="false"/>
                  <w:color w:val="000080"/>
                  <w:sz w:val="20"/>
                  <w:u w:val="single"/>
                </w:rPr>
                <w:t xml:space="preserve"> and 202</w:t>
              </w:r>
            </w:hyperlink>
            <w:hyperlink w:anchor="i43719abdc9144394bf517258d751d88c_82">
              <w:r>
                <w:rPr>
                  <w:rStyle w:val="InternetLink"/>
                  <w:rFonts w:ascii="Times New Roman;serif" w:hAnsi="Times New Roman;serif"/>
                  <w:b w:val="false"/>
                  <w:color w:val="000080"/>
                  <w:sz w:val="20"/>
                  <w:u w:val="single"/>
                </w:rPr>
                <w:t>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82">
              <w:r>
                <w:rPr>
                  <w:rStyle w:val="InternetLink"/>
                  <w:rFonts w:ascii="Times New Roman;serif" w:hAnsi="Times New Roman;serif"/>
                  <w:b w:val="false"/>
                  <w:color w:val="0000FF"/>
                  <w:sz w:val="20"/>
                  <w:u w:val="single"/>
                </w:rPr>
                <w:t>8</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85">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85">
              <w:r>
                <w:rPr>
                  <w:rStyle w:val="InternetLink"/>
                  <w:rFonts w:ascii="Times New Roman;serif" w:hAnsi="Times New Roman;serif"/>
                  <w:b w:val="false"/>
                  <w:color w:val="0000FF"/>
                  <w:sz w:val="20"/>
                  <w:u w:val="single"/>
                </w:rPr>
                <w:t>9</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20">
              <w:r>
                <w:rPr>
                  <w:rStyle w:val="InternetLink"/>
                  <w:rFonts w:ascii="Times New Roman;serif" w:hAnsi="Times New Roman;serif"/>
                  <w:b w:val="false"/>
                  <w:color w:val="0000FF"/>
                  <w:sz w:val="20"/>
                  <w:u w:val="single"/>
                </w:rPr>
                <w:t>Item 2.</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2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20">
              <w:r>
                <w:rPr>
                  <w:rStyle w:val="InternetLink"/>
                  <w:rFonts w:ascii="Times New Roman;serif" w:hAnsi="Times New Roman;serif"/>
                  <w:b w:val="false"/>
                  <w:color w:val="0000FF"/>
                  <w:sz w:val="20"/>
                  <w:u w:val="single"/>
                </w:rPr>
                <w:t>21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68">
              <w:r>
                <w:rPr>
                  <w:rStyle w:val="InternetLink"/>
                  <w:rFonts w:ascii="Times New Roman;serif" w:hAnsi="Times New Roman;serif"/>
                  <w:b w:val="false"/>
                  <w:color w:val="0000FF"/>
                  <w:sz w:val="20"/>
                  <w:u w:val="single"/>
                </w:rPr>
                <w:t>Item 3.</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68">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68">
              <w:r>
                <w:rPr>
                  <w:rStyle w:val="InternetLink"/>
                  <w:rFonts w:ascii="Times New Roman;serif" w:hAnsi="Times New Roman;serif"/>
                  <w:b w:val="false"/>
                  <w:color w:val="0000FF"/>
                  <w:sz w:val="20"/>
                  <w:u w:val="single"/>
                </w:rPr>
                <w:t>33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71">
              <w:r>
                <w:rPr>
                  <w:rStyle w:val="InternetLink"/>
                  <w:rFonts w:ascii="Times New Roman;serif" w:hAnsi="Times New Roman;serif"/>
                  <w:b w:val="false"/>
                  <w:color w:val="0000FF"/>
                  <w:sz w:val="20"/>
                  <w:u w:val="single"/>
                </w:rPr>
                <w:t>Item 4.</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71">
              <w:r>
                <w:rPr>
                  <w:rStyle w:val="InternetLink"/>
                  <w:rFonts w:ascii="Times New Roman;serif" w:hAnsi="Times New Roman;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71">
              <w:r>
                <w:rPr>
                  <w:rStyle w:val="InternetLink"/>
                  <w:rFonts w:ascii="Times New Roman;serif" w:hAnsi="Times New Roman;serif"/>
                  <w:b w:val="false"/>
                  <w:color w:val="0000FF"/>
                  <w:sz w:val="20"/>
                  <w:u w:val="single"/>
                </w:rPr>
                <w:t>34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719abdc9144394bf517258d751d88c_277">
              <w:r>
                <w:rPr>
                  <w:rStyle w:val="InternetLink"/>
                  <w:rFonts w:ascii="Times New Roman;serif" w:hAnsi="Times New Roman;serif"/>
                  <w:b/>
                  <w:color w:val="0000FF"/>
                  <w:sz w:val="18"/>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0">
              <w:r>
                <w:rPr>
                  <w:rStyle w:val="InternetLink"/>
                  <w:rFonts w:ascii="Times New Roman;serif" w:hAnsi="Times New Roman;serif"/>
                  <w:b w:val="false"/>
                  <w:color w:val="0000FF"/>
                  <w:sz w:val="20"/>
                  <w:u w:val="single"/>
                </w:rPr>
                <w:t>Item 1.</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0">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0">
              <w:r>
                <w:rPr>
                  <w:rStyle w:val="InternetLink"/>
                  <w:rFonts w:ascii="Times New Roman;serif" w:hAnsi="Times New Roman;serif"/>
                  <w:b w:val="false"/>
                  <w:color w:val="0000FF"/>
                  <w:sz w:val="20"/>
                  <w:u w:val="single"/>
                </w:rPr>
                <w:t>35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
              <w:r>
                <w:rPr>
                  <w:rStyle w:val="InternetLink"/>
                  <w:rFonts w:ascii="Times New Roman;serif" w:hAnsi="Times New Roman;serif"/>
                  <w:b w:val="false"/>
                  <w:color w:val="0000FF"/>
                  <w:sz w:val="20"/>
                  <w:u w:val="single"/>
                </w:rPr>
                <w:t>Item 1A.</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
              <w:r>
                <w:rPr>
                  <w:rStyle w:val="InternetLink"/>
                  <w:rFonts w:ascii="Times New Roman;serif" w:hAnsi="Times New Roman;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
              <w:r>
                <w:rPr>
                  <w:rStyle w:val="InternetLink"/>
                  <w:rFonts w:ascii="Times New Roman;serif" w:hAnsi="Times New Roman;serif"/>
                  <w:b w:val="false"/>
                  <w:color w:val="0000FF"/>
                  <w:sz w:val="20"/>
                  <w:u w:val="single"/>
                </w:rPr>
                <w:t>35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3">
              <w:r>
                <w:rPr>
                  <w:rStyle w:val="InternetLink"/>
                  <w:rFonts w:ascii="Times New Roman;serif" w:hAnsi="Times New Roman;serif"/>
                  <w:b w:val="false"/>
                  <w:color w:val="0000FF"/>
                  <w:sz w:val="20"/>
                  <w:u w:val="single"/>
                </w:rPr>
                <w:t>Item 2.</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3">
              <w:r>
                <w:rPr>
                  <w:rStyle w:val="InternetLink"/>
                  <w:rFonts w:ascii="Times New Roman;serif" w:hAnsi="Times New Roman;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3">
              <w:r>
                <w:rPr>
                  <w:rStyle w:val="InternetLink"/>
                  <w:rFonts w:ascii="Times New Roman;serif" w:hAnsi="Times New Roman;serif"/>
                  <w:b w:val="false"/>
                  <w:color w:val="0000FF"/>
                  <w:sz w:val="20"/>
                  <w:u w:val="single"/>
                </w:rPr>
                <w:t>65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6">
              <w:r>
                <w:rPr>
                  <w:rStyle w:val="InternetLink"/>
                  <w:rFonts w:ascii="Times New Roman;serif" w:hAnsi="Times New Roman;serif"/>
                  <w:b w:val="false"/>
                  <w:color w:val="0000FF"/>
                  <w:sz w:val="20"/>
                  <w:u w:val="single"/>
                </w:rPr>
                <w:t>Item 5.</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6">
              <w:r>
                <w:rPr>
                  <w:rStyle w:val="InternetLink"/>
                  <w:rFonts w:ascii="Times New Roman;serif" w:hAnsi="Times New Roman;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286">
              <w:r>
                <w:rPr>
                  <w:rStyle w:val="InternetLink"/>
                  <w:rFonts w:ascii="Times New Roman;serif" w:hAnsi="Times New Roman;serif"/>
                  <w:b w:val="false"/>
                  <w:color w:val="0000FF"/>
                  <w:sz w:val="20"/>
                  <w:u w:val="single"/>
                </w:rPr>
                <w:t>65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553">
              <w:r>
                <w:rPr>
                  <w:rStyle w:val="InternetLink"/>
                  <w:rFonts w:ascii="Times New Roman;serif" w:hAnsi="Times New Roman;serif"/>
                  <w:b w:val="false"/>
                  <w:color w:val="0000FF"/>
                  <w:sz w:val="20"/>
                  <w:u w:val="single"/>
                </w:rPr>
                <w:t>Item 6.</w:t>
              </w:r>
            </w:hyperlink>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553">
              <w:r>
                <w:rPr>
                  <w:rStyle w:val="InternetLink"/>
                  <w:rFonts w:ascii="Times New Roman;serif" w:hAnsi="Times New Roman;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553">
              <w:r>
                <w:rPr>
                  <w:rStyle w:val="InternetLink"/>
                  <w:rFonts w:ascii="Times New Roman;serif" w:hAnsi="Times New Roman;serif"/>
                  <w:b w:val="false"/>
                  <w:color w:val="0000FF"/>
                  <w:sz w:val="20"/>
                  <w:u w:val="single"/>
                </w:rPr>
                <w:t>66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562">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719abdc9144394bf517258d751d88c_562">
              <w:r>
                <w:rPr>
                  <w:rStyle w:val="InternetLink"/>
                  <w:rFonts w:ascii="Times New Roman;serif" w:hAnsi="Times New Roman;serif"/>
                  <w:b w:val="false"/>
                  <w:color w:val="0000FF"/>
                  <w:sz w:val="20"/>
                  <w:u w:val="single"/>
                </w:rPr>
                <w:t>66</w:t>
              </w:r>
            </w:hyperlink>
          </w:p>
        </w:tc>
      </w:tr>
    </w:tbl>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477" w:type="dxa"/>
        <w:jc w:val="center"/>
        <w:tblInd w:w="0" w:type="dxa"/>
        <w:tblLayout w:type="fixed"/>
        <w:tblCellMar>
          <w:top w:w="28" w:type="dxa"/>
          <w:left w:w="28" w:type="dxa"/>
          <w:bottom w:w="28" w:type="dxa"/>
          <w:right w:w="28" w:type="dxa"/>
        </w:tblCellMar>
      </w:tblPr>
      <w:tblGrid>
        <w:gridCol w:w="1400"/>
        <w:gridCol w:w="1222"/>
        <w:gridCol w:w="1232"/>
        <w:gridCol w:w="109"/>
        <w:gridCol w:w="109"/>
        <w:gridCol w:w="109"/>
        <w:gridCol w:w="222"/>
        <w:gridCol w:w="989"/>
        <w:gridCol w:w="123"/>
        <w:gridCol w:w="109"/>
        <w:gridCol w:w="109"/>
        <w:gridCol w:w="109"/>
        <w:gridCol w:w="262"/>
        <w:gridCol w:w="1167"/>
        <w:gridCol w:w="206"/>
      </w:tblGrid>
      <w:tr>
        <w:trPr/>
        <w:tc>
          <w:tcPr>
            <w:tcW w:w="140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682,335 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1,804,286 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1,788,007 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636,736 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3,446,819 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3,576,728 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301,642 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5,292,457 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5,291,787 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9,576,805 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9,770,890 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158,677 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887,008 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992,722 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992,287 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1,792,721 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1,949,344 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16,294,528 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16,148,190 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(8,506,279)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(8,342,464)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7,784,084 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7,821,546 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9,576,805 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9,770,890 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41"/>
        <w:gridCol w:w="1801"/>
        <w:gridCol w:w="1818"/>
        <w:gridCol w:w="109"/>
        <w:gridCol w:w="109"/>
        <w:gridCol w:w="109"/>
        <w:gridCol w:w="249"/>
        <w:gridCol w:w="1112"/>
        <w:gridCol w:w="138"/>
        <w:gridCol w:w="138"/>
        <w:gridCol w:w="138"/>
        <w:gridCol w:w="138"/>
        <w:gridCol w:w="249"/>
        <w:gridCol w:w="1112"/>
        <w:gridCol w:w="138"/>
        <w:gridCol w:w="109"/>
        <w:gridCol w:w="109"/>
        <w:gridCol w:w="109"/>
        <w:gridCol w:w="109"/>
        <w:gridCol w:w="109"/>
        <w:gridCol w:w="161"/>
      </w:tblGrid>
      <w:tr>
        <w:trPr/>
        <w:tc>
          <w:tcPr>
            <w:tcW w:w="214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706" w:type="dxa"/>
            <w:gridSpan w:val="6"/>
            <w:tcBorders/>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558,485 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107,666 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102,232 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152,424,306 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153,345,192 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360"/>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157,759,141 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161,794,287 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44" w:type="dxa"/>
        <w:jc w:val="left"/>
        <w:tblInd w:w="0" w:type="dxa"/>
        <w:tblLayout w:type="fixed"/>
        <w:tblCellMar>
          <w:top w:w="28" w:type="dxa"/>
          <w:left w:w="28" w:type="dxa"/>
          <w:bottom w:w="28" w:type="dxa"/>
          <w:right w:w="28" w:type="dxa"/>
        </w:tblCellMar>
      </w:tblPr>
      <w:tblGrid>
        <w:gridCol w:w="2199"/>
        <w:gridCol w:w="1935"/>
        <w:gridCol w:w="1955"/>
        <w:gridCol w:w="109"/>
        <w:gridCol w:w="109"/>
        <w:gridCol w:w="109"/>
        <w:gridCol w:w="196"/>
        <w:gridCol w:w="646"/>
        <w:gridCol w:w="109"/>
        <w:gridCol w:w="109"/>
        <w:gridCol w:w="109"/>
        <w:gridCol w:w="109"/>
        <w:gridCol w:w="196"/>
        <w:gridCol w:w="646"/>
        <w:gridCol w:w="109"/>
        <w:gridCol w:w="109"/>
        <w:gridCol w:w="109"/>
        <w:gridCol w:w="109"/>
        <w:gridCol w:w="109"/>
        <w:gridCol w:w="109"/>
        <w:gridCol w:w="154"/>
      </w:tblGrid>
      <w:tr>
        <w:trPr/>
        <w:tc>
          <w:tcPr>
            <w:tcW w:w="219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market value of effective 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income (loss)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747"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871"/>
        <w:gridCol w:w="109"/>
        <w:gridCol w:w="109"/>
        <w:gridCol w:w="109"/>
        <w:gridCol w:w="196"/>
        <w:gridCol w:w="976"/>
        <w:gridCol w:w="109"/>
        <w:gridCol w:w="109"/>
        <w:gridCol w:w="109"/>
        <w:gridCol w:w="109"/>
        <w:gridCol w:w="213"/>
        <w:gridCol w:w="719"/>
        <w:gridCol w:w="119"/>
        <w:gridCol w:w="109"/>
        <w:gridCol w:w="109"/>
        <w:gridCol w:w="109"/>
        <w:gridCol w:w="196"/>
        <w:gridCol w:w="886"/>
        <w:gridCol w:w="109"/>
        <w:gridCol w:w="109"/>
        <w:gridCol w:w="109"/>
        <w:gridCol w:w="109"/>
        <w:gridCol w:w="196"/>
        <w:gridCol w:w="886"/>
        <w:gridCol w:w="109"/>
        <w:gridCol w:w="109"/>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152,411,346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16,148,190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15,668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(8,342,464)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7,821,546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1,724,035 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(2,088,298)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152,105,999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16,294,528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(4,317)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(8,506,279)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7,784,084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496"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196"/>
        <w:gridCol w:w="976"/>
        <w:gridCol w:w="109"/>
        <w:gridCol w:w="109"/>
        <w:gridCol w:w="109"/>
        <w:gridCol w:w="109"/>
        <w:gridCol w:w="246"/>
        <w:gridCol w:w="832"/>
        <w:gridCol w:w="138"/>
        <w:gridCol w:w="109"/>
        <w:gridCol w:w="109"/>
        <w:gridCol w:w="109"/>
        <w:gridCol w:w="196"/>
        <w:gridCol w:w="886"/>
        <w:gridCol w:w="109"/>
        <w:gridCol w:w="109"/>
        <w:gridCol w:w="109"/>
        <w:gridCol w:w="109"/>
        <w:gridCol w:w="196"/>
        <w:gridCol w:w="886"/>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152,610,697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15,476,124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(7,522,010)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7,952,966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vested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 of equity awards withheld for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shares of Class A common stock including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(1,222,193)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other comprehensive loss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153,254,342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15,625,545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10,358</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(7,631,765)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8,004,291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TWILIO</w:t>
      </w:r>
      <w:r>
        <w:rPr>
          <w:color w:val="000000"/>
        </w:rPr>
        <w:t> </w:t>
      </w:r>
      <w:r>
        <w:rPr>
          <w:rFonts w:ascii="Times New Roman;serif" w:hAnsi="Times New Roman;serif"/>
          <w:b/>
          <w:color w:val="000000"/>
          <w:sz w:val="20"/>
        </w:rPr>
        <w:t>INC</w:t>
      </w:r>
      <w:r>
        <w:rPr>
          <w:rFonts w:ascii="Times New Roman;serif" w:hAnsi="Times New Roman;serif"/>
          <w:b/>
          <w:color w:val="000000"/>
          <w:sz w:val="16"/>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47"/>
        <w:gridCol w:w="2226"/>
        <w:gridCol w:w="2232"/>
        <w:gridCol w:w="109"/>
        <w:gridCol w:w="109"/>
        <w:gridCol w:w="109"/>
        <w:gridCol w:w="196"/>
        <w:gridCol w:w="736"/>
        <w:gridCol w:w="109"/>
        <w:gridCol w:w="109"/>
        <w:gridCol w:w="109"/>
        <w:gridCol w:w="109"/>
        <w:gridCol w:w="196"/>
        <w:gridCol w:w="736"/>
        <w:gridCol w:w="109"/>
        <w:gridCol w:w="109"/>
        <w:gridCol w:w="155"/>
      </w:tblGrid>
      <w:tr>
        <w:trPr/>
        <w:tc>
          <w:tcPr>
            <w:tcW w:w="2747"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264" w:type="dxa"/>
            <w:gridSpan w:val="2"/>
            <w:tcBorders/>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264" w:type="dxa"/>
            <w:gridSpan w:val="2"/>
            <w:tcBorders/>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 and payments related to prior period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equity awards withheld for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THE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TWILIO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Twilio Inc. (the “Company”) was incorporated in the state of Delaware on March 13, 2008. Today's leading companies trust Twilio's Customer Engagement Platform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unaudited condensed consolidated financial statements should be read in conjunction with the consolidated financial statements and notes included in the Company’s Annual Report on Form 10-K filed with the SEC on February 24, 2026 (“Annual Report”).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December 31, 2025, included herein, was derived from the audited financial statements as of that date, but may not include all disclosures including certain notes required by U.S. GAAP on an annual reporting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income, stockholders’ equity and cash flows for the interim periods, but are not necessarily indicative of the results of operations to be anticipated for the full year 2026 or any future period.</w:t>
      </w:r>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Principles of Consolidation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Company and its wholly owned subsidiaries. All intercompany balances and transactions have been eliminated.</w:t>
      </w: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Use of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values of acquired intangible assets, goodwill and equity method investments;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for contracts with durations of more than one year was $158.5 million as of March 31, 2026, of which 67% is expected to be recognized over the next 12 months and 96% is expected to be recognized over the next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i/>
          <w:color w:val="000000"/>
          <w:sz w:val="20"/>
        </w:rPr>
        <w:t>(e)</w:t>
      </w:r>
      <w:r>
        <w:rPr>
          <w:rFonts w:ascii="Times New Roman;serif" w:hAnsi="Times New Roman;serif"/>
          <w:b/>
          <w:i/>
          <w:color w:val="000000"/>
          <w:sz w:val="20"/>
        </w:rPr>
        <w:t>Deferred Revenue and Customer Deposits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recorded $159.6 million and $158.7 million as its deferred revenue and customer deposits, respectively, that are included in deferred revenue and customer deposits in the accompanying unaudited condensed consolidated balance sheets. During the three months ended March 31, 2026 and 2025, the Company recognized $76.8 million and $70.1 million of revenue, respectively, that was included in the deferred revenue and customer deposits balances as of the end of the previous year.</w:t>
      </w:r>
    </w:p>
    <w:p>
      <w:pPr>
        <w:pStyle w:val="TextBody"/>
        <w:bidi w:val="0"/>
        <w:spacing w:lineRule="auto" w:line="288" w:before="240" w:after="283"/>
        <w:ind w:left="0" w:right="0" w:firstLine="540"/>
        <w:jc w:val="left"/>
        <w:rPr/>
      </w:pPr>
      <w:r>
        <w:rPr>
          <w:rFonts w:ascii="Times New Roman;serif" w:hAnsi="Times New Roman;serif"/>
          <w:b/>
          <w:i/>
          <w:color w:val="000000"/>
          <w:sz w:val="20"/>
        </w:rPr>
        <w:t>(f)</w:t>
      </w:r>
      <w:r>
        <w:rPr>
          <w:rFonts w:ascii="Times New Roman;serif" w:hAnsi="Times New Roman;serif"/>
          <w:b/>
          <w:i/>
          <w:color w:val="000000"/>
          <w:sz w:val="20"/>
        </w:rPr>
        <w:t>Concentration of Credit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As of March 31, 2026, and December 31, 2025, the allowance for doubtful accounts was $20.5 million and $21.5 million, respectively, and is recorded in accounts receivable, net, in the accompanying unaudited condensed consolidated balance sheets.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2025, no customer organization accounted for more than 10% of the Company’s total revenue.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no customer organization represented more than 10% of the Company’s gross accounts receivable.</w:t>
      </w:r>
    </w:p>
    <w:p>
      <w:pPr>
        <w:pStyle w:val="TextBody"/>
        <w:bidi w:val="0"/>
        <w:spacing w:lineRule="auto" w:line="288" w:before="240" w:after="283"/>
        <w:ind w:left="0" w:right="0" w:firstLine="540"/>
        <w:jc w:val="left"/>
        <w:rPr/>
      </w:pPr>
      <w:r>
        <w:rPr>
          <w:rFonts w:ascii="Times New Roman;serif" w:hAnsi="Times New Roman;serif"/>
          <w:b/>
          <w:i/>
          <w:color w:val="000000"/>
          <w:sz w:val="20"/>
        </w:rPr>
        <w:t>(g)</w:t>
      </w:r>
      <w:r>
        <w:rPr>
          <w:rFonts w:ascii="Times New Roman;serif" w:hAnsi="Times New Roman;serif"/>
          <w:b/>
          <w:i/>
          <w:color w:val="000000"/>
          <w:sz w:val="20"/>
        </w:rPr>
        <w:t>Segment Reporting</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The Company operates in and reports its results in a single operating and reportable segment. Operating and reportable segments are determined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which requires financial information to be reported based on how the chief operating decision maker (“CODM”), who is the Company's Chief Executive Officer, reviews and manages the business, and establishes criteria for aggregating operating segments into reportable segments. The financial information of the Company regularly provided to the CODM is on a consolidated level and consolidated net income is its measure of profitability. This measure of profitability is used by the CODM to allocate resources and assess performance of the Company by comparing its actual results to the comparable results in prior periods and to any internally or externally set expectations. The consolidated financial information provided to the CODM, including significant expenses, is presented in a manner consistent with the information already disclosed in the accompanying unaudited condensed consolidated financial statements and the notes thereof. </w:t>
      </w:r>
    </w:p>
    <w:p>
      <w:pPr>
        <w:pStyle w:val="TextBody"/>
        <w:bidi w:val="0"/>
        <w:spacing w:lineRule="auto" w:line="288" w:before="240" w:after="283"/>
        <w:ind w:left="0" w:right="0" w:firstLine="540"/>
        <w:jc w:val="left"/>
        <w:rPr/>
      </w:pPr>
      <w:r>
        <w:rPr>
          <w:rFonts w:ascii="Times New Roman;serif" w:hAnsi="Times New Roman;serif"/>
          <w:b/>
          <w:i/>
          <w:color w:val="000000"/>
          <w:sz w:val="20"/>
        </w:rPr>
        <w:t>(h)</w:t>
      </w:r>
      <w:r>
        <w:rPr>
          <w:rFonts w:ascii="Times New Roman;serif" w:hAnsi="Times New Roman;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 xml:space="preserve">In September 2025, the Financial Accounting Standards Board (“FASB”) issued Accounting Standards Update (“ASU”) 2025-06, </w:t>
      </w:r>
      <w:r>
        <w:rPr>
          <w:color w:val="000000"/>
        </w:rPr>
        <w:t>“</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modernizes the accounting for internal-use software by replacing the previous stage-based model and aligning the capitalization process with current development practices, especially agile and iterative methods. ASU 2025-06 is effective for annual reporting periods beginning after December 15, 2027, and may be applied prospectively, retrospectively, or using a modified transition approach. Early adoption is permitted. The Company is in process of evaluating the impact of the adoption of this ASU on its consolidated financial statements.</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which requires disaggregation of certain expenses in the notes to the financial statements to provide enhanced transparency into the expense captions presented on the face of the statements of operations. ASU 2024-03 is effective for annual reporting periods beginning after December 15, 2026, and interim periods beginning after December 15, 2027, and may be applied prospectively or retrospectively. Early adoption is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provide the financial assets measured at fair value on a recurring basis: </w:t>
      </w:r>
    </w:p>
    <w:tbl>
      <w:tblPr>
        <w:tblW w:w="10962" w:type="dxa"/>
        <w:jc w:val="center"/>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556"/>
        <w:gridCol w:w="109"/>
        <w:gridCol w:w="109"/>
        <w:gridCol w:w="109"/>
        <w:gridCol w:w="109"/>
        <w:gridCol w:w="196"/>
        <w:gridCol w:w="571"/>
        <w:gridCol w:w="109"/>
        <w:gridCol w:w="541"/>
        <w:gridCol w:w="109"/>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March 31,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6" w:type="dxa"/>
            <w:gridSpan w:val="3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 and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15" w:type="dxa"/>
        <w:jc w:val="left"/>
        <w:tblInd w:w="0" w:type="dxa"/>
        <w:tblLayout w:type="fixed"/>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196"/>
        <w:gridCol w:w="646"/>
        <w:gridCol w:w="109"/>
        <w:gridCol w:w="109"/>
        <w:gridCol w:w="109"/>
        <w:gridCol w:w="109"/>
        <w:gridCol w:w="207"/>
        <w:gridCol w:w="428"/>
        <w:gridCol w:w="116"/>
        <w:gridCol w:w="109"/>
        <w:gridCol w:w="109"/>
        <w:gridCol w:w="109"/>
        <w:gridCol w:w="235"/>
        <w:gridCol w:w="488"/>
        <w:gridCol w:w="133"/>
        <w:gridCol w:w="109"/>
        <w:gridCol w:w="109"/>
        <w:gridCol w:w="109"/>
        <w:gridCol w:w="541"/>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Fair Value Hierarchy as of </w:t>
              <w:br/>
              <w:t>December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 Value</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40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gridSpan w:val="4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included in cash </w:t>
              <w:br/>
              <w:t>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debt securities and </w:t>
              <w:br/>
              <w:t>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1,788,007 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2,280,029 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Debt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objective when investing excess cash is preservation of capital, hence the Company’s debt securities primarily consist of U.S. Treasury securities, high credit quality corporate debt securities and commercial paper. Because the Company views its debt securities as available to support current operations, it has classified all available for sale securities as short-term.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earned on debt securities was $17.5 million and $18.9 million in the three months ended March 31, 2026 and 2025, respectively. The interest is recorded as other income, net, in the accompanying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contractual maturities of debt securities: </w:t>
      </w:r>
    </w:p>
    <w:tbl>
      <w:tblPr>
        <w:tblW w:w="7497" w:type="dxa"/>
        <w:jc w:val="left"/>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Strategic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held strategic investments with a carrying value of $22.2 million and $24.5 million, respectively, recorded as other long-term assets in the accompanying unaudited condensed consolidated balance sheets. There were no significant impairments or adjustments recorded in the three months ended March 31, 2026 and 2025 related to these securities.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Financial Liabilities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March 31, 2026 and December 31, 2025, the aggregate fair value of these liabilities and the associated unrealized losses were not significant.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liabilities that are not measured at fair value on a recurring basis are its Senior Notes due 2029 (“2029 Notes”) and its Senior Notes due 2031 (“2031 Notes”). As of March 31, 2026, the fair values of the 2029 Notes and 2031 Notes were $479.7 million and $468.2 million, respectively. As of December 31, 2025, the fair values of the 2029 Notes and 2031 Notes were $489.7 million and $483.9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Property and Equipment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 of the following:</w:t>
      </w:r>
    </w:p>
    <w:tbl>
      <w:tblPr>
        <w:tblW w:w="7476" w:type="dxa"/>
        <w:jc w:val="left"/>
        <w:tblInd w:w="0" w:type="dxa"/>
        <w:tblLayout w:type="fixed"/>
        <w:tblCellMar>
          <w:top w:w="28" w:type="dxa"/>
          <w:left w:w="28" w:type="dxa"/>
          <w:bottom w:w="28" w:type="dxa"/>
          <w:right w:w="28" w:type="dxa"/>
        </w:tblCellMar>
      </w:tblPr>
      <w:tblGrid>
        <w:gridCol w:w="1396"/>
        <w:gridCol w:w="1227"/>
        <w:gridCol w:w="1231"/>
        <w:gridCol w:w="109"/>
        <w:gridCol w:w="109"/>
        <w:gridCol w:w="109"/>
        <w:gridCol w:w="251"/>
        <w:gridCol w:w="944"/>
        <w:gridCol w:w="139"/>
        <w:gridCol w:w="109"/>
        <w:gridCol w:w="109"/>
        <w:gridCol w:w="109"/>
        <w:gridCol w:w="295"/>
        <w:gridCol w:w="1108"/>
        <w:gridCol w:w="23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Data center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600,591 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(406,853)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181,388 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176,963 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$17.0 million and $21.9 million in the three months ended March 31, 2026 and 2025,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capitalized $23.3 million and $16.2 million in internal</w:t>
        <w:noBreakHyphen/>
        <w:t>use software development costs in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Derivatives and Hedging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outstanding foreign currency forward contracts designated as cash flow hedges had a total sell notional value of $294.6 million. The notional value represents the amount that will be sold upon maturity of the forward contract. As of March 31, 2026, these contracts had maturities of up to seventeen months. Gains and losses associated with these foreign currency forward contracts were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unaudited condensed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March 31, 2026,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goodwill balance as of March 31, 2026 and December 31, 2025, and the changes during the period, were as follows:</w:t>
      </w:r>
    </w:p>
    <w:tbl>
      <w:tblPr>
        <w:tblW w:w="4638" w:type="dxa"/>
        <w:jc w:val="left"/>
        <w:tblInd w:w="0" w:type="dxa"/>
        <w:tblLayout w:type="fixed"/>
        <w:tblCellMar>
          <w:top w:w="28" w:type="dxa"/>
          <w:left w:w="28" w:type="dxa"/>
          <w:bottom w:w="28" w:type="dxa"/>
          <w:right w:w="28" w:type="dxa"/>
        </w:tblCellMar>
      </w:tblPr>
      <w:tblGrid>
        <w:gridCol w:w="1117"/>
        <w:gridCol w:w="985"/>
        <w:gridCol w:w="988"/>
        <w:gridCol w:w="109"/>
        <w:gridCol w:w="109"/>
        <w:gridCol w:w="109"/>
        <w:gridCol w:w="196"/>
        <w:gridCol w:w="87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Measurement period adjustment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5,292,457 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7847"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(267,457)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(707,996)</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(707,996)</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tbl>
      <w:tblPr>
        <w:tblW w:w="8065" w:type="dxa"/>
        <w:jc w:val="left"/>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736"/>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(260,216)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(691,330)</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Telecommunication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(691,330)</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was $16.7 million and $27.2 million for the three months ended March 31, 2026 and 2025, respectively.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estimated future amortization expense is as follows: </w:t>
      </w:r>
    </w:p>
    <w:tbl>
      <w:tblPr>
        <w:tblW w:w="4376" w:type="dxa"/>
        <w:jc w:val="left"/>
        <w:tblInd w:w="0" w:type="dxa"/>
        <w:tblLayout w:type="fixed"/>
        <w:tblCellMar>
          <w:top w:w="28" w:type="dxa"/>
          <w:left w:w="28" w:type="dxa"/>
          <w:bottom w:w="28" w:type="dxa"/>
          <w:right w:w="28" w:type="dxa"/>
        </w:tblCellMar>
      </w:tblPr>
      <w:tblGrid>
        <w:gridCol w:w="818"/>
        <w:gridCol w:w="722"/>
        <w:gridCol w:w="724"/>
        <w:gridCol w:w="109"/>
        <w:gridCol w:w="109"/>
        <w:gridCol w:w="109"/>
        <w:gridCol w:w="322"/>
        <w:gridCol w:w="1210"/>
        <w:gridCol w:w="253"/>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16,614 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120,184 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Balance Sheet Components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w:t>
      </w:r>
    </w:p>
    <w:tbl>
      <w:tblPr>
        <w:tblW w:w="7072" w:type="dxa"/>
        <w:jc w:val="left"/>
        <w:tblInd w:w="0" w:type="dxa"/>
        <w:tblLayout w:type="fixed"/>
        <w:tblCellMar>
          <w:top w:w="28" w:type="dxa"/>
          <w:left w:w="28" w:type="dxa"/>
          <w:bottom w:w="28" w:type="dxa"/>
          <w:right w:w="28" w:type="dxa"/>
        </w:tblCellMar>
      </w:tblPr>
      <w:tblGrid>
        <w:gridCol w:w="1248"/>
        <w:gridCol w:w="1099"/>
        <w:gridCol w:w="1103"/>
        <w:gridCol w:w="109"/>
        <w:gridCol w:w="109"/>
        <w:gridCol w:w="109"/>
        <w:gridCol w:w="251"/>
        <w:gridCol w:w="944"/>
        <w:gridCol w:w="139"/>
        <w:gridCol w:w="109"/>
        <w:gridCol w:w="109"/>
        <w:gridCol w:w="109"/>
        <w:gridCol w:w="295"/>
        <w:gridCol w:w="1108"/>
        <w:gridCol w:w="231"/>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307,263 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390,041 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469,650 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296" w:type="dxa"/>
        <w:jc w:val="left"/>
        <w:tblInd w:w="0" w:type="dxa"/>
        <w:tblLayout w:type="fixed"/>
        <w:tblCellMar>
          <w:top w:w="28" w:type="dxa"/>
          <w:left w:w="28" w:type="dxa"/>
          <w:bottom w:w="28" w:type="dxa"/>
          <w:right w:w="28" w:type="dxa"/>
        </w:tblCellMar>
      </w:tblPr>
      <w:tblGrid>
        <w:gridCol w:w="1331"/>
        <w:gridCol w:w="1169"/>
        <w:gridCol w:w="1174"/>
        <w:gridCol w:w="109"/>
        <w:gridCol w:w="109"/>
        <w:gridCol w:w="109"/>
        <w:gridCol w:w="251"/>
        <w:gridCol w:w="944"/>
        <w:gridCol w:w="139"/>
        <w:gridCol w:w="109"/>
        <w:gridCol w:w="109"/>
        <w:gridCol w:w="109"/>
        <w:gridCol w:w="295"/>
        <w:gridCol w:w="1108"/>
        <w:gridCol w:w="231"/>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Company-wide bonus program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bonus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other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456,931 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608,119 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Long-term debt, net, consists of the following:</w:t>
      </w:r>
    </w:p>
    <w:tbl>
      <w:tblPr>
        <w:tblW w:w="5707" w:type="dxa"/>
        <w:jc w:val="left"/>
        <w:tblInd w:w="0" w:type="dxa"/>
        <w:tblLayout w:type="fixed"/>
        <w:tblCellMar>
          <w:top w:w="28" w:type="dxa"/>
          <w:left w:w="28" w:type="dxa"/>
          <w:bottom w:w="28" w:type="dxa"/>
          <w:right w:w="28" w:type="dxa"/>
        </w:tblCellMar>
      </w:tblPr>
      <w:tblGrid>
        <w:gridCol w:w="755"/>
        <w:gridCol w:w="663"/>
        <w:gridCol w:w="667"/>
        <w:gridCol w:w="109"/>
        <w:gridCol w:w="109"/>
        <w:gridCol w:w="109"/>
        <w:gridCol w:w="251"/>
        <w:gridCol w:w="944"/>
        <w:gridCol w:w="139"/>
        <w:gridCol w:w="109"/>
        <w:gridCol w:w="109"/>
        <w:gridCol w:w="109"/>
        <w:gridCol w:w="295"/>
        <w:gridCol w:w="1108"/>
        <w:gridCol w:w="23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495,824 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495,635 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992,722 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992,287 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was in compliance with all of its covenants under the related indentures.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Revenue by Geographic Area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is based on the IP address or the mailing address of the customer at the time of registration. The following table sets forth revenue by geographic area:</w:t>
      </w:r>
    </w:p>
    <w:tbl>
      <w:tblPr>
        <w:tblW w:w="5864" w:type="dxa"/>
        <w:jc w:val="left"/>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31" w:type="dxa"/>
        <w:jc w:val="left"/>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09"/>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(a)</w:t>
      </w:r>
      <w:r>
        <w:rPr>
          <w:rFonts w:ascii="Times New Roman;serif" w:hAnsi="Times New Roman;serif"/>
          <w:b/>
          <w:i/>
          <w:color w:val="000000"/>
          <w:sz w:val="20"/>
        </w:rPr>
        <w:t>Lease and Other Commitments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its facilities under various non-cancelable operating lease agreements. In the three months ended March 31, 2026, the Company did not enter into any significant new lease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commitments with its cloud infrastructure provider, network service providers and other vendors. The Company had $273.2 million of non-cancelable purchase commitments as of March 31, 2026 with remaining terms up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(b)</w:t>
      </w:r>
      <w:r>
        <w:rPr>
          <w:rFonts w:ascii="Times New Roman;serif" w:hAnsi="Times New Roman;serif"/>
          <w:b/>
          <w:i/>
          <w:color w:val="000000"/>
          <w:sz w:val="20"/>
        </w:rPr>
        <w:t xml:space="preserve">Legal Matters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accrues for contingencies associated with legal matters when it believes that a loss is probable and that it can be reasonably estimated. To the extent there is a reasonable possibility that a loss may be incurred that is in excess of amounts already recognized and such additional loss amount may be material, the Company either discloses the estimated additional loss amount or states that such an estimate cannot be made. Significant judgment is required to determine the probability of a loss and to estimate the amount of any probable loss.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Legal fees and other costs related to litigation and other legal proceedings are expensed as incurred and are included in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(c)</w:t>
      </w:r>
      <w:r>
        <w:rPr>
          <w:rFonts w:ascii="Times New Roman;serif" w:hAnsi="Times New Roman;serif"/>
          <w:b/>
          <w:i/>
          <w:color w:val="000000"/>
          <w:sz w:val="20"/>
        </w:rPr>
        <w:t>Indemnification Agreements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erif" w:hAnsi="Times New Roman;serif"/>
          <w:b/>
          <w:i/>
          <w:color w:val="000000"/>
          <w:sz w:val="20"/>
        </w:rPr>
        <w:t>(d)</w:t>
      </w:r>
      <w:r>
        <w:rPr>
          <w:rFonts w:ascii="Times New Roman;serif" w:hAnsi="Times New Roman;serif"/>
          <w:b/>
          <w:i/>
          <w:color w:val="000000"/>
          <w:sz w:val="20"/>
        </w:rPr>
        <w:t>Other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management believes it had nexus and the sourcing of revenues to those jurisdictions.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liabilities accrued for non-income-based taxes were $21.8 million for domestic jurisdictions and $21.0 million for jurisdictions outside of the United States. As of December 31, 2025, these liabilities were $21.1 million and $21.8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authorized 100,000,000 shares of preferred stock, par value $0.001 per share, of which no shares were issued and outstanding.</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authorized 1,000,000,000 shares of Class A common stock, par value $0.001 per share. As of March 31, 2026 and December 31, 2025, 152,105,999 and 152,411,346 shares of Class A common stock, respectively, were issued and outstanding.</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w:t>
      </w:r>
    </w:p>
    <w:tbl>
      <w:tblPr>
        <w:tblW w:w="9230" w:type="dxa"/>
        <w:jc w:val="left"/>
        <w:tblInd w:w="0" w:type="dxa"/>
        <w:tblLayout w:type="fixed"/>
        <w:tblCellMar>
          <w:top w:w="28" w:type="dxa"/>
          <w:left w:w="28" w:type="dxa"/>
          <w:bottom w:w="28" w:type="dxa"/>
          <w:right w:w="28" w:type="dxa"/>
        </w:tblCellMar>
      </w:tblPr>
      <w:tblGrid>
        <w:gridCol w:w="1931"/>
        <w:gridCol w:w="1699"/>
        <w:gridCol w:w="1710"/>
        <w:gridCol w:w="109"/>
        <w:gridCol w:w="109"/>
        <w:gridCol w:w="109"/>
        <w:gridCol w:w="579"/>
        <w:gridCol w:w="444"/>
        <w:gridCol w:w="446"/>
        <w:gridCol w:w="109"/>
        <w:gridCol w:w="109"/>
        <w:gridCol w:w="109"/>
        <w:gridCol w:w="611"/>
        <w:gridCol w:w="478"/>
        <w:gridCol w:w="678"/>
      </w:tblGrid>
      <w:tr>
        <w:trPr/>
        <w:tc>
          <w:tcPr>
            <w:tcW w:w="193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864,951 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902,120 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12,071,029 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13,663,977 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243,123 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265,225 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35,759,787 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28,543,969 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Class A common stock reserved for issuance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12,361,051 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10,836,938 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61,299,941 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54,212,229 </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the board of directors of the Company authorized a share repurchase program to repurchase up to $2.0 billion in aggregate value of the Company’s outstanding Class A common stock. Repurchases under this program can be made through open market, private transactions or other means, in compliance with applicable federal securities laws, and can include repurchases pursuant to Rule 10b5-1 trading plans. The Company has discretion in determining the conditions under which shares may be repurchased from time to time. The program expires on December 31, 2027.</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2025, the Company repurchased 2.1 million and 1.2 million shares of its Class A common stock, respectively, for an aggregate purchase price of $253.4 million and $130.2 million, respectively. As of March 31, 2026, approximately $892.0 million of the amount authorized in January 2025 for share repurchases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12. Stock-Based Compensation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2016 Stock Option and Incentive Plan (the “2016 Plan”) provides for the grant of stock options, restricted stock units (“RSUs”), restricted stock awards, stock appreciation rights, unrestricted stock awards, performance share awards, dividend equivalent rights and cash-based awards by the Company to its employees, directors and consultants. Certain of the Company’s outstanding equity awards were granted under equity incentive plans that are no longer active but continue to govern the outstanding equity awards granted thereunder.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granted to certain of its executive employees performance-based restricted stock units (“PSUs”) covering 210,301 shares of Class A common stock that had an aggregate grant date fair value of $24.8 million. The PSUs will vest if certain operational performance conditions, as defined in the grant agreements, are met during the three-year performance achievement period, which expires on December 31, 2028. Additionally, if certain market conditions are met during the performance achievement period, the number of shares that ultimately vest may further increase or decrease. At the end of the vesting period, the number of shares actually issued may range from 0% to 200% of the target based on levels of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PSUs was determined using a Monte-Carlo simulation model. The expense is recognized on a straight-line basis when it is probable that the performance target will be achieved during the performance period. The probability of achievement is assessed each reporting period and cumulative adjustments are recorded in periods in which the probability assessment changes.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2016 Employee Stock Purchase Plan (“ESPP”) allows eligible employees to purchase shares of the Company’s Class A common stock at a discount of 15% through payroll deductions of their eligible compensation. The ESPP provides for separate six-month offering periods beginning in May and November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total unrecognized compensation cost related to unvested RSUs was $885.6 million, which will be amortized over a weighted-average period of 2.0 years. As of March 31, 2026, total unrecognized compensation cost related to unvested stock options and the ESPP was not significant.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total stock-based compensation expense as follows: </w:t>
      </w:r>
    </w:p>
    <w:tbl>
      <w:tblPr>
        <w:tblW w:w="5444"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Net Income Per Share Attributable to Common Stockholders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per share attributable to common stockholders during the periods presented:</w:t>
      </w:r>
    </w:p>
    <w:tbl>
      <w:tblPr>
        <w:tblW w:w="8353" w:type="dxa"/>
        <w:jc w:val="left"/>
        <w:tblInd w:w="0" w:type="dxa"/>
        <w:tblLayout w:type="fixed"/>
        <w:tblCellMar>
          <w:top w:w="28" w:type="dxa"/>
          <w:left w:w="28" w:type="dxa"/>
          <w:bottom w:w="28" w:type="dxa"/>
          <w:right w:w="28" w:type="dxa"/>
        </w:tblCellMar>
      </w:tblPr>
      <w:tblGrid>
        <w:gridCol w:w="1691"/>
        <w:gridCol w:w="1492"/>
        <w:gridCol w:w="1497"/>
        <w:gridCol w:w="109"/>
        <w:gridCol w:w="109"/>
        <w:gridCol w:w="109"/>
        <w:gridCol w:w="244"/>
        <w:gridCol w:w="807"/>
        <w:gridCol w:w="109"/>
        <w:gridCol w:w="109"/>
        <w:gridCol w:w="109"/>
        <w:gridCol w:w="109"/>
        <w:gridCol w:w="244"/>
        <w:gridCol w:w="807"/>
        <w:gridCol w:w="109"/>
        <w:gridCol w:w="109"/>
        <w:gridCol w:w="109"/>
        <w:gridCol w:w="109"/>
        <w:gridCol w:w="109"/>
        <w:gridCol w:w="109"/>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Dilutive effect of outstanding 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157,759,141 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161,794,287 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common stock equivalents were excluded from the calculation of the diluted net income per share attributable to common stockholders because their effect would have been anti-dilutive:</w:t>
      </w:r>
    </w:p>
    <w:p>
      <w:pPr>
        <w:pStyle w:val="TextBody"/>
        <w:bidi w:val="0"/>
        <w:spacing w:before="180" w:after="283"/>
        <w:jc w:val="left"/>
        <w:rPr/>
      </w:pPr>
      <w:r>
        <w:rPr/>
      </w:r>
    </w:p>
    <w:tbl>
      <w:tblPr>
        <w:tblW w:w="7852" w:type="dxa"/>
        <w:jc w:val="left"/>
        <w:tblInd w:w="0" w:type="dxa"/>
        <w:tblLayout w:type="fixed"/>
        <w:tblCellMar>
          <w:top w:w="28" w:type="dxa"/>
          <w:left w:w="28" w:type="dxa"/>
          <w:bottom w:w="28" w:type="dxa"/>
          <w:right w:w="28" w:type="dxa"/>
        </w:tblCellMar>
      </w:tblPr>
      <w:tblGrid>
        <w:gridCol w:w="1486"/>
        <w:gridCol w:w="1307"/>
        <w:gridCol w:w="1316"/>
        <w:gridCol w:w="109"/>
        <w:gridCol w:w="109"/>
        <w:gridCol w:w="109"/>
        <w:gridCol w:w="475"/>
        <w:gridCol w:w="396"/>
        <w:gridCol w:w="195"/>
        <w:gridCol w:w="195"/>
        <w:gridCol w:w="195"/>
        <w:gridCol w:w="195"/>
        <w:gridCol w:w="475"/>
        <w:gridCol w:w="396"/>
        <w:gridCol w:w="195"/>
        <w:gridCol w:w="109"/>
        <w:gridCol w:w="109"/>
        <w:gridCol w:w="109"/>
        <w:gridCol w:w="109"/>
        <w:gridCol w:w="109"/>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Unvested restricted stock units issued and outstanding</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940,692 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1,086,042 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1,530,125 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 portion of these unvested restricted stock units are PSUs. The number of PSUs that ultimately vest may increase or decrease the number of shares that will be issued at the end of the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14. Income Taxes</w:t>
      </w:r>
      <w:r>
        <w:rPr>
          <w:color w:val="000000"/>
        </w:rPr>
        <w: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computes its provision for income taxes for interim periods using an estimated annual effective tax rate based on anticipated annual pretax income or loss. The estimated annual effective tax rate is applied to the Company’s year-to-date income or loss, and is adjusted for discrete items recorded in the period. The primary difference between the Company’s effective tax rate and the federal statutory rate is the full valuation allowance the Company has established on its federal, state and certain foreign net operating losses and credits. Given the Company’s recent history of generating net income in the U.S., the Company believes that there is a reasonable possibility that during 2026 sufficient positive evidence may become available to allow the Company to determine that a significant portion of the valuation allowance recorded against the Company’s U.S. deferred tax assets should be released. This would result in a significant income tax benefit for the period when the Company releases the valuation allowance in the U.S. However, the exact timing and amount of the valuation allowance release are subject to change based on the Company’s actual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recorded in the three months ended March 31, 2026 and 2025 consists primarily of federal, state and foreign income taxes and withholding taxes in foreign jurisdictions in which the Company conducts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U.S. and various other state and foreign jurisdictions. Because the Company has net operating loss carryforwards for U.S. federal and state jurisdictions, the statute of limitations is open for all tax years. In February 2026, the Internal Revenue Service notified the Company of its intent to commence an audit of the Company's federal income tax return for the year ended December 31, 2023. The audit is in its preliminary stages. While the final outcome of this audit is uncertain, management believes that adequate amounts have been reserved for any adjustments that may result and does not expect the audit to have a material adverse effect on the Company's consolidated financial position, results of operations, or cash flows.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15.</w:t>
      </w:r>
      <w:r>
        <w:rPr>
          <w:color w:val="000000"/>
        </w:rPr>
        <w:t xml:space="preserve"> </w:t>
      </w:r>
      <w:r>
        <w:rPr>
          <w:rFonts w:ascii="Times New Roman;serif" w:hAnsi="Times New Roman;serif"/>
          <w:b/>
          <w:color w:val="000000"/>
          <w:sz w:val="20"/>
        </w:rPr>
        <w:t>Related Party Transactions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2022, the Company and Syniverse Corporation (“Syniverse”), an equity method investee, entered into a wholesale agreement pursuant to which Syniverse would process, route and deliver application-to-person messages originating and/or terminating between the Company’s customers and mobile network operators. For the three months ended March 31, 2026 and 2025, the value of transactions that occurred between the Company and Syniverse were $31.0 million and $38.7 million, respectively. These transactions were recorded as cost of revenue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impact of global economic and political conditions and uncertainty and significant market volatility on our business, customers and partners;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future financial performance, including expectations regarding our revenue, revenue growth, cost of revenue, gross profit, gross margin, operating expenses, and stock-based compensation, our ability to generate positive cash flow and our ability to achieve, improve and sustain profitability;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the factors affecting our results of operations, the timing of future expenses,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execute on our vision for our platform, including delivering new product releases and enhancements, reducing friction across our platform and streamlining cross-channel orchestration;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successfully deliver an interoperable platform that allows businesses to harness the power of customer data and consumer insights to improve customer engagement;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use of and ability to leverage artificial intelligence (“AI”) and machine learning, including to develop and commercialize products and features for our customers and deploy internal applications for our own operational efficiency;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drive durable, profitable growth and increase our market share, including through product innovation, leveraging artificial intelligence, forming and enhancing relationships with independent software vendors and other partners, improving our self-service capabilities, cross-selling our products and expanding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simplify and modernize our business processes and improve our overall operating efficiency;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compete effectively in an intensely competitive market, including our ability to set optimal prices for our products and adapt and respond effectively to rising costs, competing offerings, rapidly changing technology and technology trends, and evolving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and our ability to comply with, modified or new industry standards, laws and regulations applying to our business, including legislative developments that may affect our tax obligations or tax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the potential release of the valuation allowance recorded against our U.S. deferred tax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changes in network service provider fees that we pay in connection with the delivery of communications on our platform, including A2P messaging fees, our ability to manage such fees and their impact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and costs required to prevent, detect and remediate potential cybersecurity threats, incidents and breaches of ours or our customers’ systems or information;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optimize our network service provider coverage and connectivity;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share repurchases;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otherwise requires, all references in this Quarterly Report on Form 10-Q to “Twilio,” the “Company,” “we,” “our,” “us,” or similar terms are to Twilio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included in our Annual Report on Form 10-K for the year ended December 31, 2025.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II, Item 1A,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envision a world in which every digital interaction is amazing. By combining our leading communications capabilities with rich contextual data and AI, we provide the infrastructure for businesses of all sizes to revolutionize how they engage with their customers by delivering seamless, trusted, and personalized customer experiences at scale.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offer highly customizable communications APIs that enable developers to embed numerous forms of messaging, voice, email, and video interactions into their customer-facing applications, as well as software products that target specific engagement needs, including our digital engagement centers, marketing campaigns, and user authentication and identity solutions. This combination of flexible APIs and software solutions, together with our customer data capabilities, helps businesses of all sizes and across numerous industries to benefit from smarter and more streamlined engagement at every step of the customer journey, including reduced customer acquisition costs, lasting loyalty, and increased customer value. The value proposition of our offerings has become stronger and our products have become more strategic to our customers as businesses are increasingly prioritizing building more personalized and differentiated customer engagement experiences through digital channels.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focused on innovation and durable, profitable growth. To increase revenue and grow market share, we intend to drive product innovation, leverage predictive and generative AI, further enhance our independent software vendor (“ISV”), reseller and other partner relationships, improve our self-service capabilities, cross-sell our products, and expand internationally. We also intend to optimize our business and take measures to reduce costs, including simplifying and further automating our business processes, modernizing our infrastructure, leveraging AI, enacting certain workforce planning initiatives, optimizing utilization of our distributed workforce and implementing other initiatives targeted at improving efficiencies in our business. We are focused on driving leverage through these cost savings and efficiency initiatives, as well as efforts to drive growth in higher margin products.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 We also experience seasonal trends due to increased consumer activity in the fourth quarter, which may result in lower sequential revenue in the first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and gross margin are impacted by a number of factors, including our product mix; our ability to manage our cloud infrastructure</w:t>
        <w:noBreakHyphen/>
        <w:t>related and network service provider fees, including A2P messaging fees; changes in foreign exchange rates; the timing of amortization of capitalized software development costs and acquired intangibles; the extent to which we periodically choose to adjust prices of our products; and the timing and extent of our investments in our operations. Our gross margin is also impacted by the mix of U.S. messaging termination compared to international messaging termination, as international messaging has lower gross margins.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quarters, major U.S. mobile carriers have increased network service provider fees for A2P messages delivered to their subscribers, and such fees may increase further over time. We pass these fees through to our customers at cost. As a result, we recognize an equal amount of revenue and cost of revenue related to these fees. The increased fees do not impact our gross profit, but they create a headwind to our gross margins.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March 2026, we paid $141.0 million under our 2025 company-wide bonus program to eligible employees for amounts previously accrued. As previously disclosed, these payments impacted our cash flows in the first quarter of 2026.</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our recent history of generating net income in the U.S., we believe that there is a reasonable possibility that during 2026 sufficient positive evidence may become available to allow us to determine that a significant portion of the valuation allowance recorded against our U.S. deferred tax assets should be released. This would result in a significant income tax benefit for the period when we release the valuation allowance in the U.S. However, the exact timing and amount of the valuation allowance release are subject to change based on our actual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have in the past been, and could in the future be, impacted by adverse macroeconomic conditions. We are continuing to monitor actual and potential effects of recent macroeconomic and political conditions and uncertainty on our business. For additional details, see Part II,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a number of operational and financial metrics, including Dollar-Based Net Expansion Rate (“DBNE”),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year-over-year revenue growth and DBNE for the three months ended March 31, 2026 and 2025. </w:t>
      </w:r>
    </w:p>
    <w:tbl>
      <w:tblPr>
        <w:tblW w:w="6082" w:type="dxa"/>
        <w:jc w:val="left"/>
        <w:tblInd w:w="0" w:type="dxa"/>
        <w:tblLayout w:type="fixed"/>
        <w:tblCellMar>
          <w:top w:w="28" w:type="dxa"/>
          <w:left w:w="28" w:type="dxa"/>
          <w:bottom w:w="28" w:type="dxa"/>
          <w:right w:w="28" w:type="dxa"/>
        </w:tblCellMar>
      </w:tblPr>
      <w:tblGrid>
        <w:gridCol w:w="911"/>
        <w:gridCol w:w="802"/>
        <w:gridCol w:w="806"/>
        <w:gridCol w:w="109"/>
        <w:gridCol w:w="109"/>
        <w:gridCol w:w="109"/>
        <w:gridCol w:w="196"/>
        <w:gridCol w:w="871"/>
        <w:gridCol w:w="256"/>
        <w:gridCol w:w="109"/>
        <w:gridCol w:w="109"/>
        <w:gridCol w:w="109"/>
        <w:gridCol w:w="196"/>
        <w:gridCol w:w="871"/>
        <w:gridCol w:w="256"/>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1,406,907 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1,172,463 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563"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Beginning in the first quarter of 2026, we have discontinued disclosure of Active Customer Accounts as a key metric. As a result, we are revising the definition of DBNE to remove references to Active Customer Accounts and Zipwhip accounts and instead refer to “customer accounts.” The methodology for identifying these customer accounts is unchanged from the methodology most recently used to identify Active Customer Accounts and this definitional update has no impact on our methodology for calculating DBNE or our historical or future DBNE.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Dollar</w:t>
        <w:noBreakHyphen/>
        <w:t>Based Net Expansion Rate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DBNE compares the total revenue in a quarter from all individual customer accounts, as identified by a unique account identifier, for which we have recognized at least $5 of revenue in the last month of the quarter, to revenue from those same accounts in the same quarter in the prior year. A single customer organization may constitute multiple unique customer accounts if it has multiple account identifiers. To calculate DBNE, we first identify the cohort of such customer accounts in the same quarter of the prior year. DBNE is the quotient obtained by dividing the revenue generated from that cohort in a quarter, by the revenue generated from that same cohort in the corresponding quarter in the prior year. When we calculate DBNE for periods longer than one quarter, we use the average of the applicable quarterly DBNEs for each of the quarters in such period. Revenue from acquisitions does not impact the DBNE calculation until the quarter following the one-year anniversary of the applicable acquisition, unless the acquisition closing date is the first day of a quarter. Revenue from divestitures does not impact the DBNE calculation beginning in the quarter the divestiture closed, unless the divestiture closing date is the last day of a quarter.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measuring DBNE provides an important indication of the performance of our efforts to increase revenue from existing customers. Our ability to drive growth and generate incremental revenue depends, in part, on our ability to maintain and grow our relationships with existing customers and to increase their use of the platform. An important way in which we have historically tracked performance in this area is by measuring the DBNE for such customer accounts. Our DBNE increases when these customers increase their usage of a product, extend their usage of a product to new applications or adopt a new product. Our DBNE decreases when these customers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customer account, this new account is tied to, and revenue from this new account is included with, the original customer account for the purposes of calculating this metric.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Statements of Operations</w:t>
      </w: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We recognize revenue from our products on either a usage basis or a subscription basis, depending on the nature of the product and the type of customer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derived from usage-based fees. The usage-based fees are earned when customers access our cloud-based platform and start using our products. Examples of our primarily usage-based products are Messaging and Voice. For Messaging products, we primarily charge fees related to the number of text messages sent or received. For Voice products, we primarily charge fees for minutes of call duration. Examples of our primarily subscription-based products are Email and Segment. For subscription-based revenue derived from these products, we recognize revenue evenly over the contract term. When our usage-based products are embedded into our subscription-based products, or when multiple products are purchased together as a solution, we charge for each product separately on a usage or subscription basis, as applicable.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usage-based customers gain access to our platform through a self-service process,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three months ended March 31, 2026 and 2025, we generated 75% and 73% of our revenue, respectively, from usage-based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three months ended March 31, 2026 and 2025, we generated 25% and 27% of our revenue, respectively, from non-usage</w:t>
        <w:noBreakHyphen/>
        <w:t>based fees.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Cost of Revenue</w:t>
      </w:r>
      <w:r>
        <w:rPr>
          <w:rFonts w:ascii="Times New Roman;serif" w:hAnsi="Times New Roman;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arrangements with network service providers require us to pay fees, including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Gross profit represents revenue less cost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most significant components of operating expenses are personnel costs, which consist of salaries, benefits, sales commissions,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Research and Development.</w:t>
      </w:r>
      <w:r>
        <w:rPr>
          <w:color w:val="000000"/>
        </w:rPr>
        <w:t xml:space="preserve"> </w:t>
      </w:r>
      <w:r>
        <w:rPr>
          <w:rFonts w:ascii="Times New Roman;serif" w:hAnsi="Times New Roman;serif"/>
          <w:b w:val="false"/>
          <w:color w:val="000000"/>
          <w:sz w:val="20"/>
        </w:rPr>
        <w:t>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focusing our research and development investment in the highest impact product areas for our future. We are investing strategically in alignment with our focus on bringing communications, data and AI together into a single platform that enables fast, relevant and personalized interactions.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erif" w:hAnsi="Times New Roman;serif"/>
          <w:b w:val="false"/>
          <w:i/>
          <w:color w:val="000000"/>
          <w:sz w:val="20"/>
        </w:rPr>
        <w:t>Sales and Marketing.</w:t>
      </w:r>
      <w:r>
        <w:rPr>
          <w:color w:val="000000"/>
        </w:rPr>
        <w:t xml:space="preserve"> </w:t>
      </w:r>
      <w:r>
        <w:rPr>
          <w:rFonts w:ascii="Times New Roman;serif" w:hAnsi="Times New Roman;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focus our sales and marketing efforts on generating awareness of our company, platform and products, creating sales leads, expanding relationships with existing customers and establishing and promoting our brand, both domestically and internationally. </w:t>
      </w:r>
    </w:p>
    <w:p>
      <w:pPr>
        <w:pStyle w:val="TextBody"/>
        <w:bidi w:val="0"/>
        <w:spacing w:lineRule="auto" w:line="288" w:before="240" w:after="283"/>
        <w:ind w:left="0" w:right="0" w:firstLine="540"/>
        <w:jc w:val="left"/>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(expenses) income, net, consist primarily of our share of losses from our equity method investment, impairment charges and gains and losses related to our strategic investments, realized gains and losses from marketable securities, interest income and expense and debt-related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taxes consists primarily of federal, state and foreign income taxes and withholding taxes in foreign jurisdictions in which the Company conducts business. From time to time, we may recognize tax benefits arising from various matters, including newly enacted legislations. Benefits from income taxes may fully or partially offset the provision for income taxes within a reporting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 The period-to-period comparison of our historical results are not indicative of the results that may be expected in the future.</w:t>
      </w:r>
    </w:p>
    <w:tbl>
      <w:tblPr>
        <w:tblW w:w="9314" w:type="dxa"/>
        <w:jc w:val="left"/>
        <w:tblInd w:w="0" w:type="dxa"/>
        <w:tblLayout w:type="fixed"/>
        <w:tblCellMar>
          <w:top w:w="28" w:type="dxa"/>
          <w:left w:w="28" w:type="dxa"/>
          <w:bottom w:w="28" w:type="dxa"/>
          <w:right w:w="28" w:type="dxa"/>
        </w:tblCellMar>
      </w:tblPr>
      <w:tblGrid>
        <w:gridCol w:w="1678"/>
        <w:gridCol w:w="1474"/>
        <w:gridCol w:w="1482"/>
        <w:gridCol w:w="109"/>
        <w:gridCol w:w="109"/>
        <w:gridCol w:w="109"/>
        <w:gridCol w:w="267"/>
        <w:gridCol w:w="1190"/>
        <w:gridCol w:w="148"/>
        <w:gridCol w:w="148"/>
        <w:gridCol w:w="148"/>
        <w:gridCol w:w="148"/>
        <w:gridCol w:w="267"/>
        <w:gridCol w:w="1190"/>
        <w:gridCol w:w="148"/>
        <w:gridCol w:w="109"/>
        <w:gridCol w:w="109"/>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699"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1,172,463 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Cost of revenue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684,244 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558,485 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107,666 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102,232 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152,424,306 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153,345,192 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157,759,141 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161,794,287 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w:t>
        <w:br/>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stock-based compensation expense as follows:</w:t>
      </w:r>
    </w:p>
    <w:tbl>
      <w:tblPr>
        <w:tblW w:w="5444"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br/>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amortization of acquired intangibles as follows:</w:t>
      </w:r>
    </w:p>
    <w:tbl>
      <w:tblPr>
        <w:tblW w:w="4800" w:type="dxa"/>
        <w:jc w:val="center"/>
        <w:tblInd w:w="0" w:type="dxa"/>
        <w:tblLayout w:type="fixed"/>
        <w:tblCellMar>
          <w:top w:w="28" w:type="dxa"/>
          <w:left w:w="28" w:type="dxa"/>
          <w:bottom w:w="28" w:type="dxa"/>
          <w:right w:w="28" w:type="dxa"/>
        </w:tblCellMar>
      </w:tblPr>
      <w:tblGrid>
        <w:gridCol w:w="560"/>
        <w:gridCol w:w="491"/>
        <w:gridCol w:w="494"/>
        <w:gridCol w:w="109"/>
        <w:gridCol w:w="109"/>
        <w:gridCol w:w="109"/>
        <w:gridCol w:w="196"/>
        <w:gridCol w:w="646"/>
        <w:gridCol w:w="109"/>
        <w:gridCol w:w="109"/>
        <w:gridCol w:w="109"/>
        <w:gridCol w:w="109"/>
        <w:gridCol w:w="196"/>
        <w:gridCol w:w="646"/>
        <w:gridCol w:w="109"/>
        <w:gridCol w:w="109"/>
        <w:gridCol w:w="109"/>
        <w:gridCol w:w="109"/>
        <w:gridCol w:w="109"/>
        <w:gridCol w:w="109"/>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each of the periods presented as a percentage of our total revenue:</w:t>
      </w:r>
    </w:p>
    <w:tbl>
      <w:tblPr>
        <w:tblW w:w="9366" w:type="dxa"/>
        <w:jc w:val="center"/>
        <w:tblInd w:w="0" w:type="dxa"/>
        <w:tblLayout w:type="fixed"/>
        <w:tblCellMar>
          <w:top w:w="28" w:type="dxa"/>
          <w:left w:w="28" w:type="dxa"/>
          <w:bottom w:w="28" w:type="dxa"/>
          <w:right w:w="28" w:type="dxa"/>
        </w:tblCellMar>
      </w:tblPr>
      <w:tblGrid>
        <w:gridCol w:w="2329"/>
        <w:gridCol w:w="2047"/>
        <w:gridCol w:w="2058"/>
        <w:gridCol w:w="109"/>
        <w:gridCol w:w="109"/>
        <w:gridCol w:w="109"/>
        <w:gridCol w:w="188"/>
        <w:gridCol w:w="188"/>
        <w:gridCol w:w="352"/>
        <w:gridCol w:w="150"/>
        <w:gridCol w:w="150"/>
        <w:gridCol w:w="150"/>
        <w:gridCol w:w="188"/>
        <w:gridCol w:w="188"/>
        <w:gridCol w:w="352"/>
        <w:gridCol w:w="109"/>
        <w:gridCol w:w="109"/>
        <w:gridCol w:w="109"/>
        <w:gridCol w:w="109"/>
        <w:gridCol w:w="109"/>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as a 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____________________________________</w:t>
      </w:r>
      <w:r>
        <w:rPr>
          <w:rFonts w:ascii="Times New Roman;serif" w:hAnsi="Times New Roman;serif"/>
          <w:b/>
          <w:color w:val="000000"/>
          <w:sz w:val="18"/>
        </w:rPr>
        <w:br/>
      </w:r>
      <w:r>
        <w:rPr>
          <w:rFonts w:ascii="Times New Roman;serif" w:hAnsi="Times New Roman;serif"/>
          <w:b w:val="false"/>
          <w:color w:val="000000"/>
          <w:sz w:val="18"/>
        </w:rPr>
        <w:t xml:space="preserve">* Less than 0.5% of revenue.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Columns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tbl>
      <w:tblPr>
        <w:tblW w:w="6614"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871"/>
        <w:gridCol w:w="109"/>
        <w:gridCol w:w="109"/>
        <w:gridCol w:w="109"/>
        <w:gridCol w:w="109"/>
        <w:gridCol w:w="196"/>
        <w:gridCol w:w="871"/>
        <w:gridCol w:w="109"/>
        <w:gridCol w:w="109"/>
        <w:gridCol w:w="109"/>
        <w:gridCol w:w="109"/>
        <w:gridCol w:w="109"/>
        <w:gridCol w:w="109"/>
        <w:gridCol w:w="196"/>
        <w:gridCol w:w="736"/>
        <w:gridCol w:w="109"/>
        <w:gridCol w:w="109"/>
        <w:gridCol w:w="109"/>
        <w:gridCol w:w="109"/>
        <w:gridCol w:w="165"/>
        <w:gridCol w:w="166"/>
        <w:gridCol w:w="256"/>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86" w:type="dxa"/>
            <w:gridSpan w:val="9"/>
            <w:tcBorders/>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revenue increased by $234.4 million, or 20%, compared to the same period last year. This increase was primarily attributable to the increased usage of our products by our existing customers, as reflected in our DBNE of 114%, as well as an increase of $70.9 million in revenue derived from customer accounts not captured in our DBNE calculation, which are primarily new customer accounts. The increase also reflects $46.1 million in revenue related to the incremental A2P fees recently introduced by major U.S. carriers.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tbl>
      <w:tblPr>
        <w:tblW w:w="6308"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65"/>
        <w:gridCol w:w="166"/>
        <w:gridCol w:w="30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cost of revenue increased by $131.8 million, or 22%, compared to the same period last year. The increase was primarily attributable to a $118.1 million increase in network service provider costs, net of the impact of hedging instruments, which includes a $46.1 million increase due to the incremental A2P fees recently introduced by major U.S. carriers.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gross profit increased by $102.7 million, or 18%, compared to the same period last year. This increase was attributable to the factors impacting our revenue and cost of revenue, as described above.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603"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646"/>
        <w:gridCol w:w="109"/>
        <w:gridCol w:w="109"/>
        <w:gridCol w:w="109"/>
        <w:gridCol w:w="109"/>
        <w:gridCol w:w="202"/>
        <w:gridCol w:w="204"/>
        <w:gridCol w:w="256"/>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61" w:type="dxa"/>
            <w:gridSpan w:val="9"/>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research and development expenses increased by $7.9 million, or 3%, compared to the same period last year. Fluctuations in the various research and development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sales and marketing expenses decreased by $0.2 million, or nearly flat, compared to the same period last year. Fluctuations in the various sales and marketing expense categories were not significant either individually or in the aggregate.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general and administrative expenses increased by $10.5 million, or 11%, compared to the same period last year. Fluctuations in the various general and administrative expense categories were not significant either individually or in the aggregate.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tbl>
      <w:tblPr>
        <w:tblW w:w="9196" w:type="dxa"/>
        <w:jc w:val="left"/>
        <w:tblInd w:w="0" w:type="dxa"/>
        <w:tblLayout w:type="fixed"/>
        <w:tblCellMar>
          <w:top w:w="28" w:type="dxa"/>
          <w:left w:w="28" w:type="dxa"/>
          <w:bottom w:w="28" w:type="dxa"/>
          <w:right w:w="28" w:type="dxa"/>
        </w:tblCellMar>
      </w:tblPr>
      <w:tblGrid>
        <w:gridCol w:w="1250"/>
        <w:gridCol w:w="1098"/>
        <w:gridCol w:w="1102"/>
        <w:gridCol w:w="109"/>
        <w:gridCol w:w="109"/>
        <w:gridCol w:w="109"/>
        <w:gridCol w:w="196"/>
        <w:gridCol w:w="721"/>
        <w:gridCol w:w="109"/>
        <w:gridCol w:w="109"/>
        <w:gridCol w:w="109"/>
        <w:gridCol w:w="109"/>
        <w:gridCol w:w="196"/>
        <w:gridCol w:w="721"/>
        <w:gridCol w:w="109"/>
        <w:gridCol w:w="109"/>
        <w:gridCol w:w="109"/>
        <w:gridCol w:w="109"/>
        <w:gridCol w:w="109"/>
        <w:gridCol w:w="109"/>
        <w:gridCol w:w="196"/>
        <w:gridCol w:w="631"/>
        <w:gridCol w:w="109"/>
        <w:gridCol w:w="109"/>
        <w:gridCol w:w="109"/>
        <w:gridCol w:w="109"/>
        <w:gridCol w:w="246"/>
        <w:gridCol w:w="249"/>
        <w:gridCol w:w="256"/>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232" w:type="dxa"/>
            <w:gridSpan w:val="7"/>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(expenses)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other (expenses) income, net, decreased by $8.9 million, or 255%, compared to the same period last year. The decrease was primarily attributable to a $7.8 million increase in our share of losses from our equity method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the following non</w:t>
        <w:noBreakHyphen/>
        <w:t>GAAP financial information to evaluate our ongoing operations and for internal planning and forecasting purposes. We believe that non</w:t>
        <w:noBreakHyphen/>
        <w:t>GAAP financial information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 xml:space="preserve">GAAP financial information to supplement their results of operations reported in accordance with generally accepted accounting principles (“GAAP”). We believe free cash flow and free cash flow margin provide useful supplemental information to help investors understand underlying trends in our business and our liquidity.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Gross Profit and Non</w:t>
        <w:noBreakHyphen/>
        <w:t>GAAP Gross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7358" w:type="dxa"/>
        <w:jc w:val="left"/>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602,002 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Operating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 xml:space="preserve">GAAP operating expenses (including categories of operating expenses) as GAAP operating expenses (and categories of operating expenses) adjusted to exclude, as applicable, certain expenses as presented in the table below: </w:t>
      </w:r>
    </w:p>
    <w:tbl>
      <w:tblPr>
        <w:tblW w:w="7065" w:type="dxa"/>
        <w:jc w:val="left"/>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736"/>
        <w:gridCol w:w="109"/>
        <w:gridCol w:w="109"/>
        <w:gridCol w:w="109"/>
        <w:gridCol w:w="109"/>
        <w:gridCol w:w="196"/>
        <w:gridCol w:w="736"/>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lease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Non</w:t>
        <w:noBreakHyphen/>
        <w:t>GAAP Income from Operations and Non</w:t>
        <w:noBreakHyphen/>
        <w:t>GAAP Operating Margin</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non</w:t>
        <w:noBreakHyphen/>
        <w:t>GAAP income from operations and non</w:t>
        <w:noBreakHyphen/>
        <w:t>GAAP operating margin as GAAP income from operations and GAAP operating margin, respectively, adjusted to exclude, as applicable, certain expenses as presented in the table below:</w:t>
      </w:r>
    </w:p>
    <w:tbl>
      <w:tblPr>
        <w:tblW w:w="7359" w:type="dxa"/>
        <w:jc w:val="left"/>
        <w:tblInd w:w="0" w:type="dxa"/>
        <w:tblLayout w:type="fixed"/>
        <w:tblCellMar>
          <w:top w:w="28" w:type="dxa"/>
          <w:left w:w="28" w:type="dxa"/>
          <w:bottom w:w="28" w:type="dxa"/>
          <w:right w:w="28" w:type="dxa"/>
        </w:tblCellMar>
      </w:tblPr>
      <w:tblGrid>
        <w:gridCol w:w="1314"/>
        <w:gridCol w:w="1155"/>
        <w:gridCol w:w="1161"/>
        <w:gridCol w:w="109"/>
        <w:gridCol w:w="109"/>
        <w:gridCol w:w="109"/>
        <w:gridCol w:w="196"/>
        <w:gridCol w:w="736"/>
        <w:gridCol w:w="256"/>
        <w:gridCol w:w="109"/>
        <w:gridCol w:w="109"/>
        <w:gridCol w:w="109"/>
        <w:gridCol w:w="196"/>
        <w:gridCol w:w="736"/>
        <w:gridCol w:w="256"/>
        <w:gridCol w:w="109"/>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lease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Free Cash Flow and Free Cash Flow Margin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periods presented, we define free cash flow as net cash provided by operating activities less capitalized software development costs and purchases of long-lived assets, and we define free cash flow margin as free cash flow divided by revenue, as presented in the table below:</w:t>
      </w:r>
    </w:p>
    <w:tbl>
      <w:tblPr>
        <w:tblW w:w="7097" w:type="dxa"/>
        <w:jc w:val="left"/>
        <w:tblInd w:w="0" w:type="dxa"/>
        <w:tblLayout w:type="fixed"/>
        <w:tblCellMar>
          <w:top w:w="28" w:type="dxa"/>
          <w:left w:w="28" w:type="dxa"/>
          <w:bottom w:w="28" w:type="dxa"/>
          <w:right w:w="28" w:type="dxa"/>
        </w:tblCellMar>
      </w:tblPr>
      <w:tblGrid>
        <w:gridCol w:w="1086"/>
        <w:gridCol w:w="955"/>
        <w:gridCol w:w="959"/>
        <w:gridCol w:w="109"/>
        <w:gridCol w:w="109"/>
        <w:gridCol w:w="109"/>
        <w:gridCol w:w="196"/>
        <w:gridCol w:w="811"/>
        <w:gridCol w:w="256"/>
        <w:gridCol w:w="109"/>
        <w:gridCol w:w="109"/>
        <w:gridCol w:w="109"/>
        <w:gridCol w:w="196"/>
        <w:gridCol w:w="811"/>
        <w:gridCol w:w="256"/>
        <w:gridCol w:w="109"/>
        <w:gridCol w:w="109"/>
        <w:gridCol w:w="109"/>
        <w:gridCol w:w="109"/>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of $542.0 million and short-term marketable securities of $1.8 billion. Cash equivalents consist of money market funds, commercial paper and U.S. treasury bills. Short-term marketable securities consist primarily of U.S. treasury securities, high credit quality corporate debt securities and commercial paper. The cash and cash equivalents and short-term marketable securities are held for working capital purposes.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have been (i) the payments received from customers using our products; (ii) public equity offerings, most recently in February 2021; and (iii) debt financings, most recently the issuance of our 2029 Notes and 2031 Notes (each, as defined below) in March 2021.</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primary uses of cash include operating costs, such as personnel-related costs, network service provider costs, cloud infrastructure costs, facility-related spending, acquisitions and investments we may make from time to time, and repurchases of common stock under our share repurchase program. Our principal contractual and other commitments consist of obligations under our 2029 Notes and 2031 Notes, our operating leases for office space that we occupy, sublease or hold, and contractual commitments to our cloud infrastructure and network service providers. Refer to Note 8 and Note 10(a) to our unaudited condensed consolidated financial statements included elsewhere in this Quarterly Report on Form 10-Q for discussions of our obligations and commitments related to leases, debt and other purchase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II,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the repurchase of up to $2.0 billion in aggregate value of our Class A common stock. Repurchases under this program can be made through open market, private transactions or other means, in compliance with applicable federal securities laws, and can include repurchases pursuant to Rule 10b5-1 trading plans. We have discretion in determining the conditions under which shares may be repurchased from time to time. The program expires on December 31,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we repurchased $253.4 million in aggregate value, or 2.1 million shares of our Class A common stock. As of March 31, 2026, approximately $892.0 million of the amount authorized in January 2025 for share repurchases remained available for future repurchases.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2029 Notes and 2031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issued and sold $1.0 billion in aggregate principal amount of senior notes, consisting of $500.0 million principal amount of 3.625% notes due 2029 (the “2029 Notes”) and $500.0 million principal amount of 3.875% notes due 2031 (the “2031 Notes,” and together with the 2029 Notes, the “Notes”). The Notes are described in detail in Note 15 to our Annual Report on Form 10-K filed with the SEC on February 24, 2026.</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963" w:type="dxa"/>
        <w:jc w:val="left"/>
        <w:tblInd w:w="0" w:type="dxa"/>
        <w:tblLayout w:type="fixed"/>
        <w:tblCellMar>
          <w:top w:w="28" w:type="dxa"/>
          <w:left w:w="28" w:type="dxa"/>
          <w:bottom w:w="28" w:type="dxa"/>
          <w:right w:w="28" w:type="dxa"/>
        </w:tblCellMar>
      </w:tblPr>
      <w:tblGrid>
        <w:gridCol w:w="1772"/>
        <w:gridCol w:w="1551"/>
        <w:gridCol w:w="1566"/>
        <w:gridCol w:w="109"/>
        <w:gridCol w:w="109"/>
        <w:gridCol w:w="109"/>
        <w:gridCol w:w="196"/>
        <w:gridCol w:w="811"/>
        <w:gridCol w:w="109"/>
        <w:gridCol w:w="109"/>
        <w:gridCol w:w="109"/>
        <w:gridCol w:w="109"/>
        <w:gridCol w:w="196"/>
        <w:gridCol w:w="736"/>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cash provided by operating activities consisted primarily of our net income of $90.1 million adjusted for non-cash items, including $136.5 million of stock-based compensation expense, $34.2 million of depreciation and amortization expense, $27.2 million of our share of losses from an equity method investment, $17.1 million of amortization of deferred commissions, $4.7 million of non-cash reduction in our operating right-of-use asset, and $160.2 million of cumulative changes in operating assets and liabilities. With respect to changes in operating assets and liabilities, accounts payable and other current liabilities decreased $149.3 million primarily driven by the payment of the 2025 company-wide bonus in the three months ended March 31, 2026. Operating lease liabilities decreased $9.1 million due to payments made against our operating lease obligations.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2025, cash provided by operating activities consisted primarily of our net income of $20.0 million adjusted for non-cash items, including $139.3 million of stock-based compensation expense, $49.6 million of depreciation and amortization expense, $19.5 million of our share of losses from an equity method investment, $19.3 million of amortization of deferred commissions, $5.2 million of non-cash reduction in our operating right-of-use asset, and $65.7 million of cumulative changes in operating assets and liabilities. With respect to changes in operating assets and liabilities, accounts receivable and prepaid expenses decreased $42.0 million primarily due to timing of cash receipts and prepayments of certain operating expenses. Accounts payable and other current liabilities decreased $86.4 million primarily driven by the payment of the 2024 company-wide bonus in the three months ended March 31, 2025. Operating lease liabilities decreased $10.3 million due to payments made against our operating lease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cash used in investing activities was $41.2 million, primarily consisting of $19.6 million of purchases of marketable securities and other investments, net of proceeds from sales and maturities of marketable securities and other investments, $16.7 million related to capitalized software development costs, and $4.2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2025, cash used in investing activities was $19.1 million consisting of $11.6 million related to capitalized software development costs, $6.4 million of purchases of marketable securities and other investments, net of proceeds from sales and maturities of marketable securities, and $1.2 million related to purchases of long-lived assets.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cash used in financing activities was $252.6 million primarily consisting of $253.0 million of cash paid to repurchase 2.1 million shares of our Class A common stock, including related costs.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2025, cash used in financing activities was $125.8 million primarily consisting of $126.3 million of cash paid to repurchase 1.2 million shares of our Class A common stock, including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generally accepted accounting principles in the United States of America.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critical accounting policies as described in our Annual Report on Form 10-K filed with the SEC on February 24,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to the unaudited condensed consolidated financial statements included elsewhere in this Quarterly Report on Form 10-Q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$542.0 million and marketable securities of $1.8 billion as of March 31, 2026. In any given period, cash, cash equivalents and restricted cash may consist of bank deposits, money market funds, reverse repurchase agreements, commercial paper and U.S. Treasury bills. Marketable securities consist primarily of U.S. treasury securities, high credit quality corporate debt securities and commercial paper.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unaudited condensed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Currency Exchange Risks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most of our foreign subsidiaries is the U.S. dollar. The local currencies of our foreign subsidiaries are the Australian dollar, the Brazilian real, the British pound, the Canadian dollar, the Colombian peso, the Euro, the Hong Kong dollar, the Indian rupee, the Japanese yen, the Mexican peso, the Polish zloty, the Singapore dollar and the Swedish krona.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unaudited condensed consolidated statements of operations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foreign currency derivative hedging transactions to mitigate our exposure to market risks that may result from changes in foreign currency exchange rates. For further information, refer to Note 5 to our unaudited condensed consolidated financial statements included elsewhere in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hypothetical 10% change in foreign exchange rates during any of the periods presented would not have had a material impact on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Chief Financial Officer concluded that, as of March 31,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(b)    Changes in Internal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in connection with the evaluation required by Rule 13a-15(d) and 15d-15(d) of the Exchange Act that occurred during the three months ended March 31, 2026, that materially affected, or are reasonably likely to materially affect, our internal control over financial reporting.</w:t>
      </w:r>
    </w:p>
    <w:p>
      <w:pPr>
        <w:pStyle w:val="TextBody"/>
        <w:bidi w:val="0"/>
        <w:spacing w:lineRule="auto" w:line="417"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(c)    Inherent Limitations on Effectiveness of Controls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 xml:space="preserve">Legal Proceedings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10(b) to our unaudited condensed consolidated financial statements included elsewhere in this Quarterly Report on Form 10-Q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the impact of global economic and political conditions, including macroeconomic and political uncertainties;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fluctuations in our quarterly results and our ability to meet securities analysts’ and investors’ expectations;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fluctuations in the levels of our customers’ usage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attract new customers and increase usage of our products by existing customers effectively and in a cost-efficient manner;</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develop new products and enhancements that achieve market acceptance and adapt to changing technology, regulations, and industry standards;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our products with third-party products and ensure they operate effectively;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effectively manage our growth and strategic changes to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compete effectively in intensely competitive and rapidly evolving markets;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maintain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hire, integrate and retain highly skilled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network service providers and internet service providers for network service and connectivity;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breaches of or incidents impacting our networks or systems, or those of our third-party service providers;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actual or perceived failure to comply with increasingly stringent laws, regulations and obligations relating to privacy, data protection and cybersecurity;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protect our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reliance on third-party technology and intellectual property;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use of AI technologies in our platform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assign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unwanted, 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compliance with applicable laws and regulations, including export controls, economic sanctions, customs and anti-corruption regulations;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any legal proceedings or claims against us;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failure to maintain an effective system of disclosure controls and internal control over financial reporting;</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additional tax liabilities or potentially adverse tax consequences of our global operations and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changes in tax rules and regulations;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possibility that we may not realize the anticipated long-term stockholder value of our share repurchase program;</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i/>
          <w:color w:val="000000"/>
          <w:sz w:val="20"/>
        </w:rPr>
        <w:t>environmental, social and governance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Global economic and political conditions, including macroeconomic and political uncertainties, have had, and may continue to have, an adverse impact on our business, results of operations and financial condition.</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business activities continue to face widespread macroeconomic uncertainties, including market volatility, changes in international economic and trade relations, supply chain disruptions, changes in the labor market, increased energy and commodity price volatility, elevated interest rates and potential increases in inflation, foreign currency exchange rate fluctuations and recession risks, which may continue for an extended period. Additionally, the instability in the political environment in many parts of the world, including in the United States, geopolitical instability, including related to conflicts in the Middle East, and changes and uncertainty with respect to trade policies, actual or threatened tariffs, treaties, government regulations, executive orders, directives and enforcement priorities, as well as any ongoing or potential U.S. federal government shutdown, have contributed to further disruptions in global trade and have adversely affected, and may continue to adversely affect, the global economy and/or our business. Given that a majority of our revenue is usage-based and therefore impacted by general consumer sentiment and activity, our business may be more immediately and severely impacted by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macroeconomic conditions than those that rely primarily on subscription revenue. Additionally, increased prices resulting from the effects of tariffs and inflation could increase our operating expenses.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macroeconomic conditions have in the past resulted in, and may in the future result in, decreased or delayed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negatively affect revenue and revenue growth. Additionally, our customers may be affected by changes and uncertainty in the global political environment with respect to trade and other policies. For example, tariffs imposed by the U.S. administration, uncertainty related thereto, and potential or actual retaliatory measures, have adversely affected trade relations, pressured supply chains, and led to increased market volatility, and such effects may continue. Any resulting harm to our customers’ businesses could depress their usage levels and/or purchasing power and lead them to reduce their spending with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Macroeconomic and political conditions and uncertainties have in the past adversely affected, and may in the future adversely affect, our business, results of operations and financial condition, and could exacerbate many of the other risks described in this “Risk Factors” section.</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decline. In addition to the other risks described in this “Risk Factors” section, some of the factors that may result in fluctuations to our results of operations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demand for, pricing of, or usage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introduce new products, features and enhancements;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expand our customer base and the markets that our products address,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improve, automate, and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maintain and expand relationships with resellers, distributors, and strategic partners, including ISVs, technology partners, and systems integrators;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combine our communications products with contextual data and AI and introduce compelling new products and enhancements that address the changing nature of our markets and customer needs and preferences;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cloud infrastructure, network services and other third-party technology, including the fees charged by their providers;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effectiveness of our sales and marketing efforts, the productivity of our sales force, and 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the mix or amount of products that our customers use, and that are sold in the United States versus internationally, during a particular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seasonal trends, including due to increased consumer activity in the fourth quarter;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amount and timing of costs associated with recruiting, training and integrating new employees, and retaining existing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foreign currency exchange rates and our ability to effectively hedge our foreign currency exposure;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new accounting pronouncements;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stock-based compensation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including heightened inflation or interest rates, and geopolitical uncertainty or instability.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our customers terminate or reduce their usage of our products, our business, results of operations and financial condition would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grows as customers increase their usage of a product, extend their usage of a product to new applications or adopt a new product that we offer. The majority of our revenue is usage-based, and if our customers do not increase their use of our products or maintain their usage of our products at existing levels,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Customers may terminate or reduce their use of our products, or we may fail to attract new customers, for any number of reasons, including dissatisfaction with our products or with the value proposition of our products, our inability to meet their needs and expectations, our failure to maintain performance, reliability, security, integrity or availability of our products and infrastructure to the satisfaction of our customers, or customers’ use of competitors’ products. For example, prior instances of disruptions in our networks or systems, or those of our third-party service providers, have impacted our customers’ ability to use products on our platform for up to several hours at a time. Such issues have had, and in the future may have, an adverse impact on customer satisfaction and our ability to retain or attract customers and have caused, and may in the future cause, us to incur certain costs associated with offering credits to our affected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believe our ability to provide customers with high-quality, effective customer support services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Moreover, even if we succeed in providing and maintaining high-quality customer support, there is no guarantee that it will generate increased customer usage of our products or lead to long-term or meaningful customer retention.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Customer usage of our products depends on factors generally outside of our control, so it is difficult to accurately predict customers’ usage levels. Our Dollar-Based Net Expansion Rate may decline for a number of reasons, including if customers are not satisfied with our products and related customer service experience, the value proposition of our products or our ability to meet their needs and expectations, due to reductions in customers’ budgets or as a result of adverse macroeconomic conditions. If we lose customers, or if our customers reduce their usage levels of our products,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or increase usage of our products by existing customers effectively and in a cost-efficient manner, our business, results of operations and financial condition would be adversely affected.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must continue to attract new customers, increase usage of our existing products and new product adoption by existing customers, and successfully market new products, including products with higher gross margins, and do so in a cost-effective manner. Our sales and marketing teams work closely together to drive awareness and adoption of our platform. We leverage our brand, marketing programs and conferences, such as SIGNAL, to expand our go-to-market motions. Our go-to-market model has three motions: our self-service platform, primarily aimed at developers and other technical customers; our direct sales motion, primarily aimed at enterprises and other organizations with complex, high-scale business needs; and our partner-led motion, including resellers, distributors, and strategic partners, such as ISVs, technology partners and systems integrators, which is primarily aimed at customers who do not have the available developer resources or expertise to build our products into their own applications.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sales and marketing strategies, and their effectiveness, are influenced by numerous factors. We have made, and may in the future make, changes to the organization of our sales force and sales motions in response to changes in company strategy, new market opportunities, new products or features, sales performance or effectiveness, changes in sales headcount, changes to the compensation structure of our sales organization, or other factors. Such changes may not lead to wider adoption of our products or to the cost-effective acquisition of additional customers or increased revenue from existing customers as quickly or to the extent we expect, or at all, and have resulted, and may in the future result, in a reduction of productivity, which could negatively impact our growth rate and results of operations. For example, we are focusing increasingly on solution selling and platform services. We are focused on driving efficiencies in our sales operations, and are continuing to improve and rely increasingly on our self-service capabilities to drive sales to customers that do not require direct account coverage. We are also introducing AI and automation in our self-service platform aimed at improving sales and customer support. These efforts may not continue to be as effective as we anticipate in driving adoption or increased usage of our products, or may take longer than we expect to drive growth or increase efficiency. In addition, if the costs of the marketing channels we use increase, then we may choose to use alternative or less expensive channels, which may not be as effective as the channels we currently use.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New products that we develop or markets that we pursue may require increasingly sophisticated and more costly sales efforts and result in longer sales cycles. As we seek to increase the adoption of our products by enterprises, we expect to encounter higher costs and more complex sales efforts for these customers. For enterprises, the decision to adopt our products may require the approval of multiple technical and business decision makers, and enterprise customers may require extensive education about our products and significant customer support before they will commit to deploying our products at scale, which may place additional strain on our product and engineering resources. Enterprises may also engage in protracted pricing and contract negotiations, leading to higher costs and longer sales cycles. Enterprise customers may not use our products enough for us to generate revenue that justifies our cost to obtain such customers, or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efforts to increase the adoption and usage of our products or sell additional products to existing customers are more expensive or time-consuming than we expect or are otherwise ineffective, then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develop new products or product enhancements that achieve market acceptance, or adapt and respond effectively to rapidly changing technology, regulations, industry standards, or customer needs and preferences.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attract new customers and increase revenue from existing customers depends in large part on our ability to enhance and improve our existing products and to introduce compelling new products and enhancements that reflect the changing nature of our markets, technology, industry standards, and customer needs and preferences. Anticipating these factors requires that we allocate significant resources without any guarantee that our investments of these resources will result in increased adoption of our products by current and prospective customers. For example, we have committed, and expect to continue to commit, significant resources towards developing new products and enhancements by combining our communications products with contextual data and AI. The success of any enhancements or new products depends on several factors, including timely completion, adequate quality testing, actual performance quality, market-accepted pricing levels, customer value and the ability to provide rapid time-to-value for our customers, and the emergence of competing products and services that may be delivered at lower prices, more efficiently, conveniently or securely, or render our products obsolete. For example, if user authentication practices evolve to reduce or eliminate the use of one-time passwords, our revenue could be adversely affected.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at times driven by our developer community and may be outside of our control.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successfully and cost-effectively develop and drive adoption of new products, anticipate and keep pace with changes in technology, customers’ needs and expectations, and industry standards, or provide rapid time-to-value to our current and prospective customers, our business, results of operations and financial condition would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success of our products depends, in part, on our ability to integrate them with third-party products used by us or our customers and to ensure that they operate effectively with evolving platforms and technologies.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providers of third-party products with which our products are integrated may modify the features, functionality, pricing, and other terms and conditions with respect to such products in a manner adverse to us and to our customers. If we are unable to maintain the integrations between our products and such third-party products, our ability to meet the needs and expectations of our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new integrations and changes and innovation in integrated technologies which may present significant complexity, obstacles or other adverse impacts on our products or our business. For example, in 2025 we launched a new channel using Rich Communication Services (“RCS”) and we are working on a channel for Apple Messages for Business. We are also focused on the interoperability of our products across the data ecosystem. Third-party platforms may also implement changes to their policies or practices regarding privacy or other matters that may adversely impact us or our customers. In addition, our network service providers, mobile device operating system providers or inbox service providers may adopt new filtering technologies in an effort to combat spam or robocalling. For example, Apple, Google, Yahoo and other mobile device operating system providers or inbox service providers have developed, and may in the future develop, new applications or functions intended to filter spam and unwanted phone calls, messages or emails. Such technologies may inadvertently filter desired messages or calls to or from our customers. If mobile device operating system providers, inbox service providers or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and strategic changes to our business, then our business, results of operations and financial condition could be adversely affected.</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substantial growth in our business and operations, which has placed, and may continue to place, significant demands on our management, operational and financial resources and systems, especially as we continue to focus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To manage our current and anticipated future growth effectively, we must continue to improve our operational, financial and management controls as well as our reporting systems and procedures, which has required, and will continue to require, us to commit substantial financial, operational, and technical resources.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TextBody"/>
        <w:bidi w:val="0"/>
        <w:spacing w:lineRule="auto" w:line="288" w:before="24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The current and prospective markets for our products are intensely competitive and rapidly evolving, and if we do not compete effectively or if these markets fail to grow as expected, our business, results of operations and financial condition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and prospective markets for our products are rapidly evolving, significantly fragmented and highly competitive, in some cases with relatively low barriers to entry, and may fail to grow as expected or decline over time. The principal competitive factors of these markets include completeness of offering, credibility with customers, ability to differentiate our products against competing offerings,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as well as our customers’ perception of the value and necessity of our products and platform. Our competitors are primarily (i) CPaaS companies that offer communications products and applications, (ii) regional network service providers that offer limited developer functionality on top of their own physical infrastructure, (iii) customer relationship management and customer experience vendors, (iv) standalone customer data platform vendors and (v) other software companies that compete with portions of our product 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have in the past and may in the future develop and market products and services with comparable functionality to our products, and this could lead us to decrease prices in order to remain competitive. In addition, customers may reduce or delay spending on our products or substitute alternative solutions in response to pricing pressures, budget constraints or changing business priorities.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the introduction of new products and services and new market entrants, we expect competition to intensify in the future. Industry developments and evolving technology, such as AI, may also impact our competitive landscape and the factors required to compete effectively in current or prospective markets. Our ability to grow will depend in part on our success in expanding the scope of our products and entering new markets, and there can be no assurance that the markets will grow or that our products will achieve meaningful adoption within them.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results of operations and financial condition also depends, in part, on our ability to establish, maintain and expand relationships through resellers, distributors, and strategic partners, including ISVs, technology partners and systems integrators. A portion of our revenue is derived from sales made by these partners and any one of them may later decide to sell their own products or those of third parties that may be competitive with our products. A loss or reduction in sales of our products through these third parties could adversely affect our revenue and other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financial performance in recent periods may not be indicative of future performance, and we may not be able to maintain profitability in the future.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achieved net income of $33.8 million in the year ended December 31, 2025. However, we incurred net losses in each preceding year since our inception. Our past performance for any quarterly or annual period should not be relied upon as an indication of our performance for any future period. If we are unable to generate and sustain increased revenue levels and manage our operating expenses, we may not achieve and sustain profitability and, even if we do, we may not be able to increase our level of profitability or achieve our stated profitability goals. As we implement additional initiatives to increase revenue, our operating expenses may continue to rise over the long term, potentially including, among other things: investments in our engineering team; improvements in security and data protection; the development of new products, features and functionality and enhancements to our platform, including computing costs associated with AI;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if our revenue growth does not meet estimates, we may not be able to offset our associated operating expenses, which could prevent us from achieving and sustaining profitability, or maintaining or increasing cash flow.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experienced and may in the future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financial and operational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our financial and operational targets,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implemented several reductions in workforce and efforts to restructure our business in the past and may in the future implement other reductions in force. Our reductions in force may result in unintended consequences, including employee attrition beyond the intended reduction in force, damage to our corporate culture and decreased employee morale among remaining employees, diversion of management attention, damage to our reputation as an employer, which could make it more difficult for us to hire new employees in the future, delays in meeting our financial and operational targets, and the loss of institutional knowledge and expertise of departing employees.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To deliver our products, we rely on network service providers and internet service providers for our network service and connectivity, and disruption or deterioration in the quality of these services or changes in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interconnect with fixed and mobile network service providers around the world to deliver our products. Although we have, or are in the process of acquiring, authorization to provide voice and messaging services and for direct access to phone numbers in many countries, we expect to continue to rely to some extent on network service providers for these services. Reliance on network service providers subjects us to regulatory, competitive and other industry related changes over which we have little or no control. In addition, our reliance on network service providers subjects us to fees, penalties, administrative and technical requirements, each of which are subject to change. Similarly, in some cases, we utilize intermediaries for direct access to networks. Although we have, or are in the process of securing, direct connections with network service providers in many countries, we expect to continue to rely on intermediaries for these services to some extent. These intermediaries also charge us changing fees and at times have offerings that compete directly with our products. We also interconnect with internet service providers around the world to deliver our email products, and expect to continue to rely on such providers.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Reliance on these providers poses risks to the quality of our services, primarily by limiting our control, operating flexibility, and ability to timely identify and respond to necessary service changes, and by subjecting us to service interruptions or outages. Reliance on such providers in the past has caused, and may in the future cause, errors, service outages, security incidents, or poor-quality communications on our products, and we could encounter difficulty identifying the source of the problem. This has in the past, and may in the future, cause harm to our brand, result in lost revenue, and cause us to lose existing and prospective customers.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fees we pay to these providers also subject us to risks. We are exposed to significant fluctuations in applicable fees paid to network service providers, intermediaries, and internet service providers. These fees are outside of our control and we are not able to predict the magnitude or timing of changes to such fees. Additional or increased fees charged by such providers have resulted, and could in the future result, in increases to our costs and other impacts on our financial results. For example, recent increases to A2P messaging fees charged by major U.S. mobile carriers create a headwind on our margins, and such fees may increase further over time. In some markets, fees charged by our network service providers change daily or weekly. We may not be able to change our customer pricing as rapidly, and absorbing these costs could adversely affect our business and results of operations. Further, even when we do pass fee increases through to customers, it typically increases revenue and cost of revenue such that while gross profit dollars are not impacted, it has a negative impact on gross margins. While historically we have responded to many fee increases through negotiating efforts, absorbing increased costs or passing fees through to customers, we may be unable to respond in these ways in the future without a material negative impact to our business. Our ability to respond to fee increases may also be constrained by equivalent increases by other providers in a particular market, fees that are disproportionately large compared to underlying prices paid by our customers, or market or other conditions limiting our ability to increase the prices we charge for our products.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face risks related to losing access to these services. Many of these providers do not have long-term committed contracts with us and may interrupt services or terminate their agreements with us without notice. We may not be able to replace these services on a cost-effective basis, or at all, and even if we can, replacing providers may be time-consuming, costly and result in delays.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Any of the foregoing consequences of our reliance on network service providers, intermediaries and internet service providers to deliver our products could adversely impact our business, results of operations and financial condition.</w:t>
      </w:r>
      <w:r>
        <w:rPr>
          <w:color w:val="000000"/>
        </w:rPr>
        <w:t xml:space="preserve">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Failure to set optimal prices for our products could adversely impact our business, results of operations and financial condition.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face risks associated with optimally pricing our products, particularly given the dynamic nature of our usage-based pricing. The fees that we pay to network service providers can vary, in some markets daily or weekly, differ across countries, and are affected by volume and other factors that may be outside of our control and which are difficult to predict. As a result, we may incur increased costs that we may be unable or unwilling to pass through to our customers. If we do pass increased fees through to our customers, it could adversely affect customer relationships or cause customers to seek lower-cost alternatives.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periodically adjust the pricing for our products and expect to continue to. Many of our usage-based customers have contracts with negotiated pricing, and our subscription contracts also have negotiated pricing. New products or price reductions by competitors may prevent us from retaining or attracting customers based on our historical pricing, and we may otherwise be required or choose to reduce our pricing. Any such price reductions, lost customers, or other failure to optimize our pricing could adversely impact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and the years ended December 31, 2025 and 2024, we derived 36%, 36% and 35%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difficulty of managing and staffing international operations and the increased operations, travel and infrastructure and other costs associated with servicing international customers and operating numerous international locations, including collecting accounts receivable and having longer payment cycles, higher or more variable network service provider fees and other costs associated with the need to adapt and localize our products and support for foreign countries;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new and different sources of global competition affecting 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reconciling technical controls to address different technical standards, data privacy, data protection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comply with laws, regulations, customs and industry standards in countries and other regions in which we operate or do business, and the associated costs and management attention required to support such compliance, including with respect to data privacy, data protection, data localization, cybersecurity, intellectual property rights, environmental and sustainability matters, as well as export controls, sanctions, anti-bribery and anti-corruption matters;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international tax and trade policies, tariffs, and other non-tariff barriers;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restrictions on the transfer of funds;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political or social unrest, economic instability, conflict or war in a specific country or region in which we, our customers, partners or service providers operate, which could have an adverse impact on our operations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region or otherwise have a material impact on regional or global economies, any or all of which could adversely affect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Also, due to costs from our international operations and network service provider fees outside of the United States, which generally are higher than domestic rates, our gross margin for messages terminating internationally is typically lower than our gross margin for messages terminating domestically. As a result, our gross margin has been, and may continue to be, adversely impacted by our international operations. If we, or our international business partners, fail to manage any of these risks successfully, it could harm our international operations and adversely affect our business, results of operations and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expand our products and grow our business to meet the needs of current and prospective customers. In some circumstances, we may determine to do so through acquisitions, partnerships or investments in businesses and technologies that are complementary to our business. There can be no assurances that such transactions will result in the anticipated benefits, and it is possible that there could be a loss of our key employees and customers, disruption of ongoing businesses or unexpected issues, higher than expected costs, the diversion of management attention and resources from day-to-day business operations and an overall post-completion process that takes longer than originally anticipated. In addition, the following issues, among others, may need to be addressed in order to realize the anticipated benefits of any acquisitions, partnerships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integrating the companies’ product,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incurring significant, nonrecurring costs to integrate our operations with those of acquired businesses, including the costs to maintain employee morale and retain key employees;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effecting potential actions that may be required in connection with obtaining regulatory approvals.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also divest or stop investing in certain businesses or products. The sale of a business or product has in the past and may in the future require us to restructure operations and/or terminate employees and could expose us to unanticipated ongoing obligations and liabilities, including as a result of our indemnification obligations. During the pendency of a divestiture, we may be subject to risks related to a decline in the business, loss of employees, customers, or suppliers, and that the transaction may not close, which could have an adverse effect on the business to be divested and on us. Divestitures or winding down businesses or products can also disrupt our customer, supplier and/or employee relationships and divert the time and attention of our management and employees. Additionally, we may experience harm to our financial results, including loss of revenue, and we may not realize the expected benefits and cost savings of these actions and our operating results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Breaches of or other incidents impacting our networks or systems, or those of our third-party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vendors and other business partners. Moreover, our platform stores, transmits, and otherwise processes our, our customers’ and our partners’ proprietary, confidential, and sensitive data. We also rely on various third-party service providers – including network service providers, internet service providers, telecommunications carriers, and providers of cloud infrastructure and cloud communications – for business operations, to operate our platform and to deliver our products, as well as third-party technology and intellectual property.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targeted by threat actors seeking unauthorized access to our systems or data, or that of our customers or third-party service providers, or to disrupt our operations or ability to provide our services. Our third-party service providers have also been targeted. Our platform and our underlying infrastructure, the information we store and process, and those of our third-party service providers, are subject to evolving threats and have in the past and may in the future be subject to breaches, compromises, disruptions, or other incidents, including as a result of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fraud, social-engineering attacks (such as phishing) and other third-party attempts to induce our employees, customers or partners to disclose sensitive information to gain access to our customers’ data or systems, or our data or our systems;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efforts by hackers or sophisticated groups, such as criminal organizations, state-sponsored organizations or nation-states, to launch coordinated cyberattacks on internally built infrastructure or on third-party cloud-computing platform providers, including malicious code, ransomware, destructive malware, supply chain attacks and distributed denial-of-service attacks;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third-party attempts to abuse our marketing, advertising, messaging or products and functionalities to impersonate persons or organizations and disseminate information that is false, misleading or malicious;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attacks on, malfunctions or unavailability of, or other vulnerabilities in, the underlying networks and services that power the internet or that our products otherwise depend on, many of which are not under our control or the control of our customers or partners;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attacks facilitated or enhanced by AI, including agentic AI and deep fakes;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employee fraud, misconduct or error, including resulting from efforts to bribe, extort, infiltrate or otherwise compromise our or our service providers’ workforce.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Cyberattacks and other malicious activity continue to become more sophisticated, targeted and inexpensive to conduct, and to increase in frequency and magnitude. These include ransomware and cyber extortion attacks, which can lead to significant interruptions in our operations, loss of data and income, reputational harm, and diversion of funds. Extortion payments may reduce the negative impact of a ransomware attack, but we may be unwilling or unable to make such payments, such as due to applicable laws or regulations prohibiting such payments. Geopolitical tensions and events may further heighten risks we and our service providers face from breaches and other incidents.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make, and expect to continue to make, significant investments in processes and controls designed to mitigate risks associated with breaches and other incidents, including to evaluate and respond to known and potential risks. These investments are, and could increasingly be, costly, and may not be effective or prevent a material incident. Our ability to effectively mitigate these risks may be impacted by, among other factors: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use of AI to rapidly discover and exploit vulnerabilities;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rapidly evolving nature of techniques to breach, compromise, or disrupt IT systems and infrastructure, including increasing use of AI technologies, such that we may not be able to recognize such techniques until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launched against a target, or anticipate, prevent, or timely respond to them, increasing the likelihood and magnitude of damage of a breach or other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increasing complexity of our internal IT systems, including as we adopt new technologies, including AI solutions, and incorporate and secure IT environments from acquired companies;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reliance on third-party technology and service providers;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limited control over customers and third-party providers (including those authorized by customers to access their data) and the processing of data by third-party providers, which may prevent us from maintaining the integrity or security of such data.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experience, and have experienced, cyberattacks and other security incidents, which have in the past and may in the future cause harm to our business. For example, in 2022, one such incident resulted in threat actors obtaining employee credentials and accessing customer data, and required us to notify affected customers and regulators and take steps to remediate the incident. While to date the security events we have experienced have not had a material financial impact, we may experience significant and material future incidents. Any security incident can result in loss, corruption, unavailability, or other unauthorized processing of confidential information or sensitive personal information. Any such event, or the perception that it has occurred, may also result in damage to our reputation, erosion of customer trust, loss of customers, litigation, regulatory investigation, fines, penalties, and other consequences and liabilities that could adversely affect our business, results of operation and financial condition. Laws and regulations require us to maintain security measures, and we may have contractual or other legal obligations to notify customers, government agencies, impacted individuals or other relevant stakeholders of security breaches or other incidents, which disclosures are costly and may cause widespread negative publicity and resulting harm, among other adverse consequences. Further, the detection, prevention, and remediation of known and potential security incidents, including determining whether an incident is notifiable or reportable, may not be straightforward and result in additional direct or indirect costs to respond or alleviate the consequences of the actual or perceived incident, such as additional infrastructure capacity spending to mitigate system degradation or reallocation of resources from development activities. We maintain errors, omissions and cyber liability insurance policies covering certain security and privacy damages, but such insurance may not be sufficient to cover the potentially significant losses resulting from a security breach or other incident, may be denied with respect to a particular claim, or may not remain available in the future on acceptable terms or at all.</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increasingly stringent laws, regulations and contractual obligations relating to privacy, data protection and cybersecurity could harm our reputation and subject us to significant fines and liability or loss of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increasing legal, regulatory, and contractual obligations relating to privacy, data protection and cybersecurity that affect how we process personal data in the jurisdictions where we and our customers operate. Our obligations change frequently due to new or modified laws and regulations, as well as court rulings interpreting or invalidating them. These evolving obligations involve significant compliance costs and operational challenges, and increasingly expose us to enforcement actions and other proceedings or actions, sanctions, and litigation, as well as regulatory and public scrutiny of our practices relating to personal information. We expect the increasing breadth and depth, and changing nature of, these obligations to continue to require significant resources, including to review our technology, systems and processes against changing requirements. They may also limit our ability to use personal data for new products, including those relying on AI-related technologies.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for example, the California Consumer Privacy Act (as amended by the California Privacy Rights Act of 2020, the “CCPA”) provides our customers, employees, and other individuals certain rights related to their personal information. The federal government has also proposed, and numerous other states are considering or have proposed and/or enacted, laws and regulations addressing privacy and cybersecurity. Internationally, the regulatory landscape is increasingly complex and fragmented and compliance increasingly financially burdensome. For example, in the European Union (“EU”), the General Data Protection Regulation (“GDPR”) imposes significant requirements regarding the processing of personal information, including related to transparency, individuals’ privacy rights, compliance contracting, data minimization, data breach notification, data retention, security, and international data transfers. Other international privacy and data protection laws also impose strict requirements, such as related to marketing communications and deployment of cookies. Together, this patchwork of global requirements presents significant compliance challenges, and subjects us to possible fines, sanctions, litigation, and other adverse consequences. For example, under the GDPR, regulators may impose temporary or definitive bans on data transfers or other processing, require deletion, and impose significant fines, potentially ranging up to 4% of our worldwide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comply with increasing laws and regulations relating to data residency, data localization, and the transfer of data across territorial boundaries, arising from the fact that our primary data processing facilities are in the United States. For example, the GDPR restricts the transfer of personal data from the EU to the United States and other countries that are not deemed to have implemented adequate data protection measures, and other jurisdictions have proposed and enacted laws relating to cross-border data transfer or requiring personal information to be stored in the jurisdiction of origin. We use a variety of legal transfer mechanisms to transfer personal data across borders, including standard contractual clauses and the E.U.-U.S. Data Privacy Framework, whose use is subject to ongoing review and litigation, and we may not be able to continue to rely on these or other transfer mechanisms. As a result of this uncertainty, we have encountered hesitancy, reluctance or refusal by European and multinational customers to use our services. If we are unable to maintain valid mechanisms for cross-border data transfer, we and our customers may face increased exposure to regulatory actions, significant fines, or injunctions against processing or transferring personal information from Europe or elsewhere. Any inability to transfer personal information to the United States or other jurisdictions, or costly restrictions on such transfer, may also limit our ability to collaborate with partners and customers, require us to increase our data processing capabilities in Europe and/or other jurisdictions at significant expense, and/or otherwise negatively impact our business.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as a provider of interconnected VoIP service, we must also comply with certain U.S. federal privacy laws and regulations, including Section 222 of the Communications Act of 1934, as amended, and the FCC’s customer proprietary network information rules. We are also subject to state rules and obligations that have been proposed or adopted, or may be in the future. We are also subject to other rapidly changing technology- and industry-specific laws, regulations and obligations. For example, we expect increased global regulation in the use of AI and ML such as the recent AI Act in Europe, which imposes onerous obligations related to the development, placement on the market and use of AI systems. Various countries and a growing number of U.S. states are also enacting legislation regulating aspects of AI or AI generally. We may need to change our business practices to comply with obligations under these or other new and evolving regimes, and face significant compliance challenges, liability, or other risks.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have contractual obligations relating to privacy, data protection and cybersecurity that are increasingly stringent due to related legal and regulatory changes and the expansion of our offerings. For example, certain laws and regulations, such as the GDPR and CCPA, require our customers to impose contractual restrictions on their service providers. In addition, we support customer workloads involving the processing of protected health information and are required to sign business associate agreements with customers that subject us to certain requirements under federal and state laws governing health information, such as the Health Insurance Portability and Accountability Act of 1996, as amended by the Health Information Technology for Economic and Clinical Health Act of 2009.</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Taken together, evolving legal, regulatory and contractual obligations pertaining to privacy, data protection, cybersecurity and AI may require us to expend resources to modify our practices and products, reduce demand for our platform, increase our costs, restrict our ability to store and process data, inhibit product functionality or the development of new products and features, or impact our ability to operate in certain locations, any of which could impair growth or otherwise harm our business. Further, any actual or perceived non-compliance with these laws, regulations, contractual commitments, or other actual or asserted obligations, including industry standards, pertaining to privacy, data protection, cybersecurity or AI could subject us to regulatory audits or inquiries, civil and criminal penalties, or significant fines, or lead to costly legal action, breach of contract claims, adverse publicity, significant liability, inability to process data, and decreased demand for our services,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technology and intellectual property licensed from third parties in certain of our products and our platform, and for business operations,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service outages, security vulnerabilities, or otherwise malfunctions, our business operations or the functionality of our products and platform may be negatively impacted, our customers may experience outages or reduced service levels, and our business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outsource a substantial majority of our cloud infrastructure to Amazon Web Services (“AWS”), which hosts our products and platform. Our customers need to be able to reliably access our platform, without material interruption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if our products, platform or customer data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products and platform incorporate open source software, and we expect to continue to incorporate open source software in our products and platform in the future. Open source software presents certain risks in addition to those of third-party technology and intellectual property generally.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deployed, and continue to develop and incorporate, AI solutions and features in our platform and our business, and these solutions and features may become more important to our operations, future growth or competitiveness over time. We expect to rely on AI solutions and features to help drive future growth and efficiency in our business, but there can be no assurance that we will realize the desired or anticipated benefits from AI in a timely or cost-effective manner. For example, we are focused on continued product innovations to combine our communications products with contextual data and AI. We are also building out new AI capabilities internally, including AI automation and agents in our self-service platform and in our internal operations.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deployment of agentic AI — systems that autonomously execute multi-step tasks — introduces risks that are distinct from those of traditional AI features resulting from unintended or unauthorized actions that disrupt our internal operations and service delivery. These risks may be difficult to monitor or prevent given the autonomous nature of such systems.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our use of AI internally and in our offerings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harmful,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or contractual obligations to which we are or may become subject. Our increasing use of AI internally in the development of our products may also subject us to intellectual property risks arising from limits and uncertainty regarding the protectability of certain outputs we create using generative AI tools. If we fail to obtain any required permissions to collect, use, or otherwise process data, including personal information, in relation to AI solutions or features, or if we jeopardize the privacy or security of such information, it could adversely affect our business, results of operations and financial condition. The legal, regulatory, and policy environments around AI are evolving rapidly, and we may become subject to new and evolving legal and other obligations. Our increasing use of AI internally, including in product development, may also present risks of technical errors, service disruptions or other issues related to flawed or inaccurate AI-generated outputs, as well as security vulnerabilities, which would negatively impact our reputation and our business. These and other developments may require us to make significant changes to our use of AI, including by limiting or restricting our use of AI, require us to make significant changes to our policies and practices, and necessitate expenditure of significant time, expense, and other resources. AI also presents emerging ethical issues, and if our use of AI becomes controversial, we may experience brand or reputational harm.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provider of communications products and a licensed telecommunications provider, we are required to comply with many changing federal, state and international regulations, including relating to privacy, security, telecommunications, consumer protection, fraud and scam prevention, Know Your Customer and Know Your Traffic and other requirements and obligations, which often vary across the numerous jurisdictions in which we operate. Compliance with these requirements involves significant management attention and compliance costs, and can present operational challenges, onboarding delays and friction for our customers, require us to raise prices, restructure or discontinue our products, or limit our ability to expand into certain jurisdictions. If we do not comply with such requirements, we could face enforcement actions, significant fines, remedial directions to implement audits or new processes, loss of licenses, restrictions or prohibitions on our ability to operate or offer certain of our products, eroded customer trust, and damage to our brand and reputation, and other consequences. Any of the foregoing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at the federal level, we and/or our customers are required to comply with laws and regulations limiting telemarketing and certain technologies that enable automatic calling and/or messaging and establishing quiet hours for solicitations, such as the Telephone Consumer Protection Act of 1991 (“TCPA”), laws requiring assistance to law enforcement in electronic surveillance, requirements to pay regulatory fees and contributions to various federally administered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to safeguard the privacy of certain customer information, and requirements aimed at mitigating illegal robocalls and robotexts, such as the implementation of call authentication technologies, and other compliance requirements. At the state level, some states have adopted, proposed or may propose, regulations that may subject us to additional registration, reporting, resiliency and/or compliance obligations, including laws similar to the TCPA.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varying international licensing obligations and communications regulations, including related to reporting requirements, provision of emergency services and of information to support emergency services, number portability, combatting scam and fraud, payment into universal service funds, and licensing fees, among others. As we expand into new countries, our potential regulatory and licensing obligations, and related scrutiny, increase. The international landscape continues to evolve, and in many cases involves significant uncertainties related to how the CPaaS business model fits into the communications regulatory framework. There is significant variation in requirements across international jurisdictions, including as to whether some or all of the services we offer are considered regulated telecommunications services. In addition, certain of our products may be used by customers located in countries where voice and other forms of Internet Protocol (“IP”) communications may be illegal or require special licensing or in countries on a U.S. embargo list, and users in such countries may continue to use our products in those countries notwithstanding the illegality or embargo, or a local partner that we use to provide services may not comply with applicable governmental regulations, subjecting us to potential penalties or governmental actions that may be costly, harm our business and damage our brand and reputation.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Both in the United States and internationally, these requirements continue to change. For example, new federal, state, or international requirements could impose more or different robocall or robotext mitigation measures, limit the customers we are able to serve, extend telecommunications regulations to our non-interconnected VoIP services or messaging products, subject us to additional registration, reporting or resiliency compliance obligations, or subject us to other fees, taxes or obligations. The changing nature of these requirements increases the associated compliance costs, operational challenges, possibility of enforcement actions and other associated risks, and new or changed requirements, or interpretations or judicial actions related to them, may also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obtain, assign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and the requirements of network service providers from whom we can provision Numbering Resources, such as conditional minimum volume call level requirements, as well as related costs and competitive demand.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 order to obtain allocations of, assign and retain Numbering Resources in many international jurisdictions, we are often required to be licensed by local telecommunications regulatory authorities.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These regulations and governments’ approach to their enforcement, as well as our products and services, are evolving and we may be unable to maintain compliance with applicable regulations, or enforce compliance by our customers, on a timely basis or without significant cost or changes in products or business practices that result in reduced revenue. In some countries where our or our customers’ assignment and/or use of Numbering Resources in certain ways may violate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required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acquire or retain Numbering Resources, our voice and messaging products may be less attractive to potential customers. Certain popular area code prefixes have limited availability, and restrictive rules generally prevent us from obtaining or assigning certain number types. In addition, future growth in our customer base and those of other CPaaS providers may make it increasingly difficult to source larger quantities of Numbering Resources, and Numbering Resources may become more expensive or subject to more stringent regulation or conditions of usage.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our dependency on network service providers to transfer these numbers, and these network service providers may refuse or substantially delay the transfer of these numbers to us. Number portability is an important feature to many potential customers, and failure to reduce delays may result in adverse regulatory enforcement, increased difficulty in acquiring new customers, or costs to compensate customers for certain failures in the porting process.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certain states prohibit the sending of email messages that advertise products or services that minors are prohibited by law from purchasing or that contain content harmful to minors to email addresses listed on specified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customers’ and others’ violation of our policies or other misuse of our platform to transmit unwanted, offensive or illegal communications, spam, social engineering scams, links to harmful applications or for other fraudulent or illegal activity could damage our reputation, and we may face a risk of regulatory penalties,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or perceived improper sending of text messages, voice calls, or email may subject us to potential risks, including liabilities or claims relating to consumer protection laws and regulatory enforcement, including fines. For example, the TCPA restricts telemarketing and the use of text messages without prior express consent. TCPA violations can result in significant financial penalties, as businesses can incur civil or criminal penalties imposed by the FCC, FTC, state attorneys general or other state actors or through private litigation. Regulatory enforcement is often public, which would result in reputational harm.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voice calls, or email are continuously evolving and developing. If we do not comply with these laws or regulations or if we become liable under these laws or regulations due to the failure of our customers to comply with these laws, we could face direct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certain customers and others have in the past, and despite our prevention efforts, may in the future, use our platform to transmit unwanted, offensive or illegal communications, spam, social engineering scams, and website links to harmful applications, reproduce and distribute copyrighted material or the trademarks of others without permission, and report inaccurate or fraudulent data or information. These actions violate our policies. Our efforts to defeat spamming attacks, illegal robocalls and other fraudulent activity will not prevent all such activity. Such activity could damage our reputation and the effectiveness of our platform, and we could face claims for damages, regulatory enforcement, copyright or trademark infringement, defamation, negligence, or fraud. Furthermore, enacting more stringent controls on use of our platform to combat such activity could increase friction for our legitimate customers and decrease their use of our platform.</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Similarly, our products may be subject to fraudulent usage, including but not limited to revenue share fraud, domestic traffic pumping, subscription fraud, premium text message scams and other fraudulent schemes, such as phishing. Although our customers are required to set passwords or personal identification numbers to protect their accounts, third parties have in the past been, and may in the future be, able to access customers’ accounts through fraudulent means and use the accounts for fraudulent activity. Furthermore, spammers attempt to use our products to send targeted and untargeted spam communications. We cannot be certain that our efforts to defeat spamming attacks will be successful in eliminating all spam communications from being sent using our platform. In addition, a security breach of, or security incident impacting,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other users’ promotion of their products and services through our platform might not comply with federal, state, and foreign laws or of contractual requirements imposed by carriers, such as the CTIA Shortcode Agreement, The Campaign Registry, carrier codes of conduct and similar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the foregoing activities are increasingly being facilitated or enhanced by AI and other evolving technologies. AI agents operating through our platform have the potential to facilitate communications and fraudulent schemes with a scale, speed and sophistication that may evade existing fraud and compliance controls or evolve faster than controls can evolve to match, violate carrier policies, or breach applicable law.</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legislative and regulatory landscape regarding the regulation of the internet is subject to uncertainty. For example, in January 2025, the U.S. Court of Appeals for the Sixth Circuit struck down the FCC’s net neutrality rules, and the current federal regulatory environment makes the adoption of similar rules unlikely in the near term. Without federal net neutrality rules, we cannot predict whether internet access service providers may be able to limit our users’ ability to access our platform or make our platform a less attractive alternative to our competitors’ applications. Moreover, several states have enacted or are considering state-level legislation or executive action that would implement certain net neutrality protections. State broadband regulations have been upheld by courts in certain jurisdictions, creating the potential for a patchwork of disparate regulatory regimes and operational challenges.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cyberattacks, malicious software, and other security threats. If the use of the internet is reduced as a result of these or other issues, then demand for our products could decline,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Our global operations subject us to potential liability under export controls, economic sanctions, customs, anti-corruption, and other laws and regulations, and violating these laws could subject us to liability and impair our ability to compete in international markets.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aspects of our business are subject to international trade laws, including U.S. export control laws and regulations, U.S. customs laws and regulations, and U.S. economic sanctions laws and regulations, as well as other similar laws and regulations in other countries in which we do business. Exports and imports of our products and the provision of our services must be made in compliance with these laws, which include varying prohibitions on the sale, export, or supply of our products and services to certain sanctioned countries, regions, governments, entities, or individuals. We take precautions to prevent our products from being imported or exported and our services from being provided in violation of these laws; however, we are aware of certain of our products and services being provided to, procured from, or that involve dealings with, a small number of individuals and entities that are the subject of, or are located in countries or regions subject to, sanctions regulations administered by U.S. and foreign governmental authorities. If we fail to comply with these laws, we and certain of our employees could be subject to substantial civil or criminal penalties, including: the possible loss of export privileges; fines, which may be imposed on us and responsible employees or managers; criminal liability, which may be imposed on us and responsible employees or managers; and, in extreme cases, the incarceration of responsible employees or managers.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change in these laws or other regulatory requirements affecting trade and investments, shift in the enforcement or scope of existing laws, or change in the countries, governments, persons or technologies targeted by such regulations, could also result in decreased use of our products and services, or in our decreased ability to export our products or provide our services to existing or prospective customers outside of the United States. Any decreased use of our products and services or 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U.S. and foreign anti-corruption and anti-bribery laws, including the Foreign Corrupt Practices Act, as amended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For example, in 2024 and 2025, Google, Yahoo and Microsoft began enforcing new email sender requirements aimed at sender authentication, including Domain-based Message Authentication, Reporting and Conformance (“DMARC”) record requirements, requiring us to devote time and resources toward compliance efforts.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international operations expand, our exposure to the effects of fluctuations in currency exchange rates grows. For example, global geopolitical events, economic events, public health epidemics and pandemics, actual or potential tariffs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international subsidiaries maintain net assets that are denominated in currencies other than the functional operating currencies of these entities. As we continue to expand our international operations, we become more exposed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 our ability to obtain additional financing to fund future working capital, capital expenditures, business opportunities,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expose us to the risk of increased interest rates as certain of our borrowings, including borrowings under a future revolving credit facility, may be at variable rates of interest;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business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assumptions and estimates to calculate certain of our business metrics that we disclose in SEC filings, press releases and other materials, including Dollar-Based Net Expansion Rate. Our metrics are not based on any standardized industry methodology and are not necessarily calculated in the same manner or comparable to similarly titled measures presented by other companies. Similarly, our metrics may differ from estimates published by third parties or from similarly titled metrics of our competitors due to differences in methodology. The numbers that we use to calculate our metrics are based on internal data and may be compiled from multiple systems, including systems that are organically developed or acquired through business combinations. While these numbers are based on what we believe to be reasonable judgments and estimates for the applicable period of measurement, there are inherent challenges in measuring our business or components of our business. We regularly review our processes for calculating these metrics, and from time to time we may make adjustments to improve their accuracy or relevance. Further, as our business develops, we may revise or cease reporting metrics if we determine that such metrics are no longer appropriate measures of our performance. For example, beginning in the first quarter of 2026, we discontinued disclosure of Active Customer Accounts as a key metric. If investors or analysts do not perceive our metrics to be accurate representations of our business, or if they disagree with our methodologies, or if we discover material inaccuracies in our metrics, our reputation, business, results of operations, and financial condition would be harmed.</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Adoption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Events or changes in circumstances may require us to record impairment charges related to our intangible assets, goodwill or investments.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our intangible assets, goodwill and equity method investment for impairment in accordance with applicable accounting requirements. As of March 31, 2026, we carried a net $5.4 billion of goodwill and intangible assets and $275.1 million related to our equity method investment. An adverse change in market conditions or significant changes in accounting conclusions, particularly if such changes have the effect of changing one of our critical assumptions or estimates, have in the past resulted, and could in the future result, in a change to the estimation of fair value resulting in an impairment charge to the underlying asset. Our results of operations may be adversely affected as a result of any such charges. For example, during the year ended December 31, 2025, we recorded an impairment of our equity method investment totaling approximately $80.6 million, as described in additional detail in Note 12 to our consolidated financial statements included in our Annual Report on Form 10-K for the year ended December 31, 2025.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Tax Matters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U.S. federal, state and foreign net operating loss carryforwards (“NOLs”), of $2.9 billion, $2.4 billion and $1.0 billion, respectively. Utilization of these NOLs depends on our future taxable income, and there is risk that a portion of our existing NOLs could expire unused and the use of our unexpired NOLs could be subject to limitations, which could materially and adversely affect our operating results. Under current law, our U.S. federal NOLs can generally be carried forward indefinitely, but the deductibility of such NOLs is generally limited to 80% of taxable income. Our state NOLs may also be subject to limitations, including periods during which the use of state NOLs is suspended or otherwise limited, which could accelerate or permanently increase state taxes owed. For example, California legislation limits the use of state NOLs for taxable years beginning on or after January 1, 2024 and before January 1, 2027.</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(which may be outside of our control), our ability to utilize NOLs and other tax attributes could be further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many of the jurisdictions in which we operate, non-income-based taxes, such as sales tax, value-added tax, goods and services tax, and telecommunications taxes, are assessed on our operations or our sales to customers. Such tax laws and rates vary by jurisdiction. One or more states or countries may seek to impose incremental or new indirect tax collection obligations on us.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not billed or collected indirect taxes in certain jurisdictions and, in accordance with GAAP, we have recorded a provision for our tax exposure in these jurisdictions when it is both probable that a liability has been incurred and the amount of the exposure can be reasonably estimated. We reserved $42.8 million on our March 31, 2026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which may increase our costs of doing business and negatively affect the prices our customers pay for our products.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Changes in, or interpretations of, tax rules and regulations or our tax positions may materially and adversely affect our taxes.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taxes in both the United States and numerous international jurisdictions. Significant judgment is required in determining our worldwide provision for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or the expiration of or disputes about certain tax agreements in a particular country. We are subject to audit by various tax authorities. For example, the Internal Revenue Service is conducting an examination of our U.S. federal income tax return for the year ending December 31, 2023. The outcome of this examination, which is still in its preliminary stages, is uncertain. In accordance with GAAP, we recognize income tax benefits, net of required valuation allowances and accrual for uncertain tax positions. Although we believe our tax estimates are reasonable, the final determination of this examination, other tax audits and any related litigation could be materially different than that which is reflected in our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tax laws, including recently enacted U.S. federal tax legislation commonly referred to as the One Big Beautiful Bill Act (the “OBBB Act”), or tax rulings, or changes in interpretations of existing laws, could cause us to be subject to additional taxes, which in turn could materially affect our financial position and results of operations. The OBBB Act could potentially increase our effective tax rate as we continue to expand our international operations in the coming years. Additionally, new, changed, modified, or newly interpreted or applied tax laws could increase our customers’ and our compliance, operating and other costs, as well as the costs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another example, the Organization for Economic Co-operation and Development (the “OECD”) has proposed a global minimum tax (“Pillar Two”), contemplating a minimum tax rate of 15% for large multinational companies, and various countries have proposed or enacted implementing legislation. Notwithstanding the OECD’s side-by-side elective safe harbor announced in January 2026 for U.S. parented groups, we may still face increased tax rates, compliance complexity and tax provision volatility as a result of Pillar Two.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financial estimates or the publication of reports or statements by securities analysts or investors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financial projections or targets we may provide to the public, any changes in those projections or targets, or our failure to meet those projections or targets;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new products or services or related to acquisitions of businesses,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changes in our results of operations or fluctuations in our results of operations or actual or anticipated changes in our strategy or the organization of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political, social, economic and market conditions, in both domestic and foreign markets, and slow or negative growth of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2025, our board of directors authorized the repurchase of up to $2.0 billion of our common stock from time to time through a share repurchase program. As of March 31, 2026, we had repurchased $1.1 billion of outstanding shares of our common stock under this program, such that approximately $892.0 million remained available for purchase as of such date. Under our share repurchase program, we may make repurchases of stock through a variety of methods, including open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2027,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limiting the ability of our stockholders to call and bring business before special meetings;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is subject to the risks of pandemics, earthquakes, fire, floods and other natural catastrophic events, and to interruption by man-made problems such as power disruptions, computer viruses, security breaches and incidents, terrorism or war.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and outages, reputational harm, delays in our development activities, lengthy interruptions in service, security breaches and incidents and loss or unavailability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been a focus on ESG matters from governmental authorities, investors, customers and other stakeholders, whose expectations are evolving and may be contradictory. Our decisions regarding ESG-related initiatives, goals, or commitments, including whether to pursue them, and/or the extent to which we achieve them, may be scrutinized and could negatively impact our reputation, result in reduced customer demand or certain investors not purchasing or holding our stock, harm our ability to attract and retain qualified employees, or otherwise materially harm our business. Additionally, compliance with current or future legal requirements or stakeholder expectations regarding ESG matters, including disclosure and reporting obligations, may result in increased costs, and legal and operational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issued 22,102 shares of our Class A common stock to an independent donor advised fund to further our Twilio.org philanthropic goals. The shares were “restricted securities” for purposes of Rule 144 under the Securities Act, and had an aggregate fair market value on the date of donation of $2.4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share repurchase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399"/>
        <w:gridCol w:w="290"/>
        <w:gridCol w:w="291"/>
        <w:gridCol w:w="109"/>
        <w:gridCol w:w="109"/>
        <w:gridCol w:w="109"/>
        <w:gridCol w:w="442"/>
        <w:gridCol w:w="442"/>
        <w:gridCol w:w="443"/>
        <w:gridCol w:w="109"/>
        <w:gridCol w:w="109"/>
        <w:gridCol w:w="109"/>
        <w:gridCol w:w="266"/>
        <w:gridCol w:w="878"/>
        <w:gridCol w:w="148"/>
        <w:gridCol w:w="109"/>
        <w:gridCol w:w="109"/>
        <w:gridCol w:w="109"/>
        <w:gridCol w:w="109"/>
        <w:gridCol w:w="109"/>
        <w:gridCol w:w="737"/>
        <w:gridCol w:w="737"/>
        <w:gridCol w:w="740"/>
        <w:gridCol w:w="109"/>
        <w:gridCol w:w="109"/>
        <w:gridCol w:w="109"/>
        <w:gridCol w:w="564"/>
        <w:gridCol w:w="1606"/>
        <w:gridCol w:w="317"/>
        <w:gridCol w:w="109"/>
        <w:gridCol w:w="109"/>
        <w:gridCol w:w="161"/>
      </w:tblGrid>
      <w:tr>
        <w:trPr/>
        <w:tc>
          <w:tcPr>
            <w:tcW w:w="39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February 1 - 28,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2,088 </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January 2025, our board of directors authorized a new program to repurchase up to $2.0 billion in aggregate value of our Class A common stock, which expires on December 31, 2027. Repurchases under this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Refer to Note 11 — Stockholders' Equity in Part I, Item 1, of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following “Rule 10b5-1 trading arrangements” (as defined in Item 408 of Regulation S-K) were adopted or terminated by our directors and officers, each of which was intended to satisfy the affirmative defense in Rule 10b5-1(c):</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18, 2026, Khozema Shipchandler, our Chief Executive Officer and a member of our board of directors, adopted a Rule 10b5-1 trading plan providing for (i) the sale of shares of our common stock issuable upon the vesting and settlement of 104,754 RSUs outstanding prior to the adoption of the plan, in addition to certain shares Mr. Shipchandler acquires upon the vesting and settlement of any RSUs that may be granted after the adoption of the plan, in each case, net of shares sold in mandatory transactions to cover withholding taxes, plus (ii) the sale of up to 245,716 shares at target (or 491,432 shares at maximum, representing the maximum number of shares issuable under the PSUs) of our common stock upon the vesting of performance stock units (“PSUs”), which are expected to vest and settle in February 2027, the precise number of shares to vest and settle to be determined based on the Company’s achievement against certain performance conditions, net of shares sold in mandatory transactions to cover withholding taxes, plus (iii) the exercise and sale of up to an aggregate of 108,007 shares of common stock subject to vested stock options. The number of shares listed above for Mr. Shipchandler includes shares subject to limit orders that may or may not execute. Trading will not commence under Mr. Shipchandler’s new Rule 10b5-1 trading plan until his previous Rule 10b5-1 trading plan terminates by its terms. The duration of the new plan is until April 9, 2027 or earlier if all transactions under the plan have been completed.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other officers, as defined in Rule 16a-1(f), or directors adopted and/or terminated a “Rule 10b5-1 trading arrangement” or a “non-Rule 10b5-1 trading arrangement,” as defined in Regulation S-K Item 408, during the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3719abdc9144394bf517258d751d88c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Quarterly Report on Form 10-Q are incorporated by reference or are filed with this Quarterly Report on Form 10-Q, in each case as indicated therein.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712"/>
        <w:gridCol w:w="1712"/>
        <w:gridCol w:w="1730"/>
        <w:gridCol w:w="109"/>
        <w:gridCol w:w="109"/>
        <w:gridCol w:w="109"/>
        <w:gridCol w:w="170"/>
        <w:gridCol w:w="170"/>
        <w:gridCol w:w="171"/>
        <w:gridCol w:w="109"/>
        <w:gridCol w:w="109"/>
        <w:gridCol w:w="109"/>
        <w:gridCol w:w="159"/>
        <w:gridCol w:w="159"/>
        <w:gridCol w:w="160"/>
        <w:gridCol w:w="109"/>
        <w:gridCol w:w="109"/>
        <w:gridCol w:w="109"/>
        <w:gridCol w:w="210"/>
        <w:gridCol w:w="210"/>
        <w:gridCol w:w="211"/>
        <w:gridCol w:w="109"/>
        <w:gridCol w:w="109"/>
        <w:gridCol w:w="109"/>
        <w:gridCol w:w="368"/>
        <w:gridCol w:w="327"/>
        <w:gridCol w:w="376"/>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INDEX</w:t>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wlo-20260331xex311.htm">
              <w:r>
                <w:rPr>
                  <w:rStyle w:val="InternetLink"/>
                  <w:rFonts w:ascii="Times New Roman;serif" w:hAnsi="Times New Roman;serif"/>
                  <w:b w:val="false"/>
                  <w:color w:val="0000FF"/>
                  <w:sz w:val="16"/>
                  <w:u w:val="single"/>
                </w:rPr>
                <w:t>Certification of the Chief Executive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60331xex312.htm">
              <w:r>
                <w:rPr>
                  <w:rStyle w:val="InternetLink"/>
                  <w:rFonts w:ascii="Times New Roman;serif" w:hAnsi="Times New Roman;serif"/>
                  <w:b w:val="false"/>
                  <w:color w:val="0000FF"/>
                  <w:sz w:val="16"/>
                  <w:u w:val="single"/>
                </w:rPr>
                <w:t>Certification of the Chief Financial Officer pursuant to Exchange Act Rules 13a-14(a) or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60331xex321.htm">
              <w:r>
                <w:rPr>
                  <w:rStyle w:val="InternetLink"/>
                  <w:rFonts w:ascii="Times New Roman;serif" w:hAnsi="Times New Roman;serif"/>
                  <w:b w:val="false"/>
                  <w:color w:val="0000FF"/>
                  <w:sz w:val="16"/>
                  <w:u w:val="single"/>
                </w:rPr>
                <w:t>Certification of the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tbl>
      <w:tblPr>
        <w:tblW w:w="6386" w:type="dxa"/>
        <w:jc w:val="center"/>
        <w:tblInd w:w="0" w:type="dxa"/>
        <w:tblLayout w:type="fixed"/>
        <w:tblCellMar>
          <w:top w:w="28" w:type="dxa"/>
          <w:left w:w="28" w:type="dxa"/>
          <w:bottom w:w="28" w:type="dxa"/>
          <w:right w:w="28" w:type="dxa"/>
        </w:tblCellMar>
      </w:tblPr>
      <w:tblGrid>
        <w:gridCol w:w="374"/>
        <w:gridCol w:w="328"/>
        <w:gridCol w:w="333"/>
        <w:gridCol w:w="109"/>
        <w:gridCol w:w="109"/>
        <w:gridCol w:w="109"/>
        <w:gridCol w:w="1469"/>
        <w:gridCol w:w="1469"/>
        <w:gridCol w:w="2086"/>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TWILIO INC.</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KHOZEMA Z. SHIPCHANDLER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Khozema Z. Shipchandler</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Director and Chief Executive Officer (Principal Executive Officer)</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AIDAN VIGGIANO</w:t>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Aidan Viggiano</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r>
        <w:trPr/>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Date: May 1, 2026</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RULE 13a-14(a) OR 15d-14(a)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Twilio Inc.;</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Date: May 1, 2026</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erif" w:hAnsi="Times New Roman;serif"/>
          <w:b w:val="false"/>
          <w:color w:val="000000"/>
          <w:sz w:val="18"/>
        </w:rPr>
        <w:t>1.</w:t>
      </w:r>
      <w:r>
        <w:rPr>
          <w:rFonts w:ascii="Times New Roman;serif" w:hAnsi="Times New Roman;serif"/>
          <w:b w:val="false"/>
          <w:color w:val="000000"/>
          <w:sz w:val="18"/>
        </w:rPr>
        <w:t>The Company’s Quarterly Report on Form 10-Q for the quarter ended March 31, 2026,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erif" w:hAnsi="Times New Roman;serif"/>
          <w:b w:val="false"/>
          <w:color w:val="000000"/>
          <w:sz w:val="18"/>
        </w:rPr>
        <w:t>2.</w:t>
      </w:r>
      <w:r>
        <w:rPr>
          <w:rFonts w:ascii="Times New Roman;serif" w:hAnsi="Times New Roman;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May 1, 2026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40127</Words>
  <Characters>229060</Characters>
  <CharactersWithSpaces>267536</CharactersWithSpaces>
  <Paragraphs>2653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