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14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Twilio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12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001-37806</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26-2574840</w:t>
            </w:r>
          </w:p>
        </w:tc>
      </w:tr>
      <w:tr>
        <w:trPr>
          <w:trHeight w:val="180"/>
        </w:trPr>
        <w:tc>
          <w:tcPr>
            <w:tcW w:w="2420" w:type="dxa"/>
            <w:vAlign w:val="bottom"/>
          </w:tcPr>
          <w:p>
            <w:pPr>
              <w:jc w:val="center"/>
              <w:ind w:right="430"/>
              <w:spacing w:after="0" w:line="18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9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80" w:type="dxa"/>
            <w:vAlign w:val="bottom"/>
          </w:tcPr>
          <w:p>
            <w:pPr>
              <w:jc w:val="center"/>
              <w:ind w:left="55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83"/>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101 Spear Street, Fifth Floor</w:t>
            </w:r>
          </w:p>
        </w:tc>
        <w:tc>
          <w:tcPr>
            <w:tcW w:w="198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4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c>
          <w:tcPr>
            <w:tcW w:w="198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4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98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(415) 390-2337</w:t>
            </w:r>
          </w:p>
        </w:tc>
        <w:tc>
          <w:tcPr>
            <w:tcW w:w="198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4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80" w:type="dxa"/>
            <w:vAlign w:val="bottom"/>
          </w:tcPr>
          <w:p>
            <w:pPr>
              <w:spacing w:after="0"/>
              <w:rPr>
                <w:sz w:val="20"/>
                <w:szCs w:val="20"/>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TWLO</w:t>
            </w:r>
          </w:p>
        </w:tc>
        <w:tc>
          <w:tcPr>
            <w:tcW w:w="120" w:type="dxa"/>
            <w:vAlign w:val="bottom"/>
          </w:tcPr>
          <w:p>
            <w:pPr>
              <w:spacing w:after="0"/>
              <w:rPr>
                <w:sz w:val="20"/>
                <w:szCs w:val="20"/>
                <w:color w:val="auto"/>
              </w:rPr>
            </w:pPr>
          </w:p>
        </w:tc>
        <w:tc>
          <w:tcPr>
            <w:tcW w:w="402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0"/>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180"/>
        </w:trPr>
        <w:tc>
          <w:tcPr>
            <w:tcW w:w="10880" w:type="dxa"/>
            <w:vAlign w:val="bottom"/>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3"/>
        </w:trPr>
        <w:tc>
          <w:tcPr>
            <w:tcW w:w="108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any new or revised financial accounting standards provided pursuant to Section 13(a) of the Exchange Act.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2"/>
        </w:trPr>
        <w:tc>
          <w:tcPr>
            <w:tcW w:w="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135"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30, 2026, Twilio Inc. (the “Company”) issued a press release announcing its financial results for the quarter ended March 31, 2026. A copy of the press release is furnished herewith as Exhibit 99.1.</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0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0000FF"/>
        </w:rPr>
        <w:t>99.1</w:t>
      </w:r>
      <w:r>
        <w:rPr>
          <w:sz w:val="20"/>
          <w:szCs w:val="20"/>
          <w:color w:val="auto"/>
        </w:rPr>
        <w:tab/>
      </w:r>
      <w:r>
        <w:rPr>
          <w:rFonts w:ascii="Times New Roman" w:cs="Times New Roman" w:eastAsia="Times New Roman" w:hAnsi="Times New Roman"/>
          <w:sz w:val="17"/>
          <w:szCs w:val="17"/>
          <w:color w:val="0000FF"/>
        </w:rPr>
        <w:t>Press release issued by Twilio Inc. dated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74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TWILIO INC.</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29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Aidan Viggiano</w:t>
            </w:r>
          </w:p>
        </w:tc>
      </w:tr>
      <w:tr>
        <w:trPr>
          <w:trHeight w:val="218"/>
        </w:trPr>
        <w:tc>
          <w:tcPr>
            <w:tcW w:w="3320" w:type="dxa"/>
            <w:vAlign w:val="bottom"/>
          </w:tcPr>
          <w:p>
            <w:pPr>
              <w:spacing w:after="0"/>
              <w:rPr>
                <w:sz w:val="18"/>
                <w:szCs w:val="18"/>
                <w:color w:val="auto"/>
              </w:rPr>
            </w:pPr>
          </w:p>
        </w:tc>
        <w:tc>
          <w:tcPr>
            <w:tcW w:w="29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Aidan Viggiano</w:t>
            </w:r>
          </w:p>
        </w:tc>
      </w:tr>
      <w:tr>
        <w:trPr>
          <w:trHeight w:val="234"/>
        </w:trPr>
        <w:tc>
          <w:tcPr>
            <w:tcW w:w="3320" w:type="dxa"/>
            <w:vAlign w:val="bottom"/>
          </w:tcPr>
          <w:p>
            <w:pPr>
              <w:spacing w:after="0"/>
              <w:rPr>
                <w:sz w:val="20"/>
                <w:szCs w:val="20"/>
                <w:color w:val="auto"/>
              </w:rPr>
            </w:pPr>
          </w:p>
        </w:tc>
        <w:tc>
          <w:tcPr>
            <w:tcW w:w="29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Twilio Announces First Quarter 2026 Results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of $1.41 billion, up 20% reported and 16% organic year-over-year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profit of $684 million, up 18% year-over-year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profit of $697 million, up 16% year-over-year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Income from Operations of $108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 of $279 million</w:t>
      </w:r>
    </w:p>
    <w:p>
      <w:pPr>
        <w:spacing w:after="0" w:line="14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SAN FRANCISCO--(BUSINESS WIRE)--April 30, 2026--Twilio (NYSE: TWLO), the customer engagement platform that drives real-time, personalized experiences for today’s leading brands, reported financial results for its first quarter ended March 31, 2026.</w:t>
      </w:r>
    </w:p>
    <w:p>
      <w:pPr>
        <w:spacing w:after="0" w:line="9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“Q1 was a milestone quarter for Twilio, marked by our highest revenue and gross profit growth rates in more than three years,” said Khozema Shipchandler, CEO of Twilio. “Twilio’s performance is the result of a multi-year, companywide evolution that fundamentally transformed Twilio’s innovation velocity, GTM efficiency, and financial rigor and has led us to become a foundational infrastructure layer in the era of AI.”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Financial Highlights</w:t>
      </w:r>
    </w:p>
    <w:p>
      <w:pPr>
        <w:spacing w:after="0" w:line="264"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$1.41 billion, up 20% year-over-year. Organic revenue growth was 16%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of $684.2 million, up 18% year-over-year.</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gross profit of $697.5 million, up 16%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income from operations of $107.7 million, up 366% year-over-year.</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income from operations of $278.9 million, up 31% year-over-year.</w:t>
      </w:r>
    </w:p>
    <w:p>
      <w:pPr>
        <w:spacing w:after="0" w:line="261"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income per share attributable to common stockholders, diluted, of $0.57 based on 157.8 million weighted average shares outstanding, compared with GAAP net income per share attributable to common stockholders, diluted, of $0.12 based on 161.8 million weighted average shares outstanding in the first quarter of 2025.</w:t>
      </w:r>
    </w:p>
    <w:p>
      <w:pPr>
        <w:spacing w:after="0" w:line="218" w:lineRule="exact"/>
        <w:rPr>
          <w:rFonts w:ascii="Times New Roman" w:cs="Times New Roman" w:eastAsia="Times New Roman" w:hAnsi="Times New Roman"/>
          <w:sz w:val="16"/>
          <w:szCs w:val="16"/>
          <w:color w:val="auto"/>
        </w:rPr>
      </w:pPr>
    </w:p>
    <w:p>
      <w:pPr>
        <w:ind w:left="660" w:right="100" w:hanging="328"/>
        <w:spacing w:after="0" w:line="272"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per share attributable to common stockholders, diluted, of $1.50 based on 157.8 million non-GAAP weighted average shares outstanding, compared with non-GAAP net income per share attributable to common stockholders, diluted, of $1.14 based on 161.8 million non-GAAP weighted average shares outstanding in the first quarter of 2025.</w:t>
      </w:r>
    </w:p>
    <w:p>
      <w:pPr>
        <w:spacing w:after="0" w:line="197" w:lineRule="exact"/>
        <w:rPr>
          <w:rFonts w:ascii="Times New Roman" w:cs="Times New Roman" w:eastAsia="Times New Roman" w:hAnsi="Times New Roman"/>
          <w:sz w:val="16"/>
          <w:szCs w:val="16"/>
          <w:color w:val="auto"/>
        </w:rPr>
      </w:pPr>
    </w:p>
    <w:p>
      <w:pPr>
        <w:ind w:left="660" w:right="4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provided by operating activities of $153.2 million and free cash flow of $132.3 million, compared with net cash provided by operating activities of $191.0 million and free cash flow of $178.3 million for the first quarter of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Metrics</w:t>
      </w:r>
    </w:p>
    <w:p>
      <w:pPr>
        <w:spacing w:after="0" w:line="16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Dollar-Based Net Expansion Rate of 114% for the first quarter of 2026 compared to Dollar-Based Net Expansion Rate of 107% for the first quarter of 2025.</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5,558 employees as of March 31,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0"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Q1 2026</w:t>
            </w:r>
          </w:p>
        </w:tc>
      </w:tr>
      <w:tr>
        <w:trPr>
          <w:trHeight w:val="214"/>
        </w:trPr>
        <w:tc>
          <w:tcPr>
            <w:tcW w:w="6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42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Results</w:t>
            </w: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$1,407</w:t>
            </w:r>
          </w:p>
        </w:tc>
      </w:tr>
      <w:tr>
        <w:trPr>
          <w:trHeight w:val="21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20%</w:t>
            </w:r>
          </w:p>
        </w:tc>
      </w:tr>
      <w:tr>
        <w:trPr>
          <w:trHeight w:val="21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171450</wp:posOffset>
            </wp:positionV>
            <wp:extent cx="272605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6055" cy="15430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9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1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Y/Y Growth</w:t>
            </w:r>
          </w:p>
        </w:tc>
      </w:tr>
      <w:tr>
        <w:trPr>
          <w:trHeight w:val="207"/>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$684</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49%</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from operations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366%</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1500" w:type="dxa"/>
            <w:vAlign w:val="bottom"/>
            <w:shd w:val="clear" w:color="auto" w:fill="CCEEFF"/>
          </w:tcPr>
          <w:p>
            <w:pPr>
              <w:spacing w:after="0"/>
              <w:rPr>
                <w:sz w:val="19"/>
                <w:szCs w:val="19"/>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attributable to common stockholders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attributable to common stockholders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$236</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per share attributable to common stockholders, diluted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$0.57</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per share attributable to common stockholders, diluted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 Program</w:t>
      </w:r>
    </w:p>
    <w:p>
      <w:pPr>
        <w:spacing w:after="0" w:line="115"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6"/>
          <w:szCs w:val="16"/>
          <w:color w:val="auto"/>
        </w:rPr>
        <w:t>In January 2025, Twilio’s Board of Directors authorized a share repurchase program pursuant to which Twilio may repurchase up to $2.0 billion in aggregate value of its outstanding Class A common stock (“common stock”). The program is set to expire on December 31, 2027. During the first quarter of 2026, Twilio repurchased $253.4 million in aggregate value of shares of common stock. To date, Twilio has completed approximately $1.1 billion of aggregate repurchases and has $892.0 million of the originally authorized amount available for future repurchases as of March 31, 2026.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115"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For the second quarter ended June 30, 2026, Twilio is initiating a revenue range of $1.420 to $1.430 billion, which implies a reported revenue growth range of 15.5% to 16.5% and an organic revenue growth range of 10% to 11% year-over-year. In addition, Twilio is initiating a second quarter non-GAAP income from operations range of $250 to $260 million. Lastly, Twilio expects second quarter non-GAAP diluted earnings per share in a range of $1.27 to $1.32, based on non-GAAP weighted average diluted shares outstanding of 157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4057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Q2</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6"/>
                <w:szCs w:val="16"/>
                <w:color w:val="auto"/>
              </w:rPr>
            </w:pPr>
          </w:p>
        </w:tc>
      </w:tr>
      <w:tr>
        <w:trPr>
          <w:trHeight w:val="214"/>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and shares in millions, except per share amounts</w:t>
            </w:r>
          </w:p>
        </w:tc>
        <w:tc>
          <w:tcPr>
            <w:tcW w:w="4220" w:type="dxa"/>
            <w:vAlign w:val="bottom"/>
            <w:tcBorders>
              <w:bottom w:val="single" w:sz="8" w:color="auto"/>
            </w:tcBorders>
            <w:gridSpan w:val="2"/>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20" w:type="dxa"/>
            <w:vAlign w:val="bottom"/>
            <w:tcBorders>
              <w:bottom w:val="single" w:sz="8" w:color="auto"/>
            </w:tcBorders>
          </w:tcPr>
          <w:p>
            <w:pPr>
              <w:spacing w:after="0"/>
              <w:rPr>
                <w:sz w:val="18"/>
                <w:szCs w:val="18"/>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$1,430</w:t>
            </w:r>
          </w:p>
        </w:tc>
        <w:tc>
          <w:tcPr>
            <w:tcW w:w="20" w:type="dxa"/>
            <w:vAlign w:val="bottom"/>
          </w:tcPr>
          <w:p>
            <w:pPr>
              <w:spacing w:after="0"/>
              <w:rPr>
                <w:sz w:val="18"/>
                <w:szCs w:val="18"/>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15.5%</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- 16.5%</w:t>
            </w:r>
          </w:p>
        </w:tc>
        <w:tc>
          <w:tcPr>
            <w:tcW w:w="20" w:type="dxa"/>
            <w:vAlign w:val="bottom"/>
          </w:tcPr>
          <w:p>
            <w:pPr>
              <w:spacing w:after="0"/>
              <w:rPr>
                <w:sz w:val="18"/>
                <w:szCs w:val="18"/>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20" w:type="dxa"/>
            <w:vAlign w:val="bottom"/>
            <w:gridSpan w:val="2"/>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i w:val="1"/>
                <w:iCs w:val="1"/>
                <w:color w:val="auto"/>
              </w:rPr>
              <w:t>10% - 11%</w:t>
            </w:r>
          </w:p>
        </w:tc>
        <w:tc>
          <w:tcPr>
            <w:tcW w:w="20" w:type="dxa"/>
            <w:vAlign w:val="bottom"/>
          </w:tcPr>
          <w:p>
            <w:pPr>
              <w:spacing w:after="0"/>
              <w:rPr>
                <w:sz w:val="18"/>
                <w:szCs w:val="18"/>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$260</w:t>
            </w:r>
          </w:p>
        </w:tc>
        <w:tc>
          <w:tcPr>
            <w:tcW w:w="20" w:type="dxa"/>
            <w:vAlign w:val="bottom"/>
          </w:tcPr>
          <w:p>
            <w:pPr>
              <w:spacing w:after="0"/>
              <w:rPr>
                <w:sz w:val="18"/>
                <w:szCs w:val="18"/>
                <w:color w:val="auto"/>
              </w:rPr>
            </w:pPr>
          </w:p>
        </w:tc>
      </w:tr>
      <w:tr>
        <w:trPr>
          <w:trHeight w:val="219"/>
        </w:trPr>
        <w:tc>
          <w:tcPr>
            <w:tcW w:w="7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Non-GAAP diluted earnings per share </w:t>
            </w:r>
            <w:r>
              <w:rPr>
                <w:rFonts w:ascii="Times New Roman" w:cs="Times New Roman" w:eastAsia="Times New Roman" w:hAnsi="Times New Roman"/>
                <w:sz w:val="21"/>
                <w:szCs w:val="21"/>
                <w:color w:val="auto"/>
                <w:vertAlign w:val="superscript"/>
              </w:rPr>
              <w:t>(1)</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$1.32</w:t>
            </w:r>
          </w:p>
        </w:tc>
        <w:tc>
          <w:tcPr>
            <w:tcW w:w="2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weighted average diluted shares outstanding</w:t>
            </w:r>
          </w:p>
        </w:tc>
        <w:tc>
          <w:tcPr>
            <w:tcW w:w="4220" w:type="dxa"/>
            <w:vAlign w:val="bottom"/>
            <w:gridSpan w:val="2"/>
          </w:tcPr>
          <w:p>
            <w:pPr>
              <w:jc w:val="right"/>
              <w:ind w:right="1919"/>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9"/>
                <w:szCs w:val="19"/>
                <w:color w:val="auto"/>
              </w:rPr>
            </w:pPr>
          </w:p>
        </w:tc>
      </w:tr>
    </w:tbl>
    <w:p>
      <w:pPr>
        <w:spacing w:after="0" w:line="78"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Non-GAAP diluted earnings per share guidance assumes no impact from volatility of foreign exchange rates.</w:t>
      </w:r>
    </w:p>
    <w:p>
      <w:pPr>
        <w:spacing w:after="0" w:line="13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For fiscal year 2026, Twilio is raising its reported revenue growth range to 14% to 15% compared with 11.5% to 12.5% previously, and its organic revenue growth range to 9.5% to 10.5% year-over-year compared with 8% to 9% previously. In addition, Twilio expects full-year non-GAAP gross profit growth to be similar to its organic revenue growth range. Lastly, Twilio is raising its 2026 non-GAAP income from operations range to $1.08 billion to $1.10 billion compared to $1.04 billion to $1.06 billion previously, and raising its 2026 free cash flow range to $1.08 billion to $1.10 billion compared to $1.04 billion to $1.06 billion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4057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FY26</w:t>
            </w:r>
          </w:p>
        </w:tc>
        <w:tc>
          <w:tcPr>
            <w:tcW w:w="20" w:type="dxa"/>
            <w:vAlign w:val="bottom"/>
          </w:tcPr>
          <w:p>
            <w:pPr>
              <w:spacing w:after="0"/>
              <w:rPr>
                <w:sz w:val="16"/>
                <w:szCs w:val="16"/>
                <w:color w:val="auto"/>
              </w:rPr>
            </w:pPr>
          </w:p>
        </w:tc>
      </w:tr>
      <w:tr>
        <w:trPr>
          <w:trHeight w:val="214"/>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20" w:type="dxa"/>
            <w:vAlign w:val="bottom"/>
            <w:tcBorders>
              <w:bottom w:val="single" w:sz="8" w:color="auto"/>
            </w:tcBorders>
          </w:tcPr>
          <w:p>
            <w:pPr>
              <w:spacing w:after="0"/>
              <w:rPr>
                <w:sz w:val="18"/>
                <w:szCs w:val="18"/>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Y/Y Revenue Growth</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- 15%</w:t>
            </w:r>
          </w:p>
        </w:tc>
        <w:tc>
          <w:tcPr>
            <w:tcW w:w="20" w:type="dxa"/>
            <w:vAlign w:val="bottom"/>
          </w:tcPr>
          <w:p>
            <w:pPr>
              <w:spacing w:after="0"/>
              <w:rPr>
                <w:sz w:val="18"/>
                <w:szCs w:val="18"/>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Y/Y Organic Revenue Growth</w:t>
            </w:r>
          </w:p>
        </w:tc>
        <w:tc>
          <w:tcPr>
            <w:tcW w:w="42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9.5% - 10.5%</w:t>
            </w:r>
          </w:p>
        </w:tc>
        <w:tc>
          <w:tcPr>
            <w:tcW w:w="20" w:type="dxa"/>
            <w:vAlign w:val="bottom"/>
          </w:tcPr>
          <w:p>
            <w:pPr>
              <w:spacing w:after="0"/>
              <w:rPr>
                <w:sz w:val="18"/>
                <w:szCs w:val="18"/>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$1,100</w:t>
            </w:r>
          </w:p>
        </w:tc>
        <w:tc>
          <w:tcPr>
            <w:tcW w:w="20" w:type="dxa"/>
            <w:vAlign w:val="bottom"/>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$1,100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80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15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Twilio is hosting a Q&amp;A conference call today, April 30, 2026, to discuss its first quarter 2026 financial results. The conference call will begin at 2:00 p.m. (PT) / 5:00 p.m. (ET), and investors and analysts should register for the webcast in advance by visiting https://edge.media-server.com/mmc/p/sfj2jo9i. The live webcast of the conference call, as well as a replay, and Twilio’s supplemental earnings presentation, will be available on the investor relations website.</w:t>
      </w:r>
    </w:p>
    <w:p>
      <w:pPr>
        <w:spacing w:after="0" w:line="12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Twilio uses its investor relations website, its X feed (@twilio) and its LinkedIn page as a means of disclosing material non-public information and for complying with its disclosure obligations under Regulation FD.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Twilio Inc.</w:t>
      </w:r>
    </w:p>
    <w:p>
      <w:pPr>
        <w:spacing w:after="0" w:line="15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Today’s leading companies trust Twilio’s Customer Engagement Platform (CEP) to build direct, personalized relationships with their customers everywhere in the world. Twilio enables companies to use communications and data to add intelligence and security to every step of the customer journey, from sales to marketing to growth, customer service and many more engagement use cases in a flexible, programmatic way. Across 180 countries and territories, millions of developers and hundreds of thousands of businesses use Twilio to create magical experiences for their customers. For more information about Twilio (NYSE: TWLO) visit www.twilio.com.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This press release and the accompanying conference call contain forward-looking statements within the meaning of the federal securities laws.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press release and the accompanying conference call include, but are not limited to, statements about: our future financial and operating performance and outlook, including our expected financial and operating results, guidance and targets, including the assumptions underlying such guidance and targets; our anticipated strategies and business plans and our ability to successfully execute them; our ability to drive growth, profitability and free cash flow; our ability to maintain cost discipline and drive operating leverage; future investments and expenses; our expectations regarding carrier fees, and our related actions, and the impact of such fees on our financial and operating performance, including guidance; our expectations regarding our margins, including regarding price actions, product mix and growth in higher-margin products; our expectations regarding capital returns to shareholders, including share repurchases; our expectations regarding revenue from ISVs and self-serve customers; our expectations regarding our cross-sell, upsell and solution selling efforts; our pipeline of new business; the benefits our customers derive from our products; our ability to expand into new and existing markets; our innovation roadmap and the development, release and adoption of our products (and the timing thereof); the effects of our go-to-market efforts to drive profitable growth and capture market share; our expectations related to being a foundational infrastructure layer in the AI era; our expectations regarding our upcoming SIGNAL conference; and our expectations regarding the macroeconomic environment. You should not rely upon forward-looking statements as predictions of future events.</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outcome of the events described in these forward-looking statements is subject to known and unknown risks, uncertainties, and other factors that may cause our actual results, performance, or achievements to differ materially from those described in the forward-looking statements, including, among other things: the impact of global economic and political conditions and uncertainties; the accuracy of our forecasts and metrics; fluctuations in our results of operations and the levels of our customers’ usage of our platform; our ability to attract and retain customers and expand their usage of our platform; our ability to develop new products and integrate our products with third-party products effectively; our ability to manage our growth and strategic changes to our business; our ability to compete effectively in intensely competitive markets; the occurrence of and our ability to manage cybersecurity breaches and other incidents impacting our networks and systems or those of our third-party service providers; our ability to manage changes in network service provider fees and optimize our network service provider coverage and connectivity; and our compliance with industry standards, laws and regulations.</w:t>
      </w:r>
    </w:p>
    <w:p>
      <w:pPr>
        <w:spacing w:after="0" w:line="21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forward-looking statements contained in this press release and the accompanying conference call are also subject to additional risks, uncertainties, and factors, including those more fully described in our most recent filings with the Securities and Exchange Commission, including our Annual Report on Form 10-K and subsequent Quarterly Reports on Form 10-Q. Should any of these risks materialize, or should our assumptions prove to be incorrect, actual financial results could differ materially from our projections or those implied by these forward-looking statements. Moreover, we operate in a very competitive and rapidly changing environment, and new risks and uncertainties may emerge that could have an impact on the forward-looking statements contained in this press release and the accompanying conference call.</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All forward-looking statements contained in this press release and the accompanying conference call represent our management’s beliefs and assumptions only as of the date such statements are made and we do not assume any obligation to update any forward-looking statements to reflect events or circumstances occurring after the date on which the statements were made, or to reflect new information or the occurrence of unanticipated events, except as required by law.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5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addition to financial information presented in accordance with U.S. generally accepted accounting principles (“GAAP”), this press release and the accompanying conference call include certain non-GAAP financial measures, including those listed below. We use these non-GAAP financial measures to evaluate our ongoing operations and for internal planning and forecasting purposes. We believe that these non-GAAP financial measures may be helpful to investors because they provide consistency and comparability with past financial performance, facilitate period-to-period comparisons of results of operations and assist in comparisons with other companies, many of which use similar non-GAAP financial measures to supplement their GAAP results. We believe organic revenue and organic revenue growth are useful in understanding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0" w:right="339" w:bottom="1440" w:gutter="0" w:footer="0" w:header="0"/>
        </w:sectPr>
      </w:pPr>
    </w:p>
    <w:bookmarkStart w:id="6" w:name="page7"/>
    <w:bookmarkEnd w:id="6"/>
    <w:p>
      <w:pPr>
        <w:ind w:right="320"/>
        <w:spacing w:after="0" w:line="280" w:lineRule="auto"/>
        <w:rPr>
          <w:sz w:val="20"/>
          <w:szCs w:val="20"/>
          <w:color w:val="auto"/>
        </w:rPr>
      </w:pPr>
      <w:r>
        <w:rPr>
          <w:rFonts w:ascii="Times New Roman" w:cs="Times New Roman" w:eastAsia="Times New Roman" w:hAnsi="Times New Roman"/>
          <w:sz w:val="16"/>
          <w:szCs w:val="16"/>
          <w:color w:val="auto"/>
        </w:rPr>
        <w:t>ongoing results of our operations. We believe free cash flow and free cash flow margin provide useful supplemental information to help investors understand underlying trends in our business and our liquidity.</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These non-GAAP financial measures are presented for supplemental informational purposes only, should not be considered substitutes for financial information presented in accordance with GAAP, and may be different from similarly-titled non-GAAP measures used by other companies. A reconciliation of these measures to the most directly comparable GAAP measures is included at the end of this press release. We have not provided the forward-looking GAAP equivalents for certain forward-looking non-GAAP measures presented in this press release and the accompanying conference call, or a GAAP reconciliation, as a result of the uncertainty regarding, and the potential variability of, reconciling items such as stock-based compensation expense. Accordingly, a reconciliation of these non-GAAP guidance metrics to their corresponding forward-looking GAAP equivalents is not available without unreasonable effort. However, it is important to note that material changes to reconciling items could have a significant effect on future GAAP results.</w:t>
      </w:r>
    </w:p>
    <w:p>
      <w:pPr>
        <w:spacing w:after="0" w:line="186" w:lineRule="exact"/>
        <w:rPr>
          <w:sz w:val="20"/>
          <w:szCs w:val="20"/>
          <w:color w:val="auto"/>
        </w:rPr>
      </w:pPr>
    </w:p>
    <w:p>
      <w:pPr>
        <w:ind w:right="180"/>
        <w:spacing w:after="0" w:line="208"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Gross Profit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Gross Margin. </w:t>
      </w:r>
      <w:r>
        <w:rPr>
          <w:rFonts w:ascii="Times New Roman" w:cs="Times New Roman" w:eastAsia="Times New Roman" w:hAnsi="Times New Roman"/>
          <w:sz w:val="16"/>
          <w:szCs w:val="16"/>
          <w:color w:val="auto"/>
        </w:rPr>
        <w:t>For the periods presented, we define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gross profit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gross margin as GAAP gross profit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GAAP gross margin, respectively, adjusted to exclude stock-based compensation, amortization of acquired intangibles and payroll taxes related to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-318770</wp:posOffset>
            </wp:positionV>
            <wp:extent cx="6032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-318770</wp:posOffset>
            </wp:positionV>
            <wp:extent cx="6032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80" w:lineRule="exact"/>
        <w:rPr>
          <w:sz w:val="20"/>
          <w:szCs w:val="20"/>
          <w:color w:val="auto"/>
        </w:rPr>
      </w:pPr>
    </w:p>
    <w:p>
      <w:pPr>
        <w:ind w:right="480"/>
        <w:spacing w:after="0" w:line="207"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Income (Loss) from Operations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Operating Margin. </w:t>
      </w:r>
      <w:r>
        <w:rPr>
          <w:rFonts w:ascii="Times New Roman" w:cs="Times New Roman" w:eastAsia="Times New Roman" w:hAnsi="Times New Roman"/>
          <w:sz w:val="16"/>
          <w:szCs w:val="16"/>
          <w:color w:val="auto"/>
        </w:rPr>
        <w:t>For the periods presented, we define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income (loss) from operations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operating margin as GAAP income (loss) from operations and GAAP operating margin, respectively, adjusted to exclude, as applicable, stock-based compensation, amortization of acquired intangibles, loss on net assets divested, acquisition and divestiture related expenses, payroll taxes related to stock-based compensation, charitable contributions, restructuring costs, impairment of long-lived assets, and gains or losses on 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-446405</wp:posOffset>
            </wp:positionV>
            <wp:extent cx="6032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-446405</wp:posOffset>
            </wp:positionV>
            <wp:extent cx="6032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1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i w:val="1"/>
          <w:iCs w:val="1"/>
          <w:color w:val="auto"/>
        </w:rPr>
        <w:t>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Net Income Attributable to Common Stockholders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Non</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GAAP Net Income Per Share Attributable to Common Stockholders. </w:t>
      </w:r>
      <w:r>
        <w:rPr>
          <w:rFonts w:ascii="Times New Roman" w:cs="Times New Roman" w:eastAsia="Times New Roman" w:hAnsi="Times New Roman"/>
          <w:sz w:val="16"/>
          <w:szCs w:val="16"/>
          <w:color w:val="auto"/>
        </w:rPr>
        <w:t>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-39370</wp:posOffset>
            </wp:positionV>
            <wp:extent cx="6032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3810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-39370</wp:posOffset>
            </wp:positionV>
            <wp:extent cx="6032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38100"/>
                    </a:xfrm>
                    <a:prstGeom prst="rect">
                      <a:avLst/>
                    </a:prstGeom>
                    <a:noFill/>
                  </pic:spPr>
                </pic:pic>
              </a:graphicData>
            </a:graphic>
          </wp:anchor>
        </w:drawing>
      </w:r>
    </w:p>
    <w:p>
      <w:pPr>
        <w:spacing w:after="0" w:line="47" w:lineRule="exact"/>
        <w:rPr>
          <w:sz w:val="20"/>
          <w:szCs w:val="20"/>
          <w:color w:val="auto"/>
        </w:rPr>
      </w:pPr>
    </w:p>
    <w:p>
      <w:pPr>
        <w:spacing w:after="0" w:line="194" w:lineRule="exact"/>
        <w:rPr>
          <w:sz w:val="20"/>
          <w:szCs w:val="20"/>
          <w:color w:val="auto"/>
        </w:rPr>
      </w:pPr>
      <w:r>
        <w:rPr>
          <w:rFonts w:ascii="Times New Roman" w:cs="Times New Roman" w:eastAsia="Times New Roman" w:hAnsi="Times New Roman"/>
          <w:sz w:val="16"/>
          <w:szCs w:val="16"/>
          <w:color w:val="auto"/>
        </w:rPr>
        <w:t>we define non-GAAP net income attributable to common stockholders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net income per share attributable to common stockholders, diluted (which we refer to as “non-GAAP diluted earnings per share”) as GAAP net income (loss) attributable to common stockholders and GAAP net income (loss) per share attributable to common stockholders, diluted, respectively, adjusted to exclude, as applicable, stock-based compensation, amortization of acquired intangibles, loss on net assets divested, acquisition and divestiture related expenses, losses (gains) on strategic investments, payroll taxes related to stock-based compensation, accretion of debt discount and issuance costs, provision of income tax effects related to non-GAAP adjustments, income tax benefit related to acquisitions, charitable contributions, share of losses from equity method investment, impairment of equity method investment, restructuring costs, impairment of long-lived assets, gains or losses on or impairment of strategic investments, and gains or losses on lease termination.</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Organic Revenue. </w:t>
      </w:r>
      <w:r>
        <w:rPr>
          <w:rFonts w:ascii="Times New Roman" w:cs="Times New Roman" w:eastAsia="Times New Roman" w:hAnsi="Times New Roman"/>
          <w:sz w:val="16"/>
          <w:szCs w:val="16"/>
          <w:color w:val="auto"/>
        </w:rPr>
        <w:t>For the periods presented, we define organic revenue as GAAP revenue, excluding (i) revenue from each acquired business and revenue from incremental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increases to application-to-person (“A2P”) fees imposed by major U.S. carriers on our core messaging business, in each case until the beginning of the first full quarter following the one-year anniversary of the closing date of such acquisition or the initial date such fees were charged and (ii) revenue from each divested business beginning in the quarter of the closing date of such divestiture; provided that (a) if an acquisition closes or such fees are initially charged on the first day of a quarter, such revenue will be included in organic revenue beginning on the one-year anniversary of the closing date of such acquisition or the initial date such fees were charged and (b) if a divestiture closes on the last day of a quarter, such revenue will be included in organic revenue for that quarter. As used in this definition, A2P fees refers to fees imposed by U.S. mobile carriers for A2P messages delivered to their subscribers, and we pass these fees to our messaging customers at cost.</w:t>
      </w:r>
    </w:p>
    <w:p>
      <w:pPr>
        <w:spacing w:after="0" w:line="20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Organic Revenue Growth. </w:t>
      </w:r>
      <w:r>
        <w:rPr>
          <w:rFonts w:ascii="Times New Roman" w:cs="Times New Roman" w:eastAsia="Times New Roman" w:hAnsi="Times New Roman"/>
          <w:sz w:val="16"/>
          <w:szCs w:val="16"/>
          <w:color w:val="auto"/>
        </w:rPr>
        <w:t>For the periods presented, we calculate organic revenue growth by dividing (i) organic revenue for the period presented less organic revenue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comparative period by (ii) organic revenue in the comparative period. If revenue from certain acquisitions, divestitures or A2P fees is included or excluded in organic revenue in the period presented, then revenue from the same acquisitions, divestitures and A2P fees is included or excluded in organic revenue in the comparative period for purposes of the organic revenue growth calculation. As a result, organic revenue used in this calculation for the comparative period will not always equal organic revenue reported for the comparative period.</w:t>
      </w:r>
    </w:p>
    <w:p>
      <w:pPr>
        <w:spacing w:after="0" w:line="19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Free Cash Flow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i w:val="1"/>
          <w:iCs w:val="1"/>
          <w:color w:val="auto"/>
        </w:rPr>
        <w:t xml:space="preserve"> Free Cash Flow Margin. </w:t>
      </w:r>
      <w:r>
        <w:rPr>
          <w:rFonts w:ascii="Times New Roman" w:cs="Times New Roman" w:eastAsia="Times New Roman" w:hAnsi="Times New Roman"/>
          <w:sz w:val="16"/>
          <w:szCs w:val="16"/>
          <w:color w:val="auto"/>
        </w:rPr>
        <w:t>For the periods presented, we define free cash flow as net cash provided by operating activities, excluding capitalized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software development costs and purchases of long-lived assets, and we define free cash flow margin as free cash flow divided by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25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We review a number of operational and financial metrics, including Dollar-Based Net Expansion Rate (“DBNE”), to evaluate our business, measure our performance, identify trends affecting our business, formulate business plans and make strategic decisions. Our DBNE is not based on any standardized industry methodology and is not necessarily calculated in the same manner or comparable to similarly titled measures presented by other companies. Similarly, our DBNE may differ from estimates published by third parties or from similarly titled metrics of our competitors due to differences in methodology. The numbers that we use to calculate DBNE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74" w:right="339" w:bottom="1440" w:gutter="0" w:footer="0" w:header="0"/>
        </w:sectPr>
      </w:pPr>
    </w:p>
    <w:bookmarkStart w:id="7" w:name="page8"/>
    <w:bookmarkEnd w:id="7"/>
    <w:p>
      <w:pPr>
        <w:ind w:right="120"/>
        <w:spacing w:after="0" w:line="280" w:lineRule="auto"/>
        <w:rPr>
          <w:sz w:val="20"/>
          <w:szCs w:val="20"/>
          <w:color w:val="auto"/>
        </w:rPr>
      </w:pPr>
      <w:r>
        <w:rPr>
          <w:rFonts w:ascii="Times New Roman" w:cs="Times New Roman" w:eastAsia="Times New Roman" w:hAnsi="Times New Roman"/>
          <w:sz w:val="16"/>
          <w:szCs w:val="16"/>
          <w:color w:val="auto"/>
        </w:rPr>
        <w:t>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Beginning in the first quarter of 2026, we have discontinued disclosure of Active Customer Accounts as a key metric. As a result, we are revising the definition of DBNE to remove references to Active Customer Accounts and Zipwhip accounts and instead refer to “customer accounts.” The methodology for identifying these customer accounts is unchanged from the methodology most recently used to identify Active Customer Accounts and this definitional update has no impact on our methodology for calculating DBNE or our historical or future DBNE.</w:t>
      </w:r>
    </w:p>
    <w:p>
      <w:pPr>
        <w:spacing w:after="0" w:line="2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Dollar-Based Net Expansion Rate. </w:t>
      </w:r>
      <w:r>
        <w:rPr>
          <w:rFonts w:ascii="Times New Roman" w:cs="Times New Roman" w:eastAsia="Times New Roman" w:hAnsi="Times New Roman"/>
          <w:sz w:val="16"/>
          <w:szCs w:val="16"/>
          <w:color w:val="auto"/>
        </w:rPr>
        <w:t>Our DBNE compares the total revenue in a quarter from all individual customer accounts, as identified by a unique account identifier,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spacing w:after="0" w:line="21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Twilio Inc.</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77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32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32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1,172,463</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722,663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590,896</w:t>
            </w:r>
          </w:p>
        </w:tc>
      </w:tr>
      <w:tr>
        <w:trPr>
          <w:trHeight w:val="212"/>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581,567</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254,295</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212,113</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92,077</w:t>
            </w:r>
          </w:p>
        </w:tc>
      </w:tr>
      <w:tr>
        <w:trPr>
          <w:trHeight w:val="207"/>
        </w:trPr>
        <w:tc>
          <w:tcPr>
            <w:tcW w:w="8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576,578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558,485</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23,082</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 income, net: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(19,471)</w:t>
            </w:r>
          </w:p>
        </w:tc>
      </w:tr>
      <w:tr>
        <w:trPr>
          <w:trHeight w:val="21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22,973</w:t>
            </w:r>
          </w:p>
        </w:tc>
      </w:tr>
      <w:tr>
        <w:trPr>
          <w:trHeight w:val="212"/>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(expenses) income, net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r>
      <w:tr>
        <w:trPr>
          <w:trHeight w:val="207"/>
        </w:trPr>
        <w:tc>
          <w:tcPr>
            <w:tcW w:w="8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common stockholders: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income per share attributable to common stockholders: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152,424,306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153,345,192</w:t>
            </w:r>
          </w:p>
        </w:tc>
      </w:tr>
      <w:tr>
        <w:trPr>
          <w:trHeight w:val="210"/>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157,759,141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161,794,287</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6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682,335</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1,788,007</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636,736</w:t>
            </w:r>
          </w:p>
        </w:tc>
      </w:tr>
      <w:tr>
        <w:trPr>
          <w:trHeight w:val="21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469,650</w:t>
            </w:r>
          </w:p>
        </w:tc>
      </w:tr>
      <w:tr>
        <w:trPr>
          <w:trHeight w:val="212"/>
        </w:trPr>
        <w:tc>
          <w:tcPr>
            <w:tcW w:w="7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3,446,819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3,576,728</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176,963</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39,031</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301,642</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142,065</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5,291,787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242,674</w:t>
            </w:r>
          </w:p>
        </w:tc>
      </w:tr>
      <w:tr>
        <w:trPr>
          <w:trHeight w:val="207"/>
        </w:trPr>
        <w:tc>
          <w:tcPr>
            <w:tcW w:w="7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9,576,805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9,770,890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6"/>
        </w:trPr>
        <w:tc>
          <w:tcPr>
            <w:tcW w:w="7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85,089</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608,119</w:t>
            </w: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158,677</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35,123</w:t>
            </w:r>
          </w:p>
        </w:tc>
      </w:tr>
      <w:tr>
        <w:trPr>
          <w:trHeight w:val="207"/>
        </w:trPr>
        <w:tc>
          <w:tcPr>
            <w:tcW w:w="7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887,008</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54,162</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992,287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15,887</w:t>
            </w:r>
          </w:p>
        </w:tc>
      </w:tr>
      <w:tr>
        <w:trPr>
          <w:trHeight w:val="207"/>
        </w:trPr>
        <w:tc>
          <w:tcPr>
            <w:tcW w:w="7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1,792,721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1,949,344</w:t>
            </w:r>
          </w:p>
        </w:tc>
      </w:tr>
      <w:tr>
        <w:trPr>
          <w:trHeight w:val="19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Preferred stock</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16,294,528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16,148,190</w:t>
            </w:r>
          </w:p>
        </w:tc>
      </w:tr>
      <w:tr>
        <w:trPr>
          <w:trHeight w:val="213"/>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15,668</w:t>
            </w:r>
          </w:p>
        </w:tc>
      </w:tr>
      <w:tr>
        <w:trPr>
          <w:trHeight w:val="21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(8,506,279)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(8,342,464)</w:t>
            </w:r>
          </w:p>
        </w:tc>
      </w:tr>
      <w:tr>
        <w:trPr>
          <w:trHeight w:val="207"/>
        </w:trPr>
        <w:tc>
          <w:tcPr>
            <w:tcW w:w="7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7,784,084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7,821,546</w:t>
            </w:r>
          </w:p>
        </w:tc>
      </w:tr>
      <w:tr>
        <w:trPr>
          <w:trHeight w:val="235"/>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9,576,805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9,770,890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48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83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49,565</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reduction to the 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investment premium and discount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139,273</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(gains) losses on marketable equity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33,519</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7,853</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(94,262)</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w:t>
            </w:r>
          </w:p>
        </w:tc>
      </w:tr>
      <w:tr>
        <w:trPr>
          <w:trHeight w:val="213"/>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2"/>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19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 and payments related to prior period acquisitions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 and 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(213,844)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 and other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207,431</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07"/>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(19,140)</w:t>
            </w:r>
          </w:p>
        </w:tc>
      </w:tr>
      <w:tr>
        <w:trPr>
          <w:trHeight w:val="19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shares of Class A common stock and related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(126,256)</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r>
      <w:tr>
        <w:trPr>
          <w:trHeight w:val="207"/>
        </w:trPr>
        <w:tc>
          <w:tcPr>
            <w:tcW w:w="8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(252,574)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(125,794)</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46,108</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431,437</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477,545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425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per share amounts and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684,244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581,567</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 growth (Y/Y)</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adjustments: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4,271</w:t>
            </w: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9,356</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15,682</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r>
      <w:tr>
        <w:trPr>
          <w:trHeight w:val="212"/>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gross profit</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697,496</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602,002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gross profit growth (Y/Y)</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gross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from operations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107,666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23,082</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from operations growth (Y/Y)</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margin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adjustments:</w:t>
            </w: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136,428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137,520</w:t>
            </w: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16,617</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27,139</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11,926</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11,200</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2,776</w:t>
            </w: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14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11,691</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lease termination</w:t>
            </w:r>
          </w:p>
        </w:tc>
        <w:tc>
          <w:tcPr>
            <w:tcW w:w="1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278,927</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213,408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Non-GAAP income from operations growth (Y/Y)</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margin</w:t>
            </w:r>
          </w:p>
        </w:tc>
        <w:tc>
          <w:tcPr>
            <w:tcW w:w="1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6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attributable to common stockholders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20,017</w:t>
            </w:r>
          </w:p>
        </w:tc>
      </w:tr>
      <w:tr>
        <w:trPr>
          <w:trHeight w:val="213"/>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adjustments: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137,520</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16,617</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and divestiture related expenses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Accretion of debt discount and issuance costs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of income tax effects related to non-GAAP adjustments</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(54,612)</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(45,318)</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19,471</w:t>
            </w:r>
          </w:p>
        </w:tc>
      </w:tr>
      <w:tr>
        <w:trPr>
          <w:trHeight w:val="219"/>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 costs</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11,691</w:t>
            </w:r>
          </w:p>
        </w:tc>
      </w:tr>
      <w:tr>
        <w:trPr>
          <w:trHeight w:val="213"/>
        </w:trPr>
        <w:tc>
          <w:tcPr>
            <w:tcW w:w="6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Losses (gains) on strategic investments, net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16"/>
        </w:trPr>
        <w:tc>
          <w:tcPr>
            <w:tcW w:w="6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lease termination</w:t>
            </w:r>
          </w:p>
        </w:tc>
        <w:tc>
          <w:tcPr>
            <w:tcW w:w="1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net income attributable to common stockholders</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236,498</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183,956</w:t>
            </w:r>
          </w:p>
        </w:tc>
      </w:tr>
      <w:tr>
        <w:trPr>
          <w:trHeight w:val="20"/>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425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2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per share amounts and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per share attributable to common stockholders, diluted*</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Accretion of debt discount and issuance costs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of income tax effects related to non-GAAP adjustments</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costs</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(gains) on strategic investments, net</w:t>
            </w: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lease termination</w:t>
            </w:r>
          </w:p>
        </w:tc>
        <w:tc>
          <w:tcPr>
            <w:tcW w:w="1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Non-GAAP net income per share attributable to common stockholders, diluted</w:t>
            </w: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Weighted-average shares used to compute non-GAAP net income per share attributable to</w:t>
            </w:r>
          </w:p>
        </w:tc>
        <w:tc>
          <w:tcPr>
            <w:tcW w:w="1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157,759,141</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161,794,287</w:t>
            </w:r>
          </w:p>
        </w:tc>
        <w:tc>
          <w:tcPr>
            <w:tcW w:w="0" w:type="dxa"/>
            <w:vAlign w:val="bottom"/>
          </w:tcPr>
          <w:p>
            <w:pPr>
              <w:spacing w:after="0"/>
              <w:rPr>
                <w:sz w:val="1"/>
                <w:szCs w:val="1"/>
                <w:color w:val="auto"/>
              </w:rPr>
            </w:pPr>
          </w:p>
        </w:tc>
      </w:tr>
      <w:tr>
        <w:trPr>
          <w:trHeight w:val="189"/>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stockholders, diluted</w:t>
            </w: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Some columns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67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09"/>
        </w:trPr>
        <w:tc>
          <w:tcPr>
            <w:tcW w:w="9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198"/>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Organic Revenue</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1,406,907</w:t>
            </w:r>
          </w:p>
        </w:tc>
        <w:tc>
          <w:tcPr>
            <w:tcW w:w="0" w:type="dxa"/>
            <w:vAlign w:val="bottom"/>
          </w:tcPr>
          <w:p>
            <w:pPr>
              <w:spacing w:after="0"/>
              <w:rPr>
                <w:sz w:val="1"/>
                <w:szCs w:val="1"/>
                <w:color w:val="auto"/>
              </w:rPr>
            </w:pPr>
          </w:p>
        </w:tc>
      </w:tr>
      <w:tr>
        <w:trPr>
          <w:trHeight w:val="21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A2P Revenue</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(46,077)</w:t>
            </w:r>
          </w:p>
        </w:tc>
        <w:tc>
          <w:tcPr>
            <w:tcW w:w="0" w:type="dxa"/>
            <w:vAlign w:val="bottom"/>
          </w:tcPr>
          <w:p>
            <w:pPr>
              <w:spacing w:after="0"/>
              <w:rPr>
                <w:sz w:val="1"/>
                <w:szCs w:val="1"/>
                <w:color w:val="auto"/>
              </w:rPr>
            </w:pPr>
          </w:p>
        </w:tc>
      </w:tr>
      <w:tr>
        <w:trPr>
          <w:trHeight w:val="213"/>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Revenue</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237"/>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Organic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1,359,184</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GAAP Revenue Y/Y Growth</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Organic Revenue Y/Y Growth</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right="200" w:firstLine="8"/>
        <w:spacing w:after="0" w:line="226" w:lineRule="auto"/>
        <w:tabs>
          <w:tab w:leader="none" w:pos="1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Organic revenue for the three months ended March 31, 2025, when used as the denominator for Organic Revenue Growth for the three months ended March 31, 2026, is equal to reported revenue. Revenue for the three months ended March 31, 2025 was $1.17 billion.</w:t>
      </w:r>
    </w:p>
    <w:p>
      <w:pPr>
        <w:spacing w:after="0" w:line="260"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153,206</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191,042</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3"/>
        </w:trPr>
        <w:tc>
          <w:tcPr>
            <w:tcW w:w="6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Non-GAAP adjustments: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(11,564)</w:t>
            </w: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Purchase of long-lived assets</w:t>
            </w: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(4,153)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132,345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178,315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Free cash flow margin</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(41,190)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(19,140)</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(252,574)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Stock-Based Compensation Expense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54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470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spacing w:after="0"/>
              <w:rPr>
                <w:sz w:val="16"/>
                <w:szCs w:val="16"/>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3,374</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4,271</w:t>
            </w:r>
          </w:p>
        </w:tc>
      </w:tr>
      <w:tr>
        <w:trPr>
          <w:trHeight w:val="21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73,011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78,066</w:t>
            </w:r>
          </w:p>
        </w:tc>
      </w:tr>
      <w:tr>
        <w:trPr>
          <w:trHeight w:val="213"/>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31,149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31,359</w:t>
            </w:r>
          </w:p>
        </w:tc>
      </w:tr>
      <w:tr>
        <w:trPr>
          <w:trHeight w:val="21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25,577</w:t>
            </w:r>
          </w:p>
        </w:tc>
      </w:tr>
      <w:tr>
        <w:trPr>
          <w:trHeight w:val="207"/>
        </w:trPr>
        <w:tc>
          <w:tcPr>
            <w:tcW w:w="8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136,511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139,273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3"/>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Stock-Based Compensation Expense as a % of 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Rodney Nelson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ir@Twilio.com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Caitlin Epstein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press@Twilio.com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7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2026-04-30T15:24:51Z</dcterms:created>
  <dcterms:modified xsi:type="dcterms:W3CDTF">2026-04-30T15:24:51Z</dcterms:modified>
</cp:coreProperties>
</file>