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7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w:t>
      </w:r>
    </w:p>
    <w:p>
      <w:pPr>
        <w:spacing w:after="0" w:line="320" w:lineRule="exact"/>
        <w:rPr>
          <w:sz w:val="24"/>
          <w:szCs w:val="24"/>
          <w:color w:val="auto"/>
        </w:rPr>
      </w:pPr>
    </w:p>
    <w:p>
      <w:pPr>
        <w:ind w:left="700" w:hanging="634"/>
        <w:spacing w:after="0"/>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48" w:lineRule="exact"/>
        <w:rPr>
          <w:sz w:val="24"/>
          <w:szCs w:val="24"/>
          <w:color w:val="auto"/>
        </w:rPr>
      </w:pPr>
    </w:p>
    <w:p>
      <w:pPr>
        <w:ind w:left="700" w:hanging="640"/>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001-37806</w:t>
      </w:r>
    </w:p>
    <w:p>
      <w:pPr>
        <w:spacing w:after="0" w:line="2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47625</wp:posOffset>
            </wp:positionV>
            <wp:extent cx="668655"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29146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TWILIO INC.</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167" w:lineRule="exact"/>
        <w:rPr>
          <w:sz w:val="24"/>
          <w:szCs w:val="24"/>
          <w:color w:val="auto"/>
        </w:rPr>
      </w:pPr>
    </w:p>
    <w:p>
      <w:pPr>
        <w:ind w:left="2360"/>
        <w:spacing w:after="0"/>
        <w:tabs>
          <w:tab w:leader="none" w:pos="808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26-2574840</w:t>
      </w:r>
    </w:p>
    <w:p>
      <w:pPr>
        <w:spacing w:after="0" w:line="28" w:lineRule="exact"/>
        <w:rPr>
          <w:sz w:val="24"/>
          <w:szCs w:val="24"/>
          <w:color w:val="auto"/>
        </w:rPr>
      </w:pPr>
    </w:p>
    <w:p>
      <w:pPr>
        <w:ind w:left="980"/>
        <w:spacing w:after="0"/>
        <w:tabs>
          <w:tab w:leader="none" w:pos="744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101 Spear Street, Fifth Floor</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 Francisco, California 94105</w:t>
      </w: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(415) 390-2337</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9" w:lineRule="exact"/>
        <w:rPr>
          <w:sz w:val="24"/>
          <w:szCs w:val="24"/>
          <w:color w:val="auto"/>
        </w:rPr>
      </w:pPr>
    </w:p>
    <w:tbl>
      <w:tblPr>
        <w:tblLayout w:type="fixed"/>
        <w:tblInd w:w="100" w:type="dxa"/>
        <w:tblCellMar>
          <w:top w:w="0" w:type="dxa"/>
          <w:left w:w="0" w:type="dxa"/>
          <w:bottom w:w="0" w:type="dxa"/>
          <w:right w:w="0" w:type="dxa"/>
        </w:tblCellMar>
      </w:tblPr>
      <w:tr>
        <w:trPr>
          <w:trHeight w:val="21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TWLO</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0" w:lineRule="exact"/>
        <w:rPr>
          <w:sz w:val="24"/>
          <w:szCs w:val="24"/>
          <w:color w:val="auto"/>
        </w:rPr>
      </w:pPr>
    </w:p>
    <w:p>
      <w:pPr>
        <w:spacing w:after="0" w:line="22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April 15, 2025, 152,674,214 shares of the registrant’s Class A common stock were outstanding.</w:t>
      </w:r>
    </w:p>
    <w:p>
      <w:pPr>
        <w:spacing w:after="0" w:line="123" w:lineRule="exact"/>
        <w:rPr>
          <w:sz w:val="24"/>
          <w:szCs w:val="24"/>
          <w:color w:val="auto"/>
        </w:rPr>
      </w:pPr>
    </w:p>
    <w:p>
      <w:pPr>
        <w:ind w:right="4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4" w:lineRule="exact"/>
        <w:rPr>
          <w:sz w:val="24"/>
          <w:szCs w:val="24"/>
          <w:color w:val="auto"/>
        </w:rPr>
      </w:pPr>
    </w:p>
    <w:p>
      <w:pPr>
        <w:ind w:right="18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1880" w:type="dxa"/>
        <w:tblCellMar>
          <w:top w:w="0" w:type="dxa"/>
          <w:left w:w="0" w:type="dxa"/>
          <w:bottom w:w="0" w:type="dxa"/>
          <w:right w:w="0" w:type="dxa"/>
        </w:tblCellMar>
      </w:tblPr>
      <w:tr>
        <w:trPr>
          <w:trHeight w:val="203"/>
        </w:trPr>
        <w:tc>
          <w:tcPr>
            <w:tcW w:w="222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22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64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38" w:lineRule="exact"/>
        <w:rPr>
          <w:sz w:val="24"/>
          <w:szCs w:val="24"/>
          <w:color w:val="auto"/>
        </w:rPr>
      </w:pPr>
    </w:p>
    <w:p>
      <w:pPr>
        <w:ind w:right="56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vMerge w:val="restart"/>
          </w:tcPr>
          <w:p>
            <w:pPr>
              <w:spacing w:after="0"/>
              <w:rPr>
                <w:sz w:val="20"/>
                <w:szCs w:val="20"/>
                <w:color w:val="auto"/>
              </w:rPr>
            </w:pPr>
          </w:p>
        </w:tc>
        <w:tc>
          <w:tcPr>
            <w:tcW w:w="28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 - FINANCIAL INFORMATION</w:t>
            </w:r>
          </w:p>
        </w:tc>
        <w:tc>
          <w:tcPr>
            <w:tcW w:w="3400" w:type="dxa"/>
            <w:vAlign w:val="bottom"/>
            <w:gridSpan w:val="6"/>
            <w:vMerge w:val="restart"/>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820" w:type="dxa"/>
            <w:vAlign w:val="bottom"/>
            <w:tcBorders>
              <w:bottom w:val="single" w:sz="8" w:color="0000FF"/>
            </w:tcBorders>
            <w:gridSpan w:val="5"/>
            <w:vMerge w:val="continue"/>
          </w:tcPr>
          <w:p>
            <w:pPr>
              <w:spacing w:after="0"/>
              <w:rPr>
                <w:sz w:val="13"/>
                <w:szCs w:val="13"/>
                <w:color w:val="auto"/>
              </w:rPr>
            </w:pPr>
          </w:p>
        </w:tc>
        <w:tc>
          <w:tcPr>
            <w:tcW w:w="340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2024</w:t>
            </w:r>
          </w:p>
        </w:tc>
        <w:tc>
          <w:tcPr>
            <w:tcW w:w="1940" w:type="dxa"/>
            <w:vAlign w:val="bottom"/>
            <w:gridSpan w:val="3"/>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2025 and 2024</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520" w:type="dxa"/>
            <w:vAlign w:val="bottom"/>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220" w:type="dxa"/>
            <w:vAlign w:val="bottom"/>
            <w:gridSpan w:val="2"/>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40" w:type="dxa"/>
            <w:vAlign w:val="bottom"/>
            <w:gridSpan w:val="3"/>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466"/>
        </w:trPr>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320" w:type="dxa"/>
            <w:vAlign w:val="bottom"/>
          </w:tcPr>
          <w:p>
            <w:pPr>
              <w:spacing w:after="0"/>
              <w:rPr>
                <w:sz w:val="24"/>
                <w:szCs w:val="24"/>
                <w:color w:val="auto"/>
              </w:rPr>
            </w:pP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40" w:type="dxa"/>
            <w:vAlign w:val="bottom"/>
            <w:gridSpan w:val="4"/>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10"/>
          </w:tcPr>
          <w:p>
            <w:pPr>
              <w:jc w:val="center"/>
              <w:ind w:right="3540"/>
              <w:spacing w:after="0"/>
              <w:rPr>
                <w:sz w:val="20"/>
                <w:szCs w:val="20"/>
                <w:color w:val="auto"/>
              </w:rPr>
            </w:pPr>
            <w:r>
              <w:rPr>
                <w:rFonts w:ascii="Times New Roman" w:cs="Times New Roman" w:eastAsia="Times New Roman" w:hAnsi="Times New Roman"/>
                <w:sz w:val="16"/>
                <w:szCs w:val="16"/>
                <w:b w:val="1"/>
                <w:bCs w:val="1"/>
                <w:color w:val="0000FF"/>
                <w:w w:val="99"/>
              </w:rPr>
              <w:t>PART II - OTHER INFORMATION</w:t>
            </w: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540" w:type="dxa"/>
            <w:vAlign w:val="bottom"/>
            <w:tcBorders>
              <w:top w:val="single" w:sz="8" w:color="0000FF"/>
            </w:tcBorders>
            <w:gridSpan w:val="3"/>
          </w:tcPr>
          <w:p>
            <w:pPr>
              <w:spacing w:after="0"/>
              <w:rPr>
                <w:sz w:val="24"/>
                <w:szCs w:val="24"/>
                <w:color w:val="auto"/>
              </w:rPr>
            </w:pPr>
          </w:p>
        </w:tc>
        <w:tc>
          <w:tcPr>
            <w:tcW w:w="3540" w:type="dxa"/>
            <w:vAlign w:val="bottom"/>
            <w:gridSpan w:val="7"/>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680" w:type="dxa"/>
            <w:vAlign w:val="bottom"/>
            <w:gridSpan w:val="15"/>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2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820" w:type="dxa"/>
            <w:vAlign w:val="bottom"/>
            <w:gridSpan w:val="16"/>
          </w:tcPr>
          <w:p>
            <w:pPr>
              <w:spacing w:after="0"/>
              <w:rPr>
                <w:sz w:val="24"/>
                <w:szCs w:val="24"/>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36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68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760" w:type="dxa"/>
            <w:vAlign w:val="bottom"/>
          </w:tcPr>
          <w:p>
            <w:pPr>
              <w:spacing w:after="0"/>
              <w:rPr>
                <w:sz w:val="16"/>
                <w:szCs w:val="16"/>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421,297</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1,980,983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1,963,102</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588,540</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442,155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474,360</w:t>
            </w:r>
          </w:p>
        </w:tc>
      </w:tr>
      <w:tr>
        <w:trPr>
          <w:trHeight w:val="212"/>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3,467,856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3,447,299</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191,042</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53,405</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485,835</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238,503</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5,243,266</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195,171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206,122</w:t>
            </w:r>
          </w:p>
        </w:tc>
      </w:tr>
      <w:tr>
        <w:trPr>
          <w:trHeight w:val="212"/>
        </w:trPr>
        <w:tc>
          <w:tcPr>
            <w:tcW w:w="6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9,814,715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9,865,472</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3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100,169</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530,686</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and customer deposits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155,680</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33,685</w:t>
            </w:r>
          </w:p>
        </w:tc>
      </w:tr>
      <w:tr>
        <w:trPr>
          <w:trHeight w:val="212"/>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820,220</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85,875</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990,587</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15,824</w:t>
            </w:r>
          </w:p>
        </w:tc>
      </w:tr>
      <w:tr>
        <w:trPr>
          <w:trHeight w:val="212"/>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1,912,506</w:t>
            </w:r>
          </w:p>
        </w:tc>
      </w:tr>
      <w:tr>
        <w:trPr>
          <w:trHeight w:val="19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A common stock</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15,625,545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15,476,124</w:t>
            </w:r>
          </w:p>
        </w:tc>
      </w:tr>
      <w:tr>
        <w:trPr>
          <w:trHeight w:val="21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1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(7,631,765)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(7,522,010)</w:t>
            </w:r>
          </w:p>
        </w:tc>
      </w:tr>
      <w:tr>
        <w:trPr>
          <w:trHeight w:val="210"/>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8,004,291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7,952,966</w:t>
            </w:r>
          </w:p>
        </w:tc>
      </w:tr>
      <w:tr>
        <w:trPr>
          <w:trHeight w:val="212"/>
        </w:trPr>
        <w:tc>
          <w:tcPr>
            <w:tcW w:w="6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9,814,715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9,865,472</w:t>
            </w: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9"/>
        </w:trPr>
        <w:tc>
          <w:tcPr>
            <w:tcW w:w="7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20" w:type="dxa"/>
            <w:vAlign w:val="bottom"/>
            <w:tcBorders>
              <w:bottom w:val="single" w:sz="8" w:color="auto"/>
            </w:tcBorders>
          </w:tcPr>
          <w:p>
            <w:pPr>
              <w:spacing w:after="0"/>
              <w:rPr>
                <w:sz w:val="19"/>
                <w:szCs w:val="19"/>
                <w:color w:val="auto"/>
              </w:rPr>
            </w:pPr>
          </w:p>
        </w:tc>
      </w:tr>
      <w:tr>
        <w:trPr>
          <w:trHeight w:val="211"/>
        </w:trPr>
        <w:tc>
          <w:tcPr>
            <w:tcW w:w="7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1,047,050</w:t>
            </w: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590,896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503,009</w:t>
            </w:r>
          </w:p>
        </w:tc>
      </w:tr>
      <w:tr>
        <w:trPr>
          <w:trHeight w:val="212"/>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581,567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544,041</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260,457</w:t>
            </w:r>
          </w:p>
        </w:tc>
      </w:tr>
      <w:tr>
        <w:trPr>
          <w:trHeight w:val="213"/>
        </w:trPr>
        <w:tc>
          <w:tcPr>
            <w:tcW w:w="7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212,113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214,503</w:t>
            </w:r>
          </w:p>
        </w:tc>
      </w:tr>
      <w:tr>
        <w:trPr>
          <w:trHeight w:val="21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92,077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112,585</w:t>
            </w:r>
          </w:p>
        </w:tc>
      </w:tr>
      <w:tr>
        <w:trPr>
          <w:trHeight w:val="207"/>
        </w:trPr>
        <w:tc>
          <w:tcPr>
            <w:tcW w:w="7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558,485</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587,545</w:t>
            </w:r>
          </w:p>
        </w:tc>
      </w:tr>
      <w:tr>
        <w:trPr>
          <w:trHeight w:val="212"/>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23,082</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(43,504)</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(29,575)</w:t>
            </w:r>
          </w:p>
        </w:tc>
      </w:tr>
      <w:tr>
        <w:trPr>
          <w:trHeight w:val="213"/>
        </w:trPr>
        <w:tc>
          <w:tcPr>
            <w:tcW w:w="7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27,918</w:t>
            </w:r>
          </w:p>
        </w:tc>
      </w:tr>
      <w:tr>
        <w:trPr>
          <w:trHeight w:val="212"/>
        </w:trPr>
        <w:tc>
          <w:tcPr>
            <w:tcW w:w="7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07"/>
        </w:trPr>
        <w:tc>
          <w:tcPr>
            <w:tcW w:w="7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(45,161)</w:t>
            </w: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w:t>
            </w:r>
          </w:p>
        </w:tc>
      </w:tr>
      <w:tr>
        <w:trPr>
          <w:trHeight w:val="207"/>
        </w:trPr>
        <w:tc>
          <w:tcPr>
            <w:tcW w:w="7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(55,349)</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7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income (loss) per share attributable to common stockholders: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153,345,192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181,017,726</w:t>
            </w:r>
          </w:p>
        </w:tc>
      </w:tr>
      <w:tr>
        <w:trPr>
          <w:trHeight w:val="210"/>
        </w:trPr>
        <w:tc>
          <w:tcPr>
            <w:tcW w:w="7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161,794,287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181,017,726</w:t>
            </w:r>
          </w:p>
        </w:tc>
      </w:tr>
    </w:tbl>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29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1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60" w:type="dxa"/>
            <w:vAlign w:val="bottom"/>
            <w:tcBorders>
              <w:bottom w:val="single" w:sz="8" w:color="auto"/>
            </w:tcBorders>
          </w:tcPr>
          <w:p>
            <w:pPr>
              <w:spacing w:after="0"/>
              <w:rPr>
                <w:sz w:val="19"/>
                <w:szCs w:val="19"/>
                <w:color w:val="auto"/>
              </w:rPr>
            </w:pPr>
          </w:p>
        </w:tc>
      </w:tr>
      <w:tr>
        <w:trPr>
          <w:trHeight w:val="211"/>
        </w:trPr>
        <w:tc>
          <w:tcPr>
            <w:tcW w:w="8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8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6"/>
                <w:szCs w:val="16"/>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(55,349)</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w:t>
            </w:r>
          </w:p>
        </w:tc>
      </w:tr>
      <w:tr>
        <w:trPr>
          <w:trHeight w:val="21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market value of effective foreign currency forward exchange contracts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w:t>
            </w:r>
          </w:p>
        </w:tc>
      </w:tr>
      <w:tr>
        <w:trPr>
          <w:trHeight w:val="21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 of other comprehensive (loss) income from equity method investment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r>
      <w:tr>
        <w:trPr>
          <w:trHeight w:val="207"/>
        </w:trPr>
        <w:tc>
          <w:tcPr>
            <w:tcW w:w="81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11,659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(5,560)</w:t>
            </w:r>
          </w:p>
        </w:tc>
      </w:tr>
      <w:tr>
        <w:trPr>
          <w:trHeight w:val="237"/>
        </w:trPr>
        <w:tc>
          <w:tcPr>
            <w:tcW w:w="8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8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31,676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7"/>
                <w:szCs w:val="7"/>
                <w:color w:val="auto"/>
              </w:rPr>
            </w:pPr>
          </w:p>
        </w:tc>
        <w:tc>
          <w:tcPr>
            <w:tcW w:w="1040" w:type="dxa"/>
            <w:vAlign w:val="bottom"/>
            <w:gridSpan w:val="2"/>
            <w:vMerge w:val="restart"/>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restart"/>
          </w:tcPr>
          <w:p>
            <w:pPr>
              <w:jc w:val="center"/>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5180" w:type="dxa"/>
            <w:vAlign w:val="bottom"/>
          </w:tcPr>
          <w:p>
            <w:pPr>
              <w:spacing w:after="0"/>
              <w:rPr>
                <w:sz w:val="5"/>
                <w:szCs w:val="5"/>
                <w:color w:val="auto"/>
              </w:rPr>
            </w:pPr>
          </w:p>
        </w:tc>
        <w:tc>
          <w:tcPr>
            <w:tcW w:w="13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5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color w:val="auto"/>
                <w:w w:val="97"/>
              </w:rPr>
              <w:t>(In thousands, except share amounts)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152,610,697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15,476,124</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(7,522,010)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7,952,966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20,017</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20,017</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131,515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2,766</w:t>
            </w:r>
          </w:p>
        </w:tc>
        <w:tc>
          <w:tcPr>
            <w:tcW w:w="0" w:type="dxa"/>
            <w:vAlign w:val="bottom"/>
          </w:tcPr>
          <w:p>
            <w:pPr>
              <w:spacing w:after="0"/>
              <w:rPr>
                <w:sz w:val="1"/>
                <w:szCs w:val="1"/>
                <w:color w:val="auto"/>
              </w:rPr>
            </w:pPr>
          </w:p>
        </w:tc>
      </w:tr>
      <w:tr>
        <w:trPr>
          <w:trHeight w:val="195"/>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1,712,644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2,776</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5,058</w:t>
            </w:r>
          </w:p>
        </w:tc>
        <w:tc>
          <w:tcPr>
            <w:tcW w:w="0" w:type="dxa"/>
            <w:vAlign w:val="bottom"/>
          </w:tcPr>
          <w:p>
            <w:pPr>
              <w:spacing w:after="0"/>
              <w:rPr>
                <w:sz w:val="1"/>
                <w:szCs w:val="1"/>
                <w:color w:val="auto"/>
              </w:rPr>
            </w:pPr>
          </w:p>
        </w:tc>
      </w:tr>
      <w:tr>
        <w:trPr>
          <w:trHeight w:val="195"/>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(1,222,193)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(129,774)</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 contracts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8,386</w:t>
            </w:r>
          </w:p>
        </w:tc>
        <w:tc>
          <w:tcPr>
            <w:tcW w:w="0" w:type="dxa"/>
            <w:vAlign w:val="bottom"/>
          </w:tcPr>
          <w:p>
            <w:pPr>
              <w:spacing w:after="0"/>
              <w:rPr>
                <w:sz w:val="1"/>
                <w:szCs w:val="1"/>
                <w:color w:val="auto"/>
              </w:rPr>
            </w:pPr>
          </w:p>
        </w:tc>
      </w:tr>
      <w:tr>
        <w:trPr>
          <w:trHeight w:val="195"/>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other comprehensive loss from equity method investment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143,934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143,934</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153,254,342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15,625,545</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10,358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(7,631,765)</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8,004,291</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78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7"/>
                <w:szCs w:val="7"/>
                <w:color w:val="auto"/>
              </w:rPr>
            </w:pPr>
          </w:p>
        </w:tc>
        <w:tc>
          <w:tcPr>
            <w:tcW w:w="100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restart"/>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132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0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0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8"/>
        </w:trPr>
        <w:tc>
          <w:tcPr>
            <w:tcW w:w="47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3"/>
                <w:szCs w:val="13"/>
                <w:color w:val="auto"/>
              </w:rPr>
              <w:t>(In thousands, except share amounts)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181,945,771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14,797,723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(5,065,972)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9,732,552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tcBorders>
              <w:top w:val="single" w:sz="8" w:color="CCEEFF"/>
            </w:tcBorders>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(55,349)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(55,349)</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5"/>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1,615,930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Value of equity awards withheld for tax liability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195"/>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of Class A common stock issued and donated to charity</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returned from escrow</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5"/>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shares of Class A common stock including related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(6,128,298)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(387,028)</w:t>
            </w:r>
          </w:p>
        </w:tc>
        <w:tc>
          <w:tcPr>
            <w:tcW w:w="0" w:type="dxa"/>
            <w:vAlign w:val="bottom"/>
          </w:tcPr>
          <w:p>
            <w:pPr>
              <w:spacing w:after="0"/>
              <w:rPr>
                <w:sz w:val="1"/>
                <w:szCs w:val="1"/>
                <w:color w:val="auto"/>
              </w:rPr>
            </w:pPr>
          </w:p>
        </w:tc>
      </w:tr>
      <w:tr>
        <w:trPr>
          <w:trHeight w:val="139"/>
        </w:trPr>
        <w:tc>
          <w:tcPr>
            <w:tcW w:w="478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change in market value of effective foreign currency forward exchange</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0" w:type="dxa"/>
            <w:vAlign w:val="bottom"/>
          </w:tcPr>
          <w:p>
            <w:pPr>
              <w:spacing w:after="0"/>
              <w:rPr>
                <w:sz w:val="1"/>
                <w:szCs w:val="1"/>
                <w:color w:val="auto"/>
              </w:rPr>
            </w:pPr>
          </w:p>
        </w:tc>
      </w:tr>
      <w:tr>
        <w:trPr>
          <w:trHeight w:val="193"/>
        </w:trPr>
        <w:tc>
          <w:tcPr>
            <w:tcW w:w="4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contracts</w:t>
            </w:r>
          </w:p>
        </w:tc>
        <w:tc>
          <w:tcPr>
            <w:tcW w:w="1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of other comprehensive income from equity method investment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196"/>
        </w:trPr>
        <w:tc>
          <w:tcPr>
            <w:tcW w:w="4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163,509</w:t>
            </w:r>
          </w:p>
        </w:tc>
        <w:tc>
          <w:tcPr>
            <w:tcW w:w="0" w:type="dxa"/>
            <w:vAlign w:val="bottom"/>
          </w:tcPr>
          <w:p>
            <w:pPr>
              <w:spacing w:after="0"/>
              <w:rPr>
                <w:sz w:val="1"/>
                <w:szCs w:val="1"/>
                <w:color w:val="auto"/>
              </w:rPr>
            </w:pPr>
          </w:p>
        </w:tc>
      </w:tr>
      <w:tr>
        <w:trPr>
          <w:trHeight w:val="228"/>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177,471,887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14,960,837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(5,508,343)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9,447,730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TWILIO INC</w:t>
      </w:r>
      <w:r>
        <w:rPr>
          <w:rFonts w:ascii="Times New Roman" w:cs="Times New Roman" w:eastAsia="Times New Roman" w:hAnsi="Times New Roman"/>
          <w:sz w:val="14"/>
          <w:szCs w:val="14"/>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center"/>
              <w:ind w:left="408"/>
              <w:spacing w:after="0"/>
              <w:rPr>
                <w:sz w:val="20"/>
                <w:szCs w:val="20"/>
                <w:color w:val="auto"/>
              </w:rPr>
            </w:pPr>
            <w:r>
              <w:rPr>
                <w:rFonts w:ascii="Times New Roman" w:cs="Times New Roman" w:eastAsia="Times New Roman" w:hAnsi="Times New Roman"/>
                <w:sz w:val="13"/>
                <w:szCs w:val="13"/>
                <w:color w:val="auto"/>
                <w:w w:val="96"/>
              </w:rPr>
              <w:t>(In thousands)</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20,017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(55,349)</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53,318</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reduction to the right-of-use asset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5,076</w:t>
            </w: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amortization of investment premium and discount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139,273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158,606</w:t>
            </w: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18,829</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6,204</w:t>
            </w: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 of losses from equity method investment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29,575</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4,996</w:t>
            </w: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15,637</w:t>
            </w:r>
          </w:p>
        </w:tc>
        <w:tc>
          <w:tcPr>
            <w:tcW w:w="0" w:type="dxa"/>
            <w:vAlign w:val="bottom"/>
          </w:tcPr>
          <w:p>
            <w:pPr>
              <w:spacing w:after="0"/>
              <w:rPr>
                <w:sz w:val="1"/>
                <w:szCs w:val="1"/>
                <w:color w:val="auto"/>
              </w:rPr>
            </w:pPr>
          </w:p>
        </w:tc>
      </w:tr>
      <w:tr>
        <w:trPr>
          <w:trHeight w:val="195"/>
        </w:trPr>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33,519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16,901</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6,859</w:t>
            </w:r>
          </w:p>
        </w:tc>
        <w:tc>
          <w:tcPr>
            <w:tcW w:w="0" w:type="dxa"/>
            <w:vAlign w:val="bottom"/>
          </w:tcPr>
          <w:p>
            <w:pPr>
              <w:spacing w:after="0"/>
              <w:rPr>
                <w:sz w:val="1"/>
                <w:szCs w:val="1"/>
                <w:color w:val="auto"/>
              </w:rPr>
            </w:pPr>
          </w:p>
        </w:tc>
      </w:tr>
      <w:tr>
        <w:trPr>
          <w:trHeight w:val="195"/>
        </w:trPr>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(37,762)</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(12,447)</w:t>
            </w:r>
          </w:p>
        </w:tc>
        <w:tc>
          <w:tcPr>
            <w:tcW w:w="0" w:type="dxa"/>
            <w:vAlign w:val="bottom"/>
          </w:tcPr>
          <w:p>
            <w:pPr>
              <w:spacing w:after="0"/>
              <w:rPr>
                <w:sz w:val="1"/>
                <w:szCs w:val="1"/>
                <w:color w:val="auto"/>
              </w:rPr>
            </w:pPr>
          </w:p>
        </w:tc>
      </w:tr>
      <w:tr>
        <w:trPr>
          <w:trHeight w:val="195"/>
        </w:trPr>
        <w:tc>
          <w:tcPr>
            <w:tcW w:w="8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 and customer deposits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0" w:type="dxa"/>
            <w:vAlign w:val="bottom"/>
          </w:tcPr>
          <w:p>
            <w:pPr>
              <w:spacing w:after="0"/>
              <w:rPr>
                <w:sz w:val="1"/>
                <w:szCs w:val="1"/>
                <w:color w:val="auto"/>
              </w:rPr>
            </w:pPr>
          </w:p>
        </w:tc>
      </w:tr>
      <w:tr>
        <w:trPr>
          <w:trHeight w:val="196"/>
        </w:trPr>
        <w:tc>
          <w:tcPr>
            <w:tcW w:w="8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191,042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190,123</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 and other investments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(435,590)</w:t>
            </w: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and maturities of marketable securities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207,431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638,185</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0" w:type="dxa"/>
            <w:vAlign w:val="bottom"/>
          </w:tcPr>
          <w:p>
            <w:pPr>
              <w:spacing w:after="0"/>
              <w:rPr>
                <w:sz w:val="1"/>
                <w:szCs w:val="1"/>
                <w:color w:val="auto"/>
              </w:rPr>
            </w:pPr>
          </w:p>
        </w:tc>
      </w:tr>
      <w:tr>
        <w:trPr>
          <w:trHeight w:val="196"/>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Purchases of long-lived and intangible assets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189,770</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0" w:type="dxa"/>
            <w:vAlign w:val="bottom"/>
          </w:tcPr>
          <w:p>
            <w:pPr>
              <w:spacing w:after="0"/>
              <w:rPr>
                <w:sz w:val="1"/>
                <w:szCs w:val="1"/>
                <w:color w:val="auto"/>
              </w:rPr>
            </w:pPr>
          </w:p>
        </w:tc>
      </w:tr>
      <w:tr>
        <w:trPr>
          <w:trHeight w:val="195"/>
        </w:trPr>
        <w:tc>
          <w:tcPr>
            <w:tcW w:w="8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Value of equity awards withheld for tax liabilities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shares of Class A common stock and related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(356,900)</w:t>
            </w:r>
          </w:p>
        </w:tc>
        <w:tc>
          <w:tcPr>
            <w:tcW w:w="0" w:type="dxa"/>
            <w:vAlign w:val="bottom"/>
          </w:tcPr>
          <w:p>
            <w:pPr>
              <w:spacing w:after="0"/>
              <w:rPr>
                <w:sz w:val="1"/>
                <w:szCs w:val="1"/>
                <w:color w:val="auto"/>
              </w:rPr>
            </w:pPr>
          </w:p>
        </w:tc>
      </w:tr>
      <w:tr>
        <w:trPr>
          <w:trHeight w:val="196"/>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Proceeds from exercises of stock options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(125,794)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(363,229)</w:t>
            </w:r>
          </w:p>
        </w:tc>
        <w:tc>
          <w:tcPr>
            <w:tcW w:w="0" w:type="dxa"/>
            <w:vAlign w:val="bottom"/>
          </w:tcPr>
          <w:p>
            <w:pPr>
              <w:spacing w:after="0"/>
              <w:rPr>
                <w:sz w:val="1"/>
                <w:szCs w:val="1"/>
                <w:color w:val="auto"/>
              </w:rPr>
            </w:pPr>
          </w:p>
        </w:tc>
      </w:tr>
      <w:tr>
        <w:trPr>
          <w:trHeight w:val="189"/>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16,664</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431,437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655,931</w:t>
            </w:r>
          </w:p>
        </w:tc>
        <w:tc>
          <w:tcPr>
            <w:tcW w:w="0" w:type="dxa"/>
            <w:vAlign w:val="bottom"/>
          </w:tcPr>
          <w:p>
            <w:pPr>
              <w:spacing w:after="0"/>
              <w:rPr>
                <w:sz w:val="1"/>
                <w:szCs w:val="1"/>
                <w:color w:val="auto"/>
              </w:rPr>
            </w:pPr>
          </w:p>
        </w:tc>
      </w:tr>
      <w:tr>
        <w:trPr>
          <w:trHeight w:val="203"/>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477,545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672,595</w:t>
            </w:r>
          </w:p>
        </w:tc>
        <w:tc>
          <w:tcPr>
            <w:tcW w:w="0" w:type="dxa"/>
            <w:vAlign w:val="bottom"/>
          </w:tcPr>
          <w:p>
            <w:pPr>
              <w:spacing w:after="0"/>
              <w:rPr>
                <w:sz w:val="1"/>
                <w:szCs w:val="1"/>
                <w:color w:val="auto"/>
              </w:rPr>
            </w:pP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10,761</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940" w:type="dxa"/>
            <w:vAlign w:val="bottom"/>
            <w:vMerge w:val="continue"/>
          </w:tcPr>
          <w:p>
            <w:pPr>
              <w:spacing w:after="0"/>
              <w:rPr>
                <w:sz w:val="13"/>
                <w:szCs w:val="13"/>
                <w:color w:val="auto"/>
              </w:rPr>
            </w:pPr>
          </w:p>
        </w:tc>
        <w:tc>
          <w:tcPr>
            <w:tcW w:w="22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18,791</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18,893</w:t>
            </w:r>
          </w:p>
        </w:tc>
        <w:tc>
          <w:tcPr>
            <w:tcW w:w="0" w:type="dxa"/>
            <w:vAlign w:val="bottom"/>
          </w:tcPr>
          <w:p>
            <w:pPr>
              <w:spacing w:after="0"/>
              <w:rPr>
                <w:sz w:val="1"/>
                <w:szCs w:val="1"/>
                <w:color w:val="auto"/>
              </w:rPr>
            </w:pP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 CONDENSED CONSOLIDATED BALANCE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SHEETS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672,595</w:t>
            </w:r>
          </w:p>
        </w:tc>
        <w:tc>
          <w:tcPr>
            <w:tcW w:w="0" w:type="dxa"/>
            <w:vAlign w:val="bottom"/>
          </w:tcPr>
          <w:p>
            <w:pPr>
              <w:spacing w:after="0"/>
              <w:rPr>
                <w:sz w:val="1"/>
                <w:szCs w:val="1"/>
                <w:color w:val="auto"/>
              </w:rPr>
            </w:pPr>
          </w:p>
        </w:tc>
      </w:tr>
      <w:tr>
        <w:trPr>
          <w:trHeight w:val="196"/>
        </w:trPr>
        <w:tc>
          <w:tcPr>
            <w:tcW w:w="8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Restricted cash in other long-term assets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8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477,545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672,595</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TWILIO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80"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Company’s headquarters are located in San Francisco, California, and the Company has subsidiaries across North America, South America, Europe, Asia and Australia.</w:t>
      </w:r>
    </w:p>
    <w:p>
      <w:pPr>
        <w:spacing w:after="0" w:line="158"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1300" w:hanging="806"/>
        <w:spacing w:after="0"/>
        <w:tabs>
          <w:tab w:leader="none" w:pos="1300"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26, 2025 (“Annual Report”).</w:t>
      </w:r>
    </w:p>
    <w:p>
      <w:pPr>
        <w:spacing w:after="0" w:line="18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included herein, was derived from the audited financial statements as of that date, but may not include all disclosures including certain notes required by U.S. GAAP on an annual reporting basis.</w:t>
      </w:r>
    </w:p>
    <w:p>
      <w:pPr>
        <w:spacing w:after="0" w:line="162"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reflect all normal recurring adjustments necessary to present fairly the financial position, results of operations, comprehensive income (loss), stockholders’ equity and cash flows for the interim periods, but are not necessarily indicative of the results of operations to be anticipated for the full year 2025 or any future period.</w:t>
      </w:r>
    </w:p>
    <w:p>
      <w:pPr>
        <w:spacing w:after="0" w:line="172" w:lineRule="exact"/>
        <w:rPr>
          <w:sz w:val="20"/>
          <w:szCs w:val="20"/>
          <w:color w:val="auto"/>
        </w:rPr>
      </w:pPr>
    </w:p>
    <w:p>
      <w:pPr>
        <w:ind w:left="1300" w:hanging="806"/>
        <w:spacing w:after="0"/>
        <w:tabs>
          <w:tab w:leader="none" w:pos="130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Company and its wholly owned subsidiaries. All intercompany balances and transactions have been eliminated.</w:t>
      </w:r>
    </w:p>
    <w:p>
      <w:pPr>
        <w:spacing w:after="0" w:line="158" w:lineRule="exact"/>
        <w:rPr>
          <w:sz w:val="20"/>
          <w:szCs w:val="20"/>
          <w:color w:val="auto"/>
        </w:rPr>
      </w:pPr>
    </w:p>
    <w:p>
      <w:pPr>
        <w:ind w:left="1300" w:hanging="806"/>
        <w:spacing w:after="0"/>
        <w:tabs>
          <w:tab w:leader="none" w:pos="130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188" w:lineRule="exact"/>
        <w:rPr>
          <w:sz w:val="20"/>
          <w:szCs w:val="20"/>
          <w:color w:val="auto"/>
        </w:rPr>
      </w:pPr>
    </w:p>
    <w:p>
      <w:pPr>
        <w:ind w:left="1300" w:hanging="806"/>
        <w:spacing w:after="0"/>
        <w:tabs>
          <w:tab w:leader="none" w:pos="13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for contracts with durations of more than one year was $169.4 million as of March 31, 2025, of which 61% is expected to be recognized over the next 12 months and 92% is expected to be recognized over the next 24 months.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00" w:hanging="806"/>
        <w:spacing w:after="0"/>
        <w:tabs>
          <w:tab w:leader="none" w:pos="130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 and Customer Deposits</w:t>
      </w:r>
    </w:p>
    <w:p>
      <w:pPr>
        <w:spacing w:after="0" w:line="229"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recorded $154.0 million and $155.7 million as its deferred revenue and customer deposits, respectively, that are included in deferred revenue and customer deposits and other long-term liabilities in the accompanying condensed consolidated balance sheets. During the three months ended March 31, 2025 and 2024, the Company recognized $70.1 million and $65.4 million of revenue, respectively, that was included in the deferred revenue and customer deposits balances as of the end of the previous year.</w:t>
      </w:r>
    </w:p>
    <w:p>
      <w:pPr>
        <w:spacing w:after="0" w:line="176" w:lineRule="exact"/>
        <w:rPr>
          <w:sz w:val="20"/>
          <w:szCs w:val="20"/>
          <w:color w:val="auto"/>
        </w:rPr>
      </w:pPr>
    </w:p>
    <w:p>
      <w:pPr>
        <w:ind w:left="1300" w:hanging="806"/>
        <w:spacing w:after="0"/>
        <w:tabs>
          <w:tab w:leader="none" w:pos="13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spacing w:after="0" w:line="176"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March 31, 2025, and December 31, 2024, the allowance for doubtful accounts was $26.6 million and $27.5 million, respectively, and is recorded in accounts receivable, net, in the accompanying condensed consolidated balance sheets.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three months ended March 31, 2025 and 2024, no customer organization accounted for more than 10% of the Company’s total revenue.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and December 31, 2024, no customer organization represented more than 10% of the Company’s gross accounts receivable.</w:t>
      </w:r>
    </w:p>
    <w:p>
      <w:pPr>
        <w:spacing w:after="0" w:line="221" w:lineRule="exact"/>
        <w:rPr>
          <w:sz w:val="20"/>
          <w:szCs w:val="20"/>
          <w:color w:val="auto"/>
        </w:rPr>
      </w:pPr>
    </w:p>
    <w:p>
      <w:pPr>
        <w:ind w:left="1300" w:hanging="806"/>
        <w:spacing w:after="0"/>
        <w:tabs>
          <w:tab w:leader="none" w:pos="13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Guidance, Not yet Adopted</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 related disclosures. ASU 2023-09 is effective for annual periods beginning after December 15, 2024, and may be applied on a prospective basis. Early adoption is permitted. The Company expects to adopt ASU 2023-09 in its consolidated financial statements for the year ended December 31, 2025. The adoption will require certain additional disclosure in the notes to the Company’s consolidated financial statements.</w:t>
      </w:r>
    </w:p>
    <w:p>
      <w:pPr>
        <w:spacing w:after="0" w:line="183"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the disaggregation of certain expenses in the notes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either prospectively or retrospectively. Early adoption is permitted. The adoption will require certain additional disclosure in the notes to the Company’s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right="8860" w:hanging="492"/>
        <w:spacing w:after="0" w:line="532" w:lineRule="auto"/>
        <w:tabs>
          <w:tab w:leader="none" w:pos="19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i w:val="1"/>
          <w:iCs w:val="1"/>
          <w:color w:val="auto"/>
        </w:rPr>
        <w:t>Financial Assets</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tables provide the financial assets measured at fair value on a recurring basis: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10"/>
            <w:vMerge w:val="restart"/>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Fair Value Hierarchy as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gridSpan w:val="10"/>
            <w:vMerge w:val="continue"/>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gridSpan w:val="4"/>
          </w:tcPr>
          <w:p>
            <w:pPr>
              <w:ind w:left="20"/>
              <w:spacing w:after="0" w:line="91" w:lineRule="exact"/>
              <w:rPr>
                <w:sz w:val="20"/>
                <w:szCs w:val="20"/>
                <w:color w:val="auto"/>
              </w:rPr>
            </w:pPr>
            <w:r>
              <w:rPr>
                <w:rFonts w:ascii="Times New Roman" w:cs="Times New Roman" w:eastAsia="Times New Roman" w:hAnsi="Times New Roman"/>
                <w:sz w:val="10"/>
                <w:szCs w:val="10"/>
                <w:b w:val="1"/>
                <w:bCs w:val="1"/>
                <w:color w:val="auto"/>
              </w:rPr>
              <w:t>March 31, 2025</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Cost or</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3"/>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rPr>
              <w:t>Gross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3"/>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3"/>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rPr>
              <w:t>Losses More</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Losses Less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Than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50"/>
              <w:spacing w:after="0" w:line="129"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Than 12 Months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12 Months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8"/>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216,560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6,752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bills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22,995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480"/>
              <w:spacing w:after="0" w:line="119" w:lineRule="exact"/>
              <w:rPr>
                <w:sz w:val="20"/>
                <w:szCs w:val="20"/>
                <w:color w:val="auto"/>
              </w:rPr>
            </w:pPr>
            <w:r>
              <w:rPr>
                <w:rFonts w:ascii="Times New Roman" w:cs="Times New Roman" w:eastAsia="Times New Roman" w:hAnsi="Times New Roman"/>
                <w:sz w:val="13"/>
                <w:szCs w:val="13"/>
                <w:color w:val="auto"/>
              </w:rPr>
              <w:t>Total included in cash</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246,307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239,555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246,307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and cash equivalents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370,611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48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Non-U.S. government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1,594,751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1,582,300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1,603,349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debt securities</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1,968,271</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396,213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1,582,300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1,978,513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360"/>
              <w:spacing w:after="0" w:line="119" w:lineRule="exact"/>
              <w:rPr>
                <w:sz w:val="20"/>
                <w:szCs w:val="20"/>
                <w:color w:val="auto"/>
              </w:rPr>
            </w:pPr>
            <w:r>
              <w:rPr>
                <w:rFonts w:ascii="Times New Roman" w:cs="Times New Roman" w:eastAsia="Times New Roman" w:hAnsi="Times New Roman"/>
                <w:sz w:val="13"/>
                <w:szCs w:val="13"/>
                <w:color w:val="auto"/>
              </w:rPr>
              <w:t>Total marketable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1,970,741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11,020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398,683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1,582,300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1,980,983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financial assets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2,217,048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11,020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1,589,052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10"/>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Fair Value Hierarchy as of</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Cost or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Losses More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Carrying</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3"/>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Unrealized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3"/>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Losses Less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Than</w:t>
            </w:r>
          </w:p>
        </w:tc>
        <w:tc>
          <w:tcPr>
            <w:tcW w:w="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jc w:val="right"/>
              <w:ind w:right="110"/>
              <w:spacing w:after="0" w:line="61" w:lineRule="exact"/>
              <w:rPr>
                <w:sz w:val="20"/>
                <w:szCs w:val="20"/>
                <w:color w:val="auto"/>
              </w:rPr>
            </w:pPr>
            <w:r>
              <w:rPr>
                <w:rFonts w:ascii="Times New Roman" w:cs="Times New Roman" w:eastAsia="Times New Roman" w:hAnsi="Times New Roman"/>
                <w:sz w:val="7"/>
                <w:szCs w:val="7"/>
                <w:b w:val="1"/>
                <w:bCs w:val="1"/>
                <w:color w:val="auto"/>
              </w:rPr>
              <w:t>Aggregate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Than 12 Months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12 Months</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8"/>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bills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480" w:type="dxa"/>
            <w:vAlign w:val="bottom"/>
          </w:tcPr>
          <w:p>
            <w:pPr>
              <w:ind w:left="480"/>
              <w:spacing w:after="0" w:line="115" w:lineRule="exact"/>
              <w:rPr>
                <w:sz w:val="20"/>
                <w:szCs w:val="20"/>
                <w:color w:val="auto"/>
              </w:rPr>
            </w:pPr>
            <w:r>
              <w:rPr>
                <w:rFonts w:ascii="Times New Roman" w:cs="Times New Roman" w:eastAsia="Times New Roman" w:hAnsi="Times New Roman"/>
                <w:sz w:val="13"/>
                <w:szCs w:val="13"/>
                <w:color w:val="auto"/>
              </w:rPr>
              <w:t>Total included in cash</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225,130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210,071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225,130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and cash equivalents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Treasury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Non-U.S. government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Corporate debt securities and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1,571,944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1,576,208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commercial paper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debt securities</w:t>
            </w: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1,954,699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400,564</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1,959,882</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48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color w:val="auto"/>
              </w:rPr>
              <w:t>Total marketable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1,957,919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403,784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1,559,318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1,963,102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4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financial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2,183,049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613,855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1,574,377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2,188,232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2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spacing w:after="0" w:line="17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earned on debt securities was $18.9 million and $27.2 million in the three months ended March 31, 2025 and 2024, respectively. The interest is recorded as other income, net, in the accompanying condensed consolidated statements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debt securities: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80" w:type="dxa"/>
            <w:vAlign w:val="bottom"/>
          </w:tcPr>
          <w:p>
            <w:pPr>
              <w:spacing w:after="0"/>
              <w:rPr>
                <w:sz w:val="18"/>
                <w:szCs w:val="18"/>
                <w:color w:val="auto"/>
              </w:rPr>
            </w:pPr>
          </w:p>
        </w:tc>
        <w:tc>
          <w:tcPr>
            <w:tcW w:w="244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59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top w:val="single" w:sz="8" w:color="auto"/>
              <w:bottom w:val="single" w:sz="8" w:color="auto"/>
            </w:tcBorders>
          </w:tcPr>
          <w:p>
            <w:pPr>
              <w:spacing w:after="0"/>
              <w:rPr>
                <w:sz w:val="18"/>
                <w:szCs w:val="18"/>
                <w:color w:val="auto"/>
              </w:rPr>
            </w:pPr>
          </w:p>
        </w:tc>
      </w:tr>
      <w:tr>
        <w:trPr>
          <w:trHeight w:val="157"/>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3"/>
                <w:szCs w:val="13"/>
                <w:color w:val="auto"/>
              </w:rPr>
            </w:pPr>
          </w:p>
        </w:tc>
        <w:tc>
          <w:tcPr>
            <w:tcW w:w="1080" w:type="dxa"/>
            <w:vAlign w:val="bottom"/>
          </w:tcPr>
          <w:p>
            <w:pPr>
              <w:jc w:val="right"/>
              <w:ind w:right="201"/>
              <w:spacing w:after="0" w:line="158"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06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214"/>
        </w:trPr>
        <w:tc>
          <w:tcPr>
            <w:tcW w:w="5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783,522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785,570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685,091</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to three years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1,192,943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1,274,791</w:t>
            </w:r>
          </w:p>
        </w:tc>
      </w:tr>
      <w:tr>
        <w:trPr>
          <w:trHeight w:val="207"/>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1,968,271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1,978,513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1,954,699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1,959,882</w:t>
            </w:r>
          </w:p>
        </w:tc>
      </w:tr>
      <w:tr>
        <w:trPr>
          <w:trHeight w:val="23"/>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227"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held strategic investments with a carrying value of $22.2 million and $23.5 million, respectively, recorded as other long-term assets in the accompanying condensed consolidated balance sheets. There were no significant impairments or adjustments recorded in the three months ended March 31, 2025 and 2024, related to these securities.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27"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that are measured at fair value on a recurring basis consist of foreign currency derivative liabilities and are classified as Level 2 financial instruments in the fair value hierarchy. As of March 31, 2025 and December 31, 2024, the aggregate fair value of these liabilities and the associated unrealized losses were not significant.</w:t>
      </w:r>
    </w:p>
    <w:p>
      <w:pPr>
        <w:spacing w:after="0" w:line="176"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Company’s financial liabilities that are not measured at fair value on a recurring basis are its Senior Notes due 2029 (“2029 Notes”) and its Senior Notes due 2031 (“2031 Notes”). As of March 31, 2025, the fair values of the 2029 Notes and 2031 Notes were $465.5 million and $451.4 million, respectively. As of December 31, 2024, the fair values of the 2029 Notes and 2031 Notes were $464.9 million and $453.9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8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60" w:type="dxa"/>
            <w:vAlign w:val="bottom"/>
            <w:gridSpan w:val="4"/>
          </w:tcPr>
          <w:p>
            <w:pPr>
              <w:jc w:val="right"/>
              <w:ind w:right="145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developments costs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357,334</w:t>
            </w:r>
          </w:p>
        </w:tc>
      </w:tr>
      <w:tr>
        <w:trPr>
          <w:trHeight w:val="216"/>
        </w:trPr>
        <w:tc>
          <w:tcPr>
            <w:tcW w:w="7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Data center equipment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63,672</w:t>
            </w: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78,104</w:t>
            </w: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50,659</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14,143</w:t>
            </w:r>
          </w:p>
        </w:tc>
      </w:tr>
      <w:tr>
        <w:trPr>
          <w:trHeight w:val="212"/>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576,530</w:t>
            </w:r>
          </w:p>
        </w:tc>
      </w:tr>
      <w:tr>
        <w:trPr>
          <w:trHeight w:val="216"/>
        </w:trPr>
        <w:tc>
          <w:tcPr>
            <w:tcW w:w="73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Less: accumulated depreciation and amortization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(385,488)</w:t>
            </w:r>
          </w:p>
        </w:tc>
      </w:tr>
      <w:tr>
        <w:trPr>
          <w:trHeight w:val="235"/>
        </w:trPr>
        <w:tc>
          <w:tcPr>
            <w:tcW w:w="7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5" w:lineRule="exact"/>
        <w:rPr>
          <w:sz w:val="20"/>
          <w:szCs w:val="20"/>
          <w:color w:val="auto"/>
        </w:rPr>
      </w:pPr>
    </w:p>
    <w:p>
      <w:pPr>
        <w:ind w:right="460"/>
        <w:spacing w:after="0" w:line="231"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Data center equipment includes $28.3 million and $33.5 million in assets held under finance leases as of March 31, 2025, and December 31, 2024, respectively.</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6"/>
          <w:szCs w:val="16"/>
          <w:color w:val="auto"/>
        </w:rPr>
        <w:t>Accumulated depreciation and amortization includes $25.5 million and $28.6 million of accumulated depreciation for assets held under finance leases as of March 31, 2025, and December 31, 2024, respectively.</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and amortization expense was $21.9 million and $23.8 million in the three months ended March 31, 2025 and 2024, respectively.</w:t>
      </w:r>
    </w:p>
    <w:p>
      <w:pPr>
        <w:spacing w:after="0" w:line="184" w:lineRule="exact"/>
        <w:rPr>
          <w:sz w:val="20"/>
          <w:szCs w:val="20"/>
          <w:color w:val="auto"/>
        </w:rPr>
      </w:pPr>
    </w:p>
    <w:p>
      <w:pPr>
        <w:ind w:right="40" w:firstLine="486"/>
        <w:spacing w:after="0" w:line="245" w:lineRule="exact"/>
        <w:rPr>
          <w:sz w:val="20"/>
          <w:szCs w:val="20"/>
          <w:color w:val="auto"/>
        </w:rPr>
      </w:pPr>
      <w:r>
        <w:rPr>
          <w:rFonts w:ascii="Times New Roman" w:cs="Times New Roman" w:eastAsia="Times New Roman" w:hAnsi="Times New Roman"/>
          <w:sz w:val="18"/>
          <w:szCs w:val="18"/>
          <w:color w:val="auto"/>
        </w:rPr>
        <w:t>The Company capitalized $16.2 million and $16.1 million in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development costs in the three months ended March 31, 2025 and 2024,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two operating and reportable segments: Twilio Communications (“Communications”) and Twilio Segment (“Segment”).</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Twilio Communications</w:t>
      </w:r>
      <w:r>
        <w:rPr>
          <w:rFonts w:ascii="Times New Roman" w:cs="Times New Roman" w:eastAsia="Times New Roman" w:hAnsi="Times New Roman"/>
          <w:sz w:val="18"/>
          <w:szCs w:val="18"/>
          <w:color w:val="auto"/>
        </w:rPr>
        <w:t>: The Communications segment consists of a variety of application programming interfaces (“APIs”) and software solutions to optimize communications between Twilio customers and their end users. The key products from which the segment derives its revenue are Messaging, Voice and Email.</w:t>
      </w:r>
    </w:p>
    <w:p>
      <w:pPr>
        <w:spacing w:after="0" w:line="176"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Twilio Segment</w:t>
      </w:r>
      <w:r>
        <w:rPr>
          <w:rFonts w:ascii="Times New Roman" w:cs="Times New Roman" w:eastAsia="Times New Roman" w:hAnsi="Times New Roman"/>
          <w:sz w:val="18"/>
          <w:szCs w:val="18"/>
          <w:color w:val="auto"/>
        </w:rPr>
        <w:t>: The Segment segment consists of software products that enable businesses to achieve more effective customer engagement by providing the tools necessary for customers to build direct, personalized relationships with their end users. The key product from which the segment derives its revenue is Segment.</w:t>
      </w:r>
    </w:p>
    <w:p>
      <w:pPr>
        <w:spacing w:after="0" w:line="176"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The Company’s Chief Executive Officer, who is also the Chief Operating Decision Maker (“CODM”), reviews the operating results by segment using non-GAAP income (loss) from operations as the measure of segment profitability. The CODM uses this measure of segment profitability to allocate resources and assess performance of each segment by comparing each segment’s actual results to the comparable results in prior periods and to any internally or externally set expectations. Presented below is the discrete financial information by reportable segment for the three months ended March 31, 2025 and 2024, that reflects management’s current view of the business and that is regularly provided to the CODM. Asset information is not reviewed by the CODM on a segment basis. Revenue, costs of revenue and operating expenses are generally directly attributable to each segment. Certain costs of revenue and operating expenses are allocated based on methodologies that best reflect the patterns of consumption of these costs. Corporate costs are not allocated to operating segments. Corporate costs consist of costs that support company-wide processes, are managed on the company-wide level, and include costs related to corporate governance and communication, global brand awareness, information security, and certain legal, human resources, finance and accounting expenses. In addition to corporate costs, cost of revenue and operating expenses not allocated to operating segments include stock-based compensation, amortization of acquired intangibles, payroll taxes related to stock-based compensation, charitable contributions and restructuring costs.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bottom w:val="single" w:sz="8" w:color="auto"/>
            </w:tcBorders>
          </w:tcPr>
          <w:p>
            <w:pPr>
              <w:spacing w:after="0"/>
              <w:rPr>
                <w:sz w:val="18"/>
                <w:szCs w:val="18"/>
                <w:color w:val="auto"/>
              </w:rPr>
            </w:pPr>
          </w:p>
        </w:tc>
      </w:tr>
      <w:tr>
        <w:trPr>
          <w:trHeight w:val="211"/>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1"/>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75,657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1,172,463</w:t>
            </w: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attributable to segments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19,681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570,461</w:t>
            </w: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attributable to segments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57,494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326,058</w:t>
            </w:r>
          </w:p>
        </w:tc>
      </w:tr>
      <w:tr>
        <w:trPr>
          <w:trHeight w:val="207"/>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non-GAAP income (loss) from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277,462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275,944</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5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62"/>
        </w:trPr>
        <w:tc>
          <w:tcPr>
            <w:tcW w:w="5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Reconciliation of total segment non-GAAP income from operations to income from</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non-GAAP income from operations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275,944</w:t>
            </w: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costs not allocated to segments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(62,536)</w:t>
            </w: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(137,520)</w:t>
            </w: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(27,139)</w:t>
            </w: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(11,200)</w:t>
            </w: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(11,691)</w:t>
            </w:r>
          </w:p>
        </w:tc>
      </w:tr>
      <w:tr>
        <w:trPr>
          <w:trHeight w:val="207"/>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23,082</w:t>
            </w:r>
          </w:p>
        </w:tc>
      </w:tr>
      <w:tr>
        <w:trPr>
          <w:trHeight w:val="212"/>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r>
      <w:tr>
        <w:trPr>
          <w:trHeight w:val="207"/>
        </w:trPr>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26,584</w:t>
            </w:r>
          </w:p>
        </w:tc>
      </w:tr>
      <w:tr>
        <w:trPr>
          <w:trHeight w:val="2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bottom w:val="single" w:sz="8" w:color="auto"/>
            </w:tcBorders>
          </w:tcPr>
          <w:p>
            <w:pPr>
              <w:spacing w:after="0"/>
              <w:rPr>
                <w:sz w:val="18"/>
                <w:szCs w:val="18"/>
                <w:color w:val="auto"/>
              </w:rPr>
            </w:pPr>
          </w:p>
        </w:tc>
      </w:tr>
      <w:tr>
        <w:trPr>
          <w:trHeight w:val="211"/>
        </w:trPr>
        <w:tc>
          <w:tcPr>
            <w:tcW w:w="5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1"/>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(In thousands)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761"/>
              <w:spacing w:after="0"/>
              <w:rPr>
                <w:sz w:val="20"/>
                <w:szCs w:val="20"/>
                <w:color w:val="auto"/>
              </w:rPr>
            </w:pPr>
            <w:r>
              <w:rPr>
                <w:rFonts w:ascii="Times New Roman" w:cs="Times New Roman" w:eastAsia="Times New Roman" w:hAnsi="Times New Roman"/>
                <w:sz w:val="16"/>
                <w:szCs w:val="16"/>
                <w:color w:val="auto"/>
                <w:w w:val="99"/>
              </w:rPr>
              <w:t>75,045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1,047,050</w:t>
            </w: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attributable to segments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left="761"/>
              <w:spacing w:after="0"/>
              <w:rPr>
                <w:sz w:val="20"/>
                <w:szCs w:val="20"/>
                <w:color w:val="auto"/>
              </w:rPr>
            </w:pPr>
            <w:r>
              <w:rPr>
                <w:rFonts w:ascii="Times New Roman" w:cs="Times New Roman" w:eastAsia="Times New Roman" w:hAnsi="Times New Roman"/>
                <w:sz w:val="16"/>
                <w:szCs w:val="16"/>
                <w:color w:val="auto"/>
                <w:w w:val="99"/>
              </w:rPr>
              <w:t>16,792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481,091</w:t>
            </w:r>
          </w:p>
        </w:tc>
      </w:tr>
      <w:tr>
        <w:trPr>
          <w:trHeight w:val="21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attributable to segments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761"/>
              <w:spacing w:after="0"/>
              <w:rPr>
                <w:sz w:val="20"/>
                <w:szCs w:val="20"/>
                <w:color w:val="auto"/>
              </w:rPr>
            </w:pPr>
            <w:r>
              <w:rPr>
                <w:rFonts w:ascii="Times New Roman" w:cs="Times New Roman" w:eastAsia="Times New Roman" w:hAnsi="Times New Roman"/>
                <w:sz w:val="16"/>
                <w:szCs w:val="16"/>
                <w:color w:val="auto"/>
                <w:w w:val="99"/>
              </w:rPr>
              <w:t>79,247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337,943</w:t>
            </w:r>
          </w:p>
        </w:tc>
      </w:tr>
      <w:tr>
        <w:trPr>
          <w:trHeight w:val="207"/>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non-GAAP income (loss) from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249,010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w w:val="98"/>
              </w:rPr>
              <w:t>(20,994)</w:t>
            </w: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228,016</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6"/>
        </w:trPr>
        <w:tc>
          <w:tcPr>
            <w:tcW w:w="5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62"/>
        </w:trPr>
        <w:tc>
          <w:tcPr>
            <w:tcW w:w="5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Reconciliation of total segment non-GAAP income from operations to loss from</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non-GAAP income from operations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228,016</w:t>
            </w: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Corporate costs not allocated to segments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(68,406)</w:t>
            </w: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(156,158)</w:t>
            </w: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(28,939)</w:t>
            </w: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w:t>
            </w:r>
          </w:p>
        </w:tc>
      </w:tr>
      <w:tr>
        <w:trPr>
          <w:trHeight w:val="21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Charitable contributions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r>
      <w:tr>
        <w:trPr>
          <w:trHeight w:val="21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(9,946)</w:t>
            </w:r>
          </w:p>
        </w:tc>
      </w:tr>
      <w:tr>
        <w:trPr>
          <w:trHeight w:val="207"/>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(43,504)</w:t>
            </w:r>
          </w:p>
        </w:tc>
      </w:tr>
      <w:tr>
        <w:trPr>
          <w:trHeight w:val="212"/>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expenses,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07"/>
        </w:trPr>
        <w:tc>
          <w:tcPr>
            <w:tcW w:w="5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(45,161)</w:t>
            </w:r>
          </w:p>
        </w:tc>
      </w:tr>
      <w:tr>
        <w:trPr>
          <w:trHeight w:val="23"/>
        </w:trPr>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except for amortization of acquired intangibles, that are included in non-GAAP income from operations for the Communications reportable segment were $16.7 million and $19.3 million in the three months ended March 31, 2025 and 2024, respectively. Amortization of deferred commissions included in non-GAAP income from operations for the Communications reportable segment was $15.2 million in each of the three months ended March 31, 2025 and 2024, respectively.</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except for amortization of acquired intangibles, that are included in non-GAAP loss from operations for the Segment reportable segment were $4.9 million and $4.1 million in the three months ended March 31, 2025 and 2024, respectively. Amortization of deferred commissions included in non-GAAP loss from operations for the Segment reportable segment was $4.0 million and $3.6 million in the three months ended March 31, 2025 and 2024,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 and Hedging</w:t>
      </w:r>
    </w:p>
    <w:p>
      <w:pPr>
        <w:spacing w:after="0" w:line="229" w:lineRule="exact"/>
        <w:rPr>
          <w:sz w:val="20"/>
          <w:szCs w:val="20"/>
          <w:color w:val="auto"/>
        </w:rPr>
      </w:pPr>
    </w:p>
    <w:p>
      <w:pPr>
        <w:ind w:right="300" w:firstLine="486"/>
        <w:spacing w:after="0" w:line="289" w:lineRule="auto"/>
        <w:rPr>
          <w:sz w:val="20"/>
          <w:szCs w:val="20"/>
          <w:color w:val="auto"/>
        </w:rPr>
      </w:pPr>
      <w:r>
        <w:rPr>
          <w:rFonts w:ascii="Times New Roman" w:cs="Times New Roman" w:eastAsia="Times New Roman" w:hAnsi="Times New Roman"/>
          <w:sz w:val="17"/>
          <w:szCs w:val="17"/>
          <w:color w:val="auto"/>
        </w:rPr>
        <w:t>As of March 31, 2025, the Company had outstanding foreign currency forward contracts designated as cash flow hedges with a total sell notional value of $218.7 million. The notional value represents the amount that will be sold upon maturity of the forward contract. As of March 31, 2025, these contracts had maturities of up to seventeen months. Gains and losses associated with these foreign currency forward contracts were not significant.</w:t>
      </w:r>
    </w:p>
    <w:p>
      <w:pPr>
        <w:spacing w:after="0" w:line="15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March 31, 2025, the Company did not have any offsetting arrangements.</w:t>
      </w:r>
    </w:p>
    <w:p>
      <w:pPr>
        <w:spacing w:after="0" w:line="179" w:lineRule="exact"/>
        <w:rPr>
          <w:sz w:val="20"/>
          <w:szCs w:val="20"/>
          <w:color w:val="auto"/>
        </w:rPr>
      </w:pPr>
    </w:p>
    <w:p>
      <w:pPr>
        <w:ind w:left="500" w:right="8660" w:hanging="492"/>
        <w:spacing w:after="0" w:line="503" w:lineRule="auto"/>
        <w:tabs>
          <w:tab w:leader="none" w:pos="19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balance of the Company’s goodwill was $5.2 billion, of which $4.9 billion related to the Communications reportable segment and $306.1 million related to the Segment reportable segment. There was no goodwill activity during the three months ended March 31, 2025.</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(319,476)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121,605</w:t>
            </w:r>
          </w:p>
        </w:tc>
        <w:tc>
          <w:tcPr>
            <w:tcW w:w="0" w:type="dxa"/>
            <w:vAlign w:val="bottom"/>
          </w:tcPr>
          <w:p>
            <w:pPr>
              <w:spacing w:after="0"/>
              <w:rPr>
                <w:sz w:val="1"/>
                <w:szCs w:val="1"/>
                <w:color w:val="auto"/>
              </w:rPr>
            </w:pPr>
          </w:p>
        </w:tc>
      </w:tr>
      <w:tr>
        <w:trPr>
          <w:trHeight w:val="21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(610,247)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206,100</w:t>
            </w:r>
          </w:p>
        </w:tc>
        <w:tc>
          <w:tcPr>
            <w:tcW w:w="0" w:type="dxa"/>
            <w:vAlign w:val="bottom"/>
          </w:tcPr>
          <w:p>
            <w:pPr>
              <w:spacing w:after="0"/>
              <w:rPr>
                <w:sz w:val="1"/>
                <w:szCs w:val="1"/>
                <w:color w:val="auto"/>
              </w:rPr>
            </w:pPr>
          </w:p>
        </w:tc>
      </w:tr>
      <w:tr>
        <w:trPr>
          <w:trHeight w:val="19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7"/>
        </w:trPr>
        <w:tc>
          <w:tcPr>
            <w:tcW w:w="69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211,315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388,341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(306,063)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82,278</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132,791</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Supplier relationships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Patent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816,347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(583,059)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233,288</w:t>
            </w:r>
          </w:p>
        </w:tc>
        <w:tc>
          <w:tcPr>
            <w:tcW w:w="0" w:type="dxa"/>
            <w:vAlign w:val="bottom"/>
          </w:tcPr>
          <w:p>
            <w:pPr>
              <w:spacing w:after="0"/>
              <w:rPr>
                <w:sz w:val="1"/>
                <w:szCs w:val="1"/>
                <w:color w:val="auto"/>
              </w:rPr>
            </w:pPr>
          </w:p>
        </w:tc>
      </w:tr>
      <w:tr>
        <w:trPr>
          <w:trHeight w:val="19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Non-amortizable intangible 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Telecommunication licenses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 and other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37"/>
        </w:trPr>
        <w:tc>
          <w:tcPr>
            <w:tcW w:w="69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821,562</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238,503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was $27.2 million and $29.0 million for the three months ended March 31, 2025 and 2024, respectively.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 of March 31, 2025</w:t>
            </w:r>
          </w:p>
        </w:tc>
      </w:tr>
      <w:tr>
        <w:trPr>
          <w:trHeight w:val="161"/>
        </w:trPr>
        <w:tc>
          <w:tcPr>
            <w:tcW w:w="20" w:type="dxa"/>
            <w:vAlign w:val="bottom"/>
          </w:tcPr>
          <w:p>
            <w:pPr>
              <w:spacing w:after="0"/>
              <w:rPr>
                <w:sz w:val="14"/>
                <w:szCs w:val="14"/>
                <w:color w:val="auto"/>
              </w:rPr>
            </w:pPr>
          </w:p>
        </w:tc>
        <w:tc>
          <w:tcPr>
            <w:tcW w:w="89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Year Ended December 31,</w:t>
            </w:r>
          </w:p>
        </w:tc>
        <w:tc>
          <w:tcPr>
            <w:tcW w:w="260" w:type="dxa"/>
            <w:vAlign w:val="bottom"/>
          </w:tcPr>
          <w:p>
            <w:pPr>
              <w:spacing w:after="0"/>
              <w:rPr>
                <w:sz w:val="14"/>
                <w:szCs w:val="14"/>
                <w:color w:val="auto"/>
              </w:rPr>
            </w:pPr>
          </w:p>
        </w:tc>
        <w:tc>
          <w:tcPr>
            <w:tcW w:w="2060" w:type="dxa"/>
            <w:vAlign w:val="bottom"/>
          </w:tcPr>
          <w:p>
            <w:pPr>
              <w:jc w:val="right"/>
              <w:ind w:right="660"/>
              <w:spacing w:after="0"/>
              <w:rPr>
                <w:sz w:val="20"/>
                <w:szCs w:val="20"/>
                <w:color w:val="auto"/>
              </w:rPr>
            </w:pPr>
            <w:r>
              <w:rPr>
                <w:rFonts w:ascii="Times New Roman" w:cs="Times New Roman" w:eastAsia="Times New Roman" w:hAnsi="Times New Roman"/>
                <w:sz w:val="14"/>
                <w:szCs w:val="14"/>
                <w:color w:val="auto"/>
              </w:rPr>
              <w:t>(In thousands)</w:t>
            </w: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(remaining nine months)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80,674</w:t>
            </w: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42,149</w:t>
            </w: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25,330</w:t>
            </w: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19,055</w:t>
            </w:r>
          </w:p>
        </w:tc>
      </w:tr>
      <w:tr>
        <w:trPr>
          <w:trHeight w:val="21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w:t>
            </w:r>
          </w:p>
        </w:tc>
      </w:tr>
      <w:tr>
        <w:trPr>
          <w:trHeight w:val="213"/>
        </w:trPr>
        <w:tc>
          <w:tcPr>
            <w:tcW w:w="20" w:type="dxa"/>
            <w:vAlign w:val="bottom"/>
            <w:tcBorders>
              <w:bottom w:val="single" w:sz="8" w:color="CCEEFF"/>
            </w:tcBorders>
          </w:tcPr>
          <w:p>
            <w:pPr>
              <w:spacing w:after="0"/>
              <w:rPr>
                <w:sz w:val="18"/>
                <w:szCs w:val="18"/>
                <w:color w:val="auto"/>
              </w:rPr>
            </w:pPr>
          </w:p>
        </w:tc>
        <w:tc>
          <w:tcPr>
            <w:tcW w:w="8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23,922</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9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Balance Sheet Components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54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3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w:t>
            </w:r>
          </w:p>
        </w:tc>
        <w:tc>
          <w:tcPr>
            <w:tcW w:w="1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89"/>
        </w:trPr>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5"/>
                <w:szCs w:val="15"/>
                <w:color w:val="auto"/>
              </w:rPr>
            </w:pPr>
          </w:p>
        </w:tc>
        <w:tc>
          <w:tcPr>
            <w:tcW w:w="3480" w:type="dxa"/>
            <w:vAlign w:val="bottom"/>
            <w:gridSpan w:val="4"/>
          </w:tcPr>
          <w:p>
            <w:pPr>
              <w:jc w:val="center"/>
              <w:ind w:right="119"/>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24"/>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321,312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333,911</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120,843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140,449</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442,155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474,360</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2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4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5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right"/>
              <w:ind w:right="133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 and related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76,708</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Company-wide bonus program liability</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109,776</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sales bonus and commissions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21,585</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cost of revenue</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173,739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other taxes payable</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 contributions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w:t>
            </w: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63,402</w:t>
            </w:r>
          </w:p>
        </w:tc>
      </w:tr>
      <w:tr>
        <w:trPr>
          <w:trHeight w:val="21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530,686</w:t>
            </w:r>
          </w:p>
        </w:tc>
      </w:tr>
      <w:tr>
        <w:trPr>
          <w:trHeight w:val="21"/>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net,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1"/>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4"/>
          </w:tcPr>
          <w:p>
            <w:pPr>
              <w:jc w:val="right"/>
              <w:ind w:right="1379"/>
              <w:spacing w:after="0"/>
              <w:rPr>
                <w:sz w:val="20"/>
                <w:szCs w:val="20"/>
                <w:color w:val="auto"/>
              </w:rPr>
            </w:pPr>
            <w:r>
              <w:rPr>
                <w:rFonts w:ascii="Times New Roman" w:cs="Times New Roman" w:eastAsia="Times New Roman" w:hAnsi="Times New Roman"/>
                <w:sz w:val="14"/>
                <w:szCs w:val="14"/>
                <w:color w:val="auto"/>
              </w:rPr>
              <w:t>(In thousands)</w:t>
            </w:r>
          </w:p>
        </w:tc>
      </w:tr>
      <w:tr>
        <w:trPr>
          <w:trHeight w:val="223"/>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2029 Senior Notes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Unamortized discount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r>
      <w:tr>
        <w:trPr>
          <w:trHeight w:val="213"/>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2"/>
        </w:trPr>
        <w:tc>
          <w:tcPr>
            <w:tcW w:w="7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495,690</w:t>
            </w:r>
          </w:p>
        </w:tc>
      </w:tr>
      <w:tr>
        <w:trPr>
          <w:trHeight w:val="194"/>
        </w:trPr>
        <w:tc>
          <w:tcPr>
            <w:tcW w:w="74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2031 Senior Notes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8"/>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Unamortized discount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07"/>
        </w:trPr>
        <w:tc>
          <w:tcPr>
            <w:tcW w:w="7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494,897</w:t>
            </w:r>
          </w:p>
        </w:tc>
      </w:tr>
      <w:tr>
        <w:trPr>
          <w:trHeight w:val="237"/>
        </w:trPr>
        <w:tc>
          <w:tcPr>
            <w:tcW w:w="74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long-term debt,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990,587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the Company was in compliance with all of its covenants under the related indentures.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by Geographic Area</w:t>
      </w:r>
    </w:p>
    <w:p>
      <w:pPr>
        <w:spacing w:after="0" w:line="22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Revenue by geographic area is based on the IP address or the mailing address of the customer at the time of registration. The following table sets forth revenue by geographic area:</w:t>
      </w:r>
    </w:p>
    <w:p>
      <w:pPr>
        <w:spacing w:after="0" w:line="20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area:</w:t>
            </w:r>
          </w:p>
        </w:tc>
        <w:tc>
          <w:tcPr>
            <w:tcW w:w="3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shd w:val="clear" w:color="auto" w:fill="CCEEFF"/>
          </w:tcPr>
          <w:p>
            <w:pPr>
              <w:spacing w:after="0"/>
              <w:rPr>
                <w:sz w:val="17"/>
                <w:szCs w:val="17"/>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749,440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686,527</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360,523</w:t>
            </w:r>
          </w:p>
        </w:tc>
      </w:tr>
      <w:tr>
        <w:trPr>
          <w:trHeight w:val="207"/>
        </w:trPr>
        <w:tc>
          <w:tcPr>
            <w:tcW w:w="8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1,172,463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1,047,050</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15"/>
        </w:trPr>
        <w:tc>
          <w:tcPr>
            <w:tcW w:w="8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revenue by geographic area: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2" w:lineRule="exact"/>
        <w:rPr>
          <w:sz w:val="20"/>
          <w:szCs w:val="20"/>
          <w:color w:val="auto"/>
        </w:rPr>
      </w:pPr>
    </w:p>
    <w:p>
      <w:pPr>
        <w:ind w:left="1300" w:hanging="806"/>
        <w:spacing w:after="0"/>
        <w:tabs>
          <w:tab w:leader="none" w:pos="130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and Other Commitments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under various non-cancelable operating lease agreements. In the three months ended March 31, 2025, the Company did not enter into any significant new lease agreements.</w:t>
      </w:r>
    </w:p>
    <w:p>
      <w:pPr>
        <w:spacing w:after="0" w:line="16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commitments with its cloud infrastructure provider, network service providers and other vendors. In the three months ended March 31, 2025, the Company entered into several new agreements with terms up to three years for a total purchase commitment of $18.3 million.</w:t>
      </w:r>
    </w:p>
    <w:p>
      <w:pPr>
        <w:spacing w:after="0" w:line="172" w:lineRule="exact"/>
        <w:rPr>
          <w:sz w:val="20"/>
          <w:szCs w:val="20"/>
          <w:color w:val="auto"/>
        </w:rPr>
      </w:pPr>
    </w:p>
    <w:p>
      <w:pPr>
        <w:ind w:left="1300" w:hanging="806"/>
        <w:spacing w:after="0"/>
        <w:tabs>
          <w:tab w:leader="none" w:pos="130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87"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The Company accrues for contingencies when it believes that a loss is probable and that it can be reasonably estimated. To the extent there is a reasonable possibility that a loss may be incurred that is in excess of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spacing w:after="0" w:line="18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58" w:lineRule="exact"/>
        <w:rPr>
          <w:sz w:val="20"/>
          <w:szCs w:val="20"/>
          <w:color w:val="auto"/>
        </w:rPr>
      </w:pPr>
    </w:p>
    <w:p>
      <w:pPr>
        <w:ind w:left="1300" w:hanging="806"/>
        <w:spacing w:after="0"/>
        <w:tabs>
          <w:tab w:leader="none" w:pos="130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spacing w:after="0" w:line="207"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and December 31, 2024, no amounts were accrued related to any outstanding indemnification agreements.</w:t>
      </w:r>
    </w:p>
    <w:p>
      <w:pPr>
        <w:spacing w:after="0" w:line="221" w:lineRule="exact"/>
        <w:rPr>
          <w:sz w:val="20"/>
          <w:szCs w:val="20"/>
          <w:color w:val="auto"/>
        </w:rPr>
      </w:pPr>
    </w:p>
    <w:p>
      <w:pPr>
        <w:ind w:left="1300" w:hanging="806"/>
        <w:spacing w:after="0"/>
        <w:tabs>
          <w:tab w:leader="none" w:pos="130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Taxes</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spacing w:after="0" w:line="18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the liabilities accrued for non-income-based taxes were $19.4 million for domestic jurisdictions and $22.8 million for jurisdictions outside of the United States. As of December 31, 2024, these liabilities were $19.3 million and $22.0 million, respectively.</w:t>
      </w:r>
    </w:p>
    <w:p>
      <w:pPr>
        <w:spacing w:after="0" w:line="158" w:lineRule="exact"/>
        <w:rPr>
          <w:sz w:val="20"/>
          <w:szCs w:val="20"/>
          <w:color w:val="auto"/>
        </w:rPr>
      </w:pPr>
    </w:p>
    <w:p>
      <w:pPr>
        <w:jc w:val="center"/>
        <w:ind w:left="500" w:right="9340" w:hanging="492"/>
        <w:spacing w:after="0" w:line="503" w:lineRule="auto"/>
        <w:tabs>
          <w:tab w:leader="none" w:pos="2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Preferred Stock</w:t>
      </w: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authorized 100,000,000 shares of preferred stock, par value $0.001, of which no shares were issued and outstanding in either period.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authorized 1,000,000,000 shares of Class A common stock and 3,170,181 shares of Class B common stock, each with a par value of $0.001 per share. As of March 31, 2025 and December 31, 2024, 153,254,342 and 152,610,697 shares of Class A common stock, respectively, and no shares of Class B common stock were issued and outstanding.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746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1,190,661</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1,322,176</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issued and outstanding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15,963,772</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18,386,271</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331,531</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353,633</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awards available for grant under 2016 Plan</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31,234,619</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23,292,678</w:t>
            </w:r>
          </w:p>
        </w:tc>
      </w:tr>
      <w:tr>
        <w:trPr>
          <w:trHeight w:val="21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issuance pursuant to ESPP</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11,235,432</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9,709,326</w:t>
            </w:r>
          </w:p>
        </w:tc>
      </w:tr>
      <w:tr>
        <w:trPr>
          <w:trHeight w:val="207"/>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59,956,015</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53,064,084</w:t>
            </w:r>
          </w:p>
        </w:tc>
      </w:tr>
      <w:tr>
        <w:trPr>
          <w:trHeight w:val="23"/>
        </w:trPr>
        <w:tc>
          <w:tcPr>
            <w:tcW w:w="74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 The Company’s previous share repurchase authorizations expired on December 31, 2024.</w:t>
      </w:r>
    </w:p>
    <w:p>
      <w:pPr>
        <w:spacing w:after="0" w:line="21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and 2024, the Company repurchased 1.2 million and 6.1 million shares of its Class A common stock, respectively, for an aggregate purchase price of $130.2 million and $384.3 million, respectively. As of March 31, 2025, approximately $1.9 billion of the amount originally authorized for share repurchases in January 2025 remained available for future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Company’s 2016 Stock Option and Incentive Plan (the “2016 Plan”) provides for the grant of stock options, restricted stock units, restricted stock awards, stock appreciation rights, unrestricted stock awards, performance share awards, dividend equivalent rights and cash-based awards by the Company to its employees, directors and consultants. Certain of the Company’s outstanding equity awards were granted under equity incentive plans that are no longer active but continue to govern the outstanding equity awards granted thereunder.</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the first quarter of 2025, the Company granted to certain of its executive employees performance-based restricted stock units (“PSUs”) covering 185,899 shares of Class A common stock that had an aggregate grant date fair value of $27.1 million. The PSUs will vest if certain operational performance or market conditions, as defined in the grant agreements, are met during the performance achievement period, which expires on December 31, 2027. The fair value of the portion of the PSUs with an operational performance target equals the closing price of the Company’s Class A common stock on the date of grant. For this portion, the expense is recognized on a straight-line basis and only if it is probable that the performance target will be achieved during the performance period. The probability of achievement is assessed each reporting period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cumulative adjustments are recorded in the period in which the probability assessment changes. The fair value of the portion of the PSUs with market conditions was determined using a Monte-Carlo simulation model, and the expense is recognized on a straight-line basis over the performance achievement period. At the end of the vesting period, the number of shares actually issued may range from 0% to 200% of the target based on levels of performance.</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pacing w:after="0" w:line="1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total unrecognized compensation cost related to unvested restricted stock units (“RSUs”) was $1.1 billion which will be amortized over a weighted-average period of 2.4 years. As of March 31, 2025, total unrecognized compensation cost related to unvested stock options and the ESPP was not significant.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total stock-based compensation expense as follows:</w:t>
      </w:r>
    </w:p>
    <w:p>
      <w:pPr>
        <w:spacing w:after="0" w:line="50"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0"/>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6"/>
                <w:szCs w:val="16"/>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13"/>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83,560</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34,866</w:t>
            </w:r>
          </w:p>
        </w:tc>
      </w:tr>
      <w:tr>
        <w:trPr>
          <w:trHeight w:val="21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34,289</w:t>
            </w:r>
          </w:p>
        </w:tc>
      </w:tr>
      <w:tr>
        <w:trPr>
          <w:trHeight w:val="234"/>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139,273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 Attributable to Common Stockholders</w:t>
      </w:r>
    </w:p>
    <w:p>
      <w:pPr>
        <w:spacing w:after="0" w:line="22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net income (loss) per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income (loss) per share attributable to common stockholders is computed by dividing net income (loss) attributable to common stockholders by the weighted-average number of shares of common stock outstanding during the period. Diluted net income (loss) per share gives effect to all dilutive potential common shares outstanding during the period, such as stock options, RSUs, including PSUs, and shares partially paid for under ESPP, using the treasury stock method; PSUs follow the contingently issuable shares guidance. Diluted net income (loss) per share excludes all dilutive potential common shares if their effect is anti-dilutive.</w:t>
      </w:r>
    </w:p>
    <w:p>
      <w:pPr>
        <w:spacing w:after="0" w:line="18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(loss) per share attributable to common stockholders during the periods presented:</w:t>
      </w:r>
    </w:p>
    <w:p>
      <w:pPr>
        <w:spacing w:after="0" w:line="20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common stockholders (in thousands)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(55,349)</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Weighted-average shares outstanding, basic</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153,345,192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181,017,726</w:t>
            </w: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outstanding stock options, RSUs and stock committed under ESPP</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8,449,095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Weighted-average shares outstanding, diluted</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161,794,287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181,017,726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7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486"/>
        <w:spacing w:after="0" w:line="27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common stockholders because their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5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of March 31,</w:t>
            </w:r>
          </w:p>
        </w:tc>
      </w:tr>
      <w:tr>
        <w:trPr>
          <w:trHeight w:val="211"/>
        </w:trPr>
        <w:tc>
          <w:tcPr>
            <w:tcW w:w="87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issued and outstanding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145,350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1,584,426</w:t>
            </w:r>
          </w:p>
        </w:tc>
      </w:tr>
      <w:tr>
        <w:trPr>
          <w:trHeight w:val="216"/>
        </w:trPr>
        <w:tc>
          <w:tcPr>
            <w:tcW w:w="87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Unvested restricted stock units issued and outstanding</w:t>
            </w:r>
            <w:r>
              <w:rPr>
                <w:rFonts w:ascii="Times New Roman" w:cs="Times New Roman" w:eastAsia="Times New Roman" w:hAnsi="Times New Roman"/>
                <w:sz w:val="21"/>
                <w:szCs w:val="21"/>
                <w:color w:val="auto"/>
                <w:vertAlign w:val="superscript"/>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1,384,775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16,173,773</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reserved for Twilio.org</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419,939</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committed under ESPP</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396,611</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Class A common stock in escrow subject to future vesting</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r>
      <w:tr>
        <w:trPr>
          <w:trHeight w:val="212"/>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1,530,125</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18,578,520</w:t>
            </w:r>
          </w:p>
        </w:tc>
      </w:tr>
      <w:tr>
        <w:trPr>
          <w:trHeight w:val="21"/>
        </w:trPr>
        <w:tc>
          <w:tcPr>
            <w:tcW w:w="8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5" w:lineRule="exact"/>
        <w:rPr>
          <w:sz w:val="20"/>
          <w:szCs w:val="20"/>
          <w:color w:val="auto"/>
        </w:rPr>
      </w:pPr>
    </w:p>
    <w:p>
      <w:pPr>
        <w:ind w:right="420" w:firstLine="8"/>
        <w:spacing w:after="0" w:line="285" w:lineRule="auto"/>
        <w:tabs>
          <w:tab w:leader="none" w:pos="149"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 portion of these unvested restricted stock units are PSUs. The number of PSUs that will ultimately vest may increase or decrease the number of shares that will be issued at the end of the performance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Company computes its provision for income taxes for interim periods using an estimated annual effective tax rate based on anticipated annual pretax income or loss. The estimated annual effective tax rate is applied to the Company’s year-to-date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w:t>
      </w:r>
    </w:p>
    <w:p>
      <w:pPr>
        <w:spacing w:after="0" w:line="180"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provision for income taxes recorded in the three months ended March 31, 2025 and 2024 consist primarily of federal, state and foreign income taxes and withholding taxes in foreign jurisdictions in which the Company conducts business. The provision for income taxes recorded in the three months ended March 31, 2024 also consists of income tax expense from a foreign audit settlement.</w:t>
      </w:r>
    </w:p>
    <w:p>
      <w:pPr>
        <w:spacing w:after="0" w:line="176"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and various other state and foreign jurisdictions. Because the Company has net operating loss carryforwards for U.S. federal and state jurisdictions, the statute of limitations is open for all tax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months ended March 31, 2025 and 2024, the value of the transactions that occurred between the Company and Syniverse were $38.7 million and $34.0 million, respectively. These transactions were recorded as cost of revenue in the accompanying condensed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980" w:right="5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conditions and uncertainty and significant market volatility on our business, customers and partners;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expectations regarding our revenue, revenue growth, cost of revenue, gross profit, gross margin and operating expenses, our ability to generate positive cash flow and ability to achieve and sustain profitability on GAAP and non-GAAP bases, the factors affecting our results of operations, the timing of future expenses, the end dates for certain types of expenses, and the assumptions underlying such expectations;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realignment of our business unit structure, including its expected costs and benefits and the related accounting determinations;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vision for our platform, including delivering new product releases and enhancements, reducing friction across our platform and streamlining cross-channel orchestration;</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deliver an interoperable platform that allows businesses to harness the power of customer data and consumer insights to improve customer engagement;</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artificial intelligence and machine learning, including to develop and commercialize products and features for our customers and deploy internal applications for our own operational efficiency;</w:t>
      </w:r>
    </w:p>
    <w:p>
      <w:pPr>
        <w:spacing w:after="0" w:line="161"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revenue growth, improve profitability and increase our market share, including by forming and expanding partnerships with independent software vendors and other partners, improving our self-service capabilities, cross-selling our products and expanding internationally;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simplify and modernize our business processes and improve our overall operating efficiency;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investments in sales and marketing, research and development and additional systems and processes to support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reliable service levels for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industry standards, laws and regulations applying to our business;</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in network service provider fees that we pay in connection with the delivery of communications on our platform;</w:t>
      </w:r>
    </w:p>
    <w:p>
      <w:pPr>
        <w:spacing w:after="0" w:line="161"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required to prevent, detect and remediate potential cybersecurity threats, incidents and breaches of ours or our customers’ systems or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network service provider coverage and connectivity;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closely with email inbox service providers to maintain deliverability rates;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expected results from changes in our relationships with our larger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to meet our liquidity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share repurchases;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results of our foreign currency hedging activities;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the interest on our 3.625% senior notes due 2029 (“2029 Notes”) and on our 3.875% notes due 2031 (“2031 Notes,” and together with the 2029 Notes, the “Notes”), and repay such Notes;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other platform users’ violation of our policies or other misuse of our platform; and</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benefits of our past or future strategic acquisitions, divestitures or investments.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included in our Annual Report on Form 10-K for the year ended December 31, 2024.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envision a world in which every digital interaction between businesses and their customers is amazing. By combining our leading communications capabilities, plus rich contextual data, plus generative and predictive AI, we enable businesses of all sizes to revolutionize how they engage with their customers by delivering seamless, trusted and personalized customer experiences at scale. We offer communications APIs that enable developers to embed numerous forms of messaging, voice, email and video interactions into their customer-facing applications, as well as software products that target specific engagement needs, including our customer data platform, digital engagement centers, marketing campaigns, and user authentication and identity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and AI-powered predictions and recommendations,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at scale.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spacing w:after="0" w:line="1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January 1, 2025, we realigned our business unit structure into a functional support model under one organization. We believe that operating as one organization best positions us as we seek to deliver one trusted, smart and integrated platform that enables more personalized communications and engagements for customers. Despite realigning our organizational structure, we continue to have two reportable segments. Our Communications reportable segment consists of a variety of APIs and software solutions to optimize communications between our customers and their end users. Our key offerings in our Communications reportable segment include Messaging, Voice, Email (which includes Marketing Campaigns), Flex, and User Authentication and Identity. Our Segment reportable segment consists of software products that enable businesses to leverage their contextual data to create unique customer profiles and achieve more effective customer engagement. Our key offering in our Segment reportable segment is our Segment product.</w:t>
      </w:r>
    </w:p>
    <w:p>
      <w:pPr>
        <w:spacing w:after="0" w:line="189"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and 2024, our revenue was $1.17 billion and $1.05 billion, respectively, and our net income (loss) was $20.0 million and $(55.3) million, respectively. In the three months ended March 31, 2025 and 2024, our 10 largest Active Customer Accounts generated an aggregate of 9% and 10% of our total revenue,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are focused on innovation, profit, and growth. To increase revenue and grow market share, we intend to drive product innovation, leverage predictive and generative AI, further enhance our independent software vendor (“ISV”), reseller and other partner relationships, improve our self-service capabilities, cross-sell our products, expand internationally, enhance Segment data warehouse interoperability, and reduce time to value for Segment. We also intend to optimize our business and take measures to reduce costs, including simplifying and further automating our business processes, modernizing our infrastructure, focusing on self-service, leveraging AI, enacting certain workforce planning initiatives, optimizing utilization of our distributed workforce and implementing other initiatives targeted at improving efficiencies in our business.</w:t>
      </w:r>
    </w:p>
    <w:p>
      <w:pPr>
        <w:spacing w:after="0" w:line="187"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spacing w:after="0" w:line="180" w:lineRule="exact"/>
        <w:rPr>
          <w:sz w:val="20"/>
          <w:szCs w:val="20"/>
          <w:color w:val="auto"/>
        </w:rPr>
      </w:pPr>
    </w:p>
    <w:p>
      <w:pPr>
        <w:ind w:firstLine="486"/>
        <w:spacing w:after="0" w:line="220" w:lineRule="exact"/>
        <w:rPr>
          <w:sz w:val="20"/>
          <w:szCs w:val="20"/>
          <w:color w:val="auto"/>
        </w:rPr>
      </w:pPr>
      <w:r>
        <w:rPr>
          <w:rFonts w:ascii="Times New Roman" w:cs="Times New Roman" w:eastAsia="Times New Roman" w:hAnsi="Times New Roman"/>
          <w:sz w:val="18"/>
          <w:szCs w:val="18"/>
          <w:color w:val="auto"/>
        </w:rPr>
        <w:t>Our gross profit and gross margin are impacted by a number of factors, including our product mix; our ability to manage our cloud infrastructure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network service provider fees, including A2P SMS fees; changes in foreign exchange rates; the timing of amortization of capitalized software development costs and acquired intangibles; the extent to which we periodically choose to adjust prices of our products; and the timing and extent of our investments in our operations. Our gross margin is also impacted by the mix of U.S. messaging termination compared to international messaging termination, as international messaging has lower gross margins.</w:t>
      </w:r>
    </w:p>
    <w:p>
      <w:pPr>
        <w:spacing w:after="0" w:line="201"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II, Item 1A, “Risk Factors.”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6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year-over-year revenue growth and Dollar-Based Net Expansion Rate for the three months ended March 31, 2025 and 2024, and the number of Active Customer Accounts as of March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80" w:type="dxa"/>
            <w:vAlign w:val="bottom"/>
            <w:tcBorders>
              <w:bottom w:val="single" w:sz="8" w:color="auto"/>
            </w:tcBorders>
          </w:tcPr>
          <w:p>
            <w:pPr>
              <w:spacing w:after="0"/>
              <w:rPr>
                <w:sz w:val="19"/>
                <w:szCs w:val="19"/>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 Accounts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313,000</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 (in thousands)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1,172,463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1,047,050</w:t>
            </w: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Revenue Growth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Dollar-Based Net Expansion Rate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 Accounts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Quarterly Report on Form 10-Q, (i) the number of Active Customer Accounts is rounded down to the nearest thousand, (ii) the number of Communications Active Customer Accounts is rounded down to the nearest thousand, and (iii) the number of Segment Active Customer Accounts is rounded down to the nearest hundred.</w:t>
      </w:r>
    </w:p>
    <w:p>
      <w:pPr>
        <w:spacing w:after="0" w:line="1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months ended March 31, 2025 and 2024, revenue from Active Customer Accounts represented over 99% of total revenue in each period.</w:t>
      </w:r>
    </w:p>
    <w:p>
      <w:pPr>
        <w:spacing w:after="0" w:line="1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Expansion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-43815</wp:posOffset>
            </wp:positionV>
            <wp:extent cx="6413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Revenue from divestitures does not impact the Dollar-Based Net Expansion Rate calculation beginning in the quarter the divestiture closed, unless the divestiture closing date is the last day of a quarter. Communications Dollar-Based Net Expansion Rate and Segment Dollar-Based Net Expansion Rate are calculated using the same methodology, but using only revenue attributable to the respective segment and Active Customer Accounts and customer accounts from Zipwhip.</w:t>
      </w:r>
    </w:p>
    <w:p>
      <w:pPr>
        <w:spacing w:after="0" w:line="19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recognize revenue from our products on either a usage basis or a subscription basis, depending on the nature of the product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customer contract.</w:t>
      </w:r>
    </w:p>
    <w:p>
      <w:pPr>
        <w:spacing w:after="0" w:line="16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majority of our Communications reportable segment revenue is derived from usage-based fees. The usage-based fees are earned when customers access our cloud-based platform and start using our products. Examples of our primarily usage-based Communications products are Messaging and Voice. For Messaging products, we primarily charge fees related to the number of text messages sent or received. For Voice products, we primarily charge fees for minutes of call duration. Examples of our primarily subscription-based Communications products are Email and Flex. For these products, we recognize revenue evenly over the contract term.</w:t>
      </w:r>
    </w:p>
    <w:p>
      <w:pPr>
        <w:spacing w:after="0" w:line="18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Segment reportable segment revenue is derived from Segment products that are subscription-based. For these products we recognize revenue evenly over the contract term.</w:t>
      </w:r>
    </w:p>
    <w:p>
      <w:pPr>
        <w:spacing w:after="0" w:line="162"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When our usage-based products are embedded into our subscription-based products, we charge for each product separately on a usage or subscription basis, respectively, and record the revenue in the reportable segment in which each product resides.</w:t>
      </w:r>
    </w:p>
    <w:p>
      <w:pPr>
        <w:spacing w:after="0" w:line="16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Most of our usage-based customers gain access to our platform through our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three months ended March 31, 2025 and 2024, we generated 73% and 71% of our revenue, respectively, from usage-based fees.</w:t>
      </w:r>
    </w:p>
    <w:p>
      <w:pPr>
        <w:spacing w:after="0" w:line="187" w:lineRule="exact"/>
        <w:rPr>
          <w:sz w:val="20"/>
          <w:szCs w:val="20"/>
          <w:color w:val="auto"/>
        </w:rPr>
      </w:pPr>
    </w:p>
    <w:p>
      <w:pPr>
        <w:ind w:right="120" w:firstLine="486"/>
        <w:spacing w:after="0" w:line="232" w:lineRule="exact"/>
        <w:rPr>
          <w:sz w:val="20"/>
          <w:szCs w:val="20"/>
          <w:color w:val="auto"/>
        </w:rPr>
      </w:pPr>
      <w:r>
        <w:rPr>
          <w:rFonts w:ascii="Times New Roman" w:cs="Times New Roman" w:eastAsia="Times New Roman" w:hAnsi="Times New Roman"/>
          <w:sz w:val="18"/>
          <w:szCs w:val="18"/>
          <w:color w:val="auto"/>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March 31, 2025 and 2024, we generated 27% and 29% of our revenue, respectively, from non-usage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fees.</w:t>
      </w:r>
    </w:p>
    <w:p>
      <w:pPr>
        <w:spacing w:after="0" w:line="17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227" w:lineRule="exact"/>
        <w:rPr>
          <w:sz w:val="20"/>
          <w:szCs w:val="20"/>
          <w:color w:val="auto"/>
        </w:rPr>
      </w:pPr>
    </w:p>
    <w:p>
      <w:pPr>
        <w:ind w:right="40" w:firstLine="486"/>
        <w:spacing w:after="0" w:line="220" w:lineRule="exact"/>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consists primarily of fees paid to network service providers. Cost of revenue also includes cloud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direct costs of personnel, such as salaries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our customer support employees,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 of these costs.</w:t>
      </w:r>
    </w:p>
    <w:p>
      <w:pPr>
        <w:spacing w:after="0" w:line="19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represents revenue less cost of revenue.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20" w:firstLine="486"/>
        <w:spacing w:after="0" w:line="239" w:lineRule="exact"/>
        <w:rPr>
          <w:sz w:val="20"/>
          <w:szCs w:val="20"/>
          <w:color w:val="auto"/>
        </w:rPr>
      </w:pPr>
      <w:r>
        <w:rPr>
          <w:rFonts w:ascii="Times New Roman" w:cs="Times New Roman" w:eastAsia="Times New Roman" w:hAnsi="Times New Roman"/>
          <w:sz w:val="18"/>
          <w:szCs w:val="18"/>
          <w:color w:val="auto"/>
        </w:rPr>
        <w:t>The most significant components of operating expenses are personnel costs, which consist of salaries, benefits, sales commissions, bonuses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We also incur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personnel costs related to our general overhead expenses.</w:t>
      </w:r>
    </w:p>
    <w:p>
      <w:pPr>
        <w:spacing w:after="0" w:line="16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personnel costs, outsourced engineering services,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 of these costs. A small percentage of research and development costs, such as costs related to digital architecture and information security, are not allocated to segments because they support company-wide processes and are managed on a company-wide level.</w:t>
      </w:r>
    </w:p>
    <w:p>
      <w:pPr>
        <w:spacing w:after="0" w:line="185"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We are focusing our research and development investment in the highest impact product areas for our future. We are investing strategically in alignment with our focus on building a trusted, leading customer engagement platform.</w:t>
      </w:r>
    </w:p>
    <w:p>
      <w:pPr>
        <w:spacing w:after="0" w:line="1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including commissions and bonuses to our sales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 of these costs. A small percentage of sales and marketing costs, such as costs related to corporate communications and global brand awareness, are not allocated to segments because they support company-wide processes and are managed on a company-wide level.</w:t>
      </w:r>
    </w:p>
    <w:p>
      <w:pPr>
        <w:spacing w:after="0" w:line="185"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We focus our sales and marketing efforts on generating awareness of our company, platform and products, creating sales leads, expanding relationships with existing customers and establishing and promoting our brand, both domestically and internationally.</w:t>
      </w:r>
    </w:p>
    <w:p>
      <w:pPr>
        <w:spacing w:after="0" w:line="160"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personnel costs for our accounting, finance, legal,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 of these costs. A significant portion of general and administrative costs, such as costs related to corporate governance and certain costs related to legal, human resources, finance and accounting functions, are not allocated to segments because they support company-wide processes and are managed on a company-wide level.</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229" w:lineRule="exact"/>
        <w:rPr>
          <w:sz w:val="20"/>
          <w:szCs w:val="20"/>
          <w:color w:val="auto"/>
        </w:rPr>
      </w:pPr>
    </w:p>
    <w:p>
      <w:pPr>
        <w:ind w:right="340" w:firstLine="486"/>
        <w:spacing w:after="0" w:line="312" w:lineRule="auto"/>
        <w:rPr>
          <w:sz w:val="20"/>
          <w:szCs w:val="20"/>
          <w:color w:val="auto"/>
        </w:rPr>
      </w:pPr>
      <w:r>
        <w:rPr>
          <w:rFonts w:ascii="Times New Roman" w:cs="Times New Roman" w:eastAsia="Times New Roman" w:hAnsi="Times New Roman"/>
          <w:sz w:val="17"/>
          <w:szCs w:val="17"/>
          <w:color w:val="auto"/>
        </w:rPr>
        <w:t>Our other income (expenses), net, consist primarily of our share of losses from our equity method investment, impairment charges and gains and losses related to our strategic investments, realized gains and losses from marketable securities, interest income and expense and debt-related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income taxes consists primarily of federal, state and foreign income taxes and withholding taxes in foreign jurisdictions in which the Company conducts business.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primary difference between our effective tax rate and the federal statutory rate relates to the valuation allowance the Company established on the federal, state and certain foreign net operating losses and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8" w:lineRule="exact"/>
        <w:rPr>
          <w:sz w:val="20"/>
          <w:szCs w:val="20"/>
          <w:color w:val="auto"/>
        </w:rPr>
      </w:pPr>
    </w:p>
    <w:p>
      <w:pPr>
        <w:ind w:right="20" w:firstLine="486"/>
        <w:spacing w:after="0" w:line="226" w:lineRule="exact"/>
        <w:rPr>
          <w:sz w:val="20"/>
          <w:szCs w:val="20"/>
          <w:color w:val="auto"/>
        </w:rPr>
      </w:pPr>
      <w:r>
        <w:rPr>
          <w:rFonts w:ascii="Times New Roman" w:cs="Times New Roman" w:eastAsia="Times New Roman" w:hAnsi="Times New Roman"/>
          <w:sz w:val="18"/>
          <w:szCs w:val="18"/>
          <w:color w:val="auto"/>
        </w:rPr>
        <w:t>We use the following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 We believe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may be helpful to investors because it provides consistency and comparability with past financial performance, facilitates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of results of operations and assists in comparisons with other companies, many of which use similar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w:t>
      </w:r>
    </w:p>
    <w:p>
      <w:pPr>
        <w:spacing w:after="0" w:line="161" w:lineRule="exact"/>
        <w:rPr>
          <w:sz w:val="20"/>
          <w:szCs w:val="20"/>
          <w:color w:val="auto"/>
        </w:rPr>
      </w:pPr>
    </w:p>
    <w:p>
      <w:pPr>
        <w:ind w:right="140" w:firstLine="486"/>
        <w:spacing w:after="0" w:line="228"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used by other companies. Whenever we use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GAAP financial measures.</w:t>
      </w:r>
    </w:p>
    <w:p>
      <w:pPr>
        <w:spacing w:after="0" w:line="15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Profit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-43815</wp:posOffset>
            </wp:positionV>
            <wp:extent cx="6413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right="780" w:firstLine="486"/>
        <w:spacing w:after="0" w:line="245"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profit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gross margin as GAAP gross profit and GAAP gross margin, respectively, adjusted to exclude, as applicable, certain expenses as presented in the table below:</w:t>
      </w:r>
    </w:p>
    <w:p>
      <w:pPr>
        <w:spacing w:after="0" w:line="336"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7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40" w:type="dxa"/>
            <w:vAlign w:val="bottom"/>
          </w:tcPr>
          <w:p>
            <w:pPr>
              <w:spacing w:after="0"/>
              <w:rPr>
                <w:sz w:val="17"/>
                <w:szCs w:val="17"/>
                <w:color w:val="auto"/>
              </w:rPr>
            </w:pPr>
          </w:p>
        </w:tc>
        <w:tc>
          <w:tcPr>
            <w:tcW w:w="1800" w:type="dxa"/>
            <w:vAlign w:val="bottom"/>
            <w:gridSpan w:val="3"/>
          </w:tcPr>
          <w:p>
            <w:pPr>
              <w:jc w:val="center"/>
              <w:ind w:left="64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581,567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544,041</w:t>
            </w:r>
          </w:p>
        </w:tc>
        <w:tc>
          <w:tcPr>
            <w:tcW w:w="0" w:type="dxa"/>
            <w:vAlign w:val="bottom"/>
          </w:tcPr>
          <w:p>
            <w:pPr>
              <w:spacing w:after="0"/>
              <w:rPr>
                <w:sz w:val="1"/>
                <w:szCs w:val="1"/>
                <w:color w:val="auto"/>
              </w:rPr>
            </w:pP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GAAP gross margin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5,891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15,682</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602,002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565,959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Non-GAAP gross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ind w:firstLine="486"/>
        <w:spacing w:after="0" w:line="245"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expenses (including categories of operating expenses) as GAAP operating expenses (and categories of operating expenses) adjusted to exclude, as applicable, certain expenses as presented in the table below:</w:t>
      </w:r>
    </w:p>
    <w:p>
      <w:pPr>
        <w:spacing w:after="0" w:line="336"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left="5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0" w:type="dxa"/>
            <w:vAlign w:val="bottom"/>
            <w:tcBorders>
              <w:bottom w:val="single" w:sz="8" w:color="auto"/>
            </w:tcBorders>
          </w:tcPr>
          <w:p>
            <w:pPr>
              <w:spacing w:after="0"/>
              <w:rPr>
                <w:sz w:val="19"/>
                <w:szCs w:val="19"/>
                <w:color w:val="auto"/>
              </w:rPr>
            </w:pPr>
          </w:p>
        </w:tc>
      </w:tr>
      <w:tr>
        <w:trPr>
          <w:trHeight w:val="209"/>
        </w:trPr>
        <w:tc>
          <w:tcPr>
            <w:tcW w:w="7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20" w:type="dxa"/>
            <w:vAlign w:val="bottom"/>
          </w:tcPr>
          <w:p>
            <w:pPr>
              <w:spacing w:after="0"/>
              <w:rPr>
                <w:sz w:val="17"/>
                <w:szCs w:val="17"/>
                <w:color w:val="auto"/>
              </w:rPr>
            </w:pPr>
          </w:p>
        </w:tc>
        <w:tc>
          <w:tcPr>
            <w:tcW w:w="168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color w:val="auto"/>
              </w:rPr>
              <w:t>(In thousands)</w:t>
            </w:r>
          </w:p>
        </w:tc>
        <w:tc>
          <w:tcPr>
            <w:tcW w:w="1000" w:type="dxa"/>
            <w:vAlign w:val="bottom"/>
          </w:tcPr>
          <w:p>
            <w:pPr>
              <w:spacing w:after="0"/>
              <w:rPr>
                <w:sz w:val="17"/>
                <w:szCs w:val="17"/>
                <w:color w:val="auto"/>
              </w:rPr>
            </w:pPr>
          </w:p>
        </w:tc>
      </w:tr>
      <w:tr>
        <w:trPr>
          <w:trHeight w:val="21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587,545</w:t>
            </w:r>
          </w:p>
        </w:tc>
      </w:tr>
      <w:tr>
        <w:trPr>
          <w:trHeight w:val="213"/>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Non-GAAP adjustments: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(150,267)</w:t>
            </w:r>
          </w:p>
        </w:tc>
      </w:tr>
      <w:tr>
        <w:trPr>
          <w:trHeight w:val="21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(13,257)</w:t>
            </w:r>
          </w:p>
        </w:tc>
      </w:tr>
      <w:tr>
        <w:trPr>
          <w:trHeight w:val="21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w:t>
            </w:r>
          </w:p>
        </w:tc>
      </w:tr>
      <w:tr>
        <w:trPr>
          <w:trHeight w:val="21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r>
      <w:tr>
        <w:trPr>
          <w:trHeight w:val="219"/>
        </w:trPr>
        <w:tc>
          <w:tcPr>
            <w:tcW w:w="7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(9,946)</w:t>
            </w:r>
          </w:p>
        </w:tc>
      </w:tr>
      <w:tr>
        <w:trPr>
          <w:trHeight w:val="210"/>
        </w:trPr>
        <w:tc>
          <w:tcPr>
            <w:tcW w:w="7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388,594</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406,349</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Income from Operations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-43815</wp:posOffset>
            </wp:positionV>
            <wp:extent cx="6413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2491740</wp:posOffset>
            </wp:positionH>
            <wp:positionV relativeFrom="paragraph">
              <wp:posOffset>-43815</wp:posOffset>
            </wp:positionV>
            <wp:extent cx="6413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2"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For the periods presented, we define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income from operations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operating margin as GAAP income (loss) from operations and GAAP operating margin, respectively, adjusted to exclude, as applicable, certain expenses as presented in the table below:</w:t>
      </w:r>
    </w:p>
    <w:p>
      <w:pPr>
        <w:spacing w:after="0" w:line="337"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6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7"/>
                <w:szCs w:val="17"/>
                <w:color w:val="auto"/>
              </w:rPr>
            </w:pPr>
          </w:p>
        </w:tc>
        <w:tc>
          <w:tcPr>
            <w:tcW w:w="1780" w:type="dxa"/>
            <w:vAlign w:val="bottom"/>
            <w:gridSpan w:val="3"/>
          </w:tcPr>
          <w:p>
            <w:pPr>
              <w:jc w:val="center"/>
              <w:ind w:left="64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23,082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(43,504)</w:t>
            </w:r>
          </w:p>
        </w:tc>
        <w:tc>
          <w:tcPr>
            <w:tcW w:w="0" w:type="dxa"/>
            <w:vAlign w:val="bottom"/>
          </w:tcPr>
          <w:p>
            <w:pPr>
              <w:spacing w:after="0"/>
              <w:rPr>
                <w:sz w:val="1"/>
                <w:szCs w:val="1"/>
                <w:color w:val="auto"/>
              </w:rPr>
            </w:pPr>
          </w:p>
        </w:tc>
      </w:tr>
      <w:tr>
        <w:trPr>
          <w:trHeight w:val="21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137,520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156,158</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28,939</w:t>
            </w:r>
          </w:p>
        </w:tc>
        <w:tc>
          <w:tcPr>
            <w:tcW w:w="0" w:type="dxa"/>
            <w:vAlign w:val="bottom"/>
          </w:tcPr>
          <w:p>
            <w:pPr>
              <w:spacing w:after="0"/>
              <w:rPr>
                <w:sz w:val="1"/>
                <w:szCs w:val="1"/>
                <w:color w:val="auto"/>
              </w:rPr>
            </w:pPr>
          </w:p>
        </w:tc>
      </w:tr>
      <w:tr>
        <w:trPr>
          <w:trHeight w:val="213"/>
        </w:trPr>
        <w:tc>
          <w:tcPr>
            <w:tcW w:w="6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Payroll taxes related to stock-based compensation</w:t>
            </w:r>
          </w:p>
        </w:tc>
        <w:tc>
          <w:tcPr>
            <w:tcW w:w="36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6,776</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Charitable contributions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Restructuring costs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11,691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9,946</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213,408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159,610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5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ind w:right="160" w:firstLine="486"/>
        <w:spacing w:after="0" w:line="312" w:lineRule="auto"/>
        <w:rPr>
          <w:sz w:val="20"/>
          <w:szCs w:val="20"/>
          <w:color w:val="auto"/>
        </w:rPr>
      </w:pPr>
      <w:r>
        <w:rPr>
          <w:rFonts w:ascii="Times New Roman" w:cs="Times New Roman" w:eastAsia="Times New Roman" w:hAnsi="Times New Roman"/>
          <w:sz w:val="17"/>
          <w:szCs w:val="17"/>
          <w:color w:val="auto"/>
        </w:rPr>
        <w:t>For the periods presented, we define free cash flow as net cash provided by operating activities less capitalized software development costs and purchases of long-lived and intangible assets, and we define free cash flow margin as free cash flow divided by revenue, as presented in the table below:</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60" w:type="dxa"/>
            <w:vAlign w:val="bottom"/>
            <w:gridSpan w:val="4"/>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80" w:type="dxa"/>
            <w:vAlign w:val="bottom"/>
            <w:tcBorders>
              <w:bottom w:val="single" w:sz="8" w:color="auto"/>
            </w:tcBorders>
          </w:tcPr>
          <w:p>
            <w:pPr>
              <w:spacing w:after="0"/>
              <w:rPr>
                <w:sz w:val="19"/>
                <w:szCs w:val="19"/>
                <w:color w:val="auto"/>
              </w:rPr>
            </w:pPr>
          </w:p>
        </w:tc>
      </w:tr>
      <w:tr>
        <w:trPr>
          <w:trHeight w:val="209"/>
        </w:trPr>
        <w:tc>
          <w:tcPr>
            <w:tcW w:w="7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360" w:type="dxa"/>
            <w:vAlign w:val="bottom"/>
          </w:tcPr>
          <w:p>
            <w:pPr>
              <w:spacing w:after="0"/>
              <w:rPr>
                <w:sz w:val="17"/>
                <w:szCs w:val="17"/>
                <w:color w:val="auto"/>
              </w:rPr>
            </w:pPr>
          </w:p>
        </w:tc>
        <w:tc>
          <w:tcPr>
            <w:tcW w:w="1780" w:type="dxa"/>
            <w:vAlign w:val="bottom"/>
            <w:gridSpan w:val="3"/>
          </w:tcPr>
          <w:p>
            <w:pPr>
              <w:jc w:val="center"/>
              <w:ind w:left="640"/>
              <w:spacing w:after="0"/>
              <w:rPr>
                <w:sz w:val="20"/>
                <w:szCs w:val="20"/>
                <w:color w:val="auto"/>
              </w:rPr>
            </w:pPr>
            <w:r>
              <w:rPr>
                <w:rFonts w:ascii="Times New Roman" w:cs="Times New Roman" w:eastAsia="Times New Roman" w:hAnsi="Times New Roman"/>
                <w:sz w:val="14"/>
                <w:szCs w:val="14"/>
                <w:color w:val="auto"/>
              </w:rPr>
              <w:t>(In thousands)</w:t>
            </w:r>
          </w:p>
        </w:tc>
        <w:tc>
          <w:tcPr>
            <w:tcW w:w="1080" w:type="dxa"/>
            <w:vAlign w:val="bottom"/>
          </w:tcPr>
          <w:p>
            <w:pPr>
              <w:spacing w:after="0"/>
              <w:rPr>
                <w:sz w:val="17"/>
                <w:szCs w:val="17"/>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191,042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190,123</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60" w:type="dxa"/>
            <w:vAlign w:val="bottom"/>
          </w:tcPr>
          <w:p>
            <w:pPr>
              <w:spacing w:after="0"/>
              <w:rPr>
                <w:sz w:val="18"/>
                <w:szCs w:val="18"/>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(11,564)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(11,154)</w:t>
            </w: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long-lived and 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(1,671)</w:t>
            </w:r>
          </w:p>
        </w:tc>
      </w:tr>
      <w:tr>
        <w:trPr>
          <w:trHeight w:val="212"/>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Free cash flow</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178,315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177,298</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Free cash flow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(19,140)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189,770</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(125,794)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(363,229)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period-to-period comparisons of our historical results are not indicative of the results that may be expected in the future.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Pr>
          <w:p>
            <w:pPr>
              <w:spacing w:after="0"/>
              <w:rPr>
                <w:sz w:val="18"/>
                <w:szCs w:val="18"/>
                <w:color w:val="auto"/>
              </w:rPr>
            </w:pPr>
          </w:p>
        </w:tc>
      </w:tr>
      <w:tr>
        <w:trPr>
          <w:trHeight w:val="219"/>
        </w:trPr>
        <w:tc>
          <w:tcPr>
            <w:tcW w:w="7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09"/>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Data:</w:t>
            </w:r>
          </w:p>
        </w:tc>
        <w:tc>
          <w:tcPr>
            <w:tcW w:w="260" w:type="dxa"/>
            <w:vAlign w:val="bottom"/>
          </w:tcPr>
          <w:p>
            <w:pPr>
              <w:spacing w:after="0"/>
              <w:rPr>
                <w:sz w:val="17"/>
                <w:szCs w:val="17"/>
                <w:color w:val="auto"/>
              </w:rPr>
            </w:pPr>
          </w:p>
        </w:tc>
        <w:tc>
          <w:tcPr>
            <w:tcW w:w="3500" w:type="dxa"/>
            <w:vAlign w:val="bottom"/>
            <w:gridSpan w:val="4"/>
          </w:tcPr>
          <w:p>
            <w:pPr>
              <w:jc w:val="center"/>
              <w:ind w:right="159"/>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1,172,463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1,047,050</w:t>
            </w:r>
          </w:p>
        </w:tc>
      </w:tr>
      <w:tr>
        <w:trPr>
          <w:trHeight w:val="216"/>
        </w:trPr>
        <w:tc>
          <w:tcPr>
            <w:tcW w:w="74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(1) (2)</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590,896</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503,009</w:t>
            </w:r>
          </w:p>
        </w:tc>
      </w:tr>
      <w:tr>
        <w:trPr>
          <w:trHeight w:val="210"/>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581,567</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544,041</w:t>
            </w: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748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260,457</w:t>
            </w:r>
          </w:p>
        </w:tc>
      </w:tr>
      <w:tr>
        <w:trPr>
          <w:trHeight w:val="216"/>
        </w:trPr>
        <w:tc>
          <w:tcPr>
            <w:tcW w:w="74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212,113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214,503</w:t>
            </w:r>
          </w:p>
        </w:tc>
      </w:tr>
      <w:tr>
        <w:trPr>
          <w:trHeight w:val="216"/>
        </w:trPr>
        <w:tc>
          <w:tcPr>
            <w:tcW w:w="74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 (2)</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92,077</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112,585</w:t>
            </w:r>
          </w:p>
        </w:tc>
      </w:tr>
      <w:tr>
        <w:trPr>
          <w:trHeight w:val="207"/>
        </w:trPr>
        <w:tc>
          <w:tcPr>
            <w:tcW w:w="7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558,485</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587,545</w:t>
            </w:r>
          </w:p>
        </w:tc>
      </w:tr>
      <w:tr>
        <w:trPr>
          <w:trHeight w:val="212"/>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23,082</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(43,504)</w:t>
            </w: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(29,575)</w:t>
            </w:r>
          </w:p>
        </w:tc>
      </w:tr>
      <w:tr>
        <w:trPr>
          <w:trHeight w:val="213"/>
        </w:trPr>
        <w:tc>
          <w:tcPr>
            <w:tcW w:w="7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27,918</w:t>
            </w:r>
          </w:p>
        </w:tc>
      </w:tr>
      <w:tr>
        <w:trPr>
          <w:trHeight w:val="212"/>
        </w:trPr>
        <w:tc>
          <w:tcPr>
            <w:tcW w:w="7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07"/>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(45,161)</w:t>
            </w: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w:t>
            </w:r>
          </w:p>
        </w:tc>
      </w:tr>
      <w:tr>
        <w:trPr>
          <w:trHeight w:val="212"/>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(55,349)</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income (loss) per share:</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153,345,192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181,017,726</w:t>
            </w:r>
          </w:p>
        </w:tc>
      </w:tr>
      <w:tr>
        <w:trPr>
          <w:trHeight w:val="210"/>
        </w:trPr>
        <w:tc>
          <w:tcPr>
            <w:tcW w:w="7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161,794,287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181,017,726</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p>
      <w:pPr>
        <w:spacing w:after="0" w:line="20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2520" w:type="dxa"/>
            <w:vAlign w:val="bottom"/>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8"/>
                <w:szCs w:val="18"/>
                <w:color w:val="auto"/>
              </w:rPr>
            </w:pPr>
          </w:p>
        </w:tc>
      </w:tr>
      <w:tr>
        <w:trPr>
          <w:trHeight w:val="219"/>
        </w:trPr>
        <w:tc>
          <w:tcPr>
            <w:tcW w:w="69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Borders>
              <w:bottom w:val="single" w:sz="8" w:color="auto"/>
            </w:tcBorders>
          </w:tcPr>
          <w:p>
            <w:pPr>
              <w:spacing w:after="0"/>
              <w:rPr>
                <w:sz w:val="19"/>
                <w:szCs w:val="19"/>
                <w:color w:val="auto"/>
              </w:rPr>
            </w:pPr>
          </w:p>
        </w:tc>
      </w:tr>
      <w:tr>
        <w:trPr>
          <w:trHeight w:val="211"/>
        </w:trPr>
        <w:tc>
          <w:tcPr>
            <w:tcW w:w="69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r>
      <w:tr>
        <w:trPr>
          <w:trHeight w:val="191"/>
        </w:trPr>
        <w:tc>
          <w:tcPr>
            <w:tcW w:w="6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Pr>
          <w:p>
            <w:pPr>
              <w:spacing w:after="0"/>
              <w:rPr>
                <w:sz w:val="16"/>
                <w:szCs w:val="16"/>
                <w:color w:val="auto"/>
              </w:rPr>
            </w:pPr>
          </w:p>
        </w:tc>
      </w:tr>
      <w:tr>
        <w:trPr>
          <w:trHeight w:val="22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83,560</w:t>
            </w:r>
          </w:p>
        </w:tc>
      </w:tr>
      <w:tr>
        <w:trPr>
          <w:trHeight w:val="21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34,866</w:t>
            </w:r>
          </w:p>
        </w:tc>
      </w:tr>
      <w:tr>
        <w:trPr>
          <w:trHeight w:val="21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25,577</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34,289</w:t>
            </w:r>
          </w:p>
        </w:tc>
      </w:tr>
      <w:tr>
        <w:trPr>
          <w:trHeight w:val="237"/>
        </w:trPr>
        <w:tc>
          <w:tcPr>
            <w:tcW w:w="6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139,273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158,606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Includes amortization of acquired intangibles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2580" w:type="dxa"/>
            <w:vAlign w:val="bottom"/>
            <w:gridSpan w:val="4"/>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8"/>
                <w:szCs w:val="18"/>
                <w:color w:val="auto"/>
              </w:rPr>
            </w:pPr>
          </w:p>
        </w:tc>
      </w:tr>
      <w:tr>
        <w:trPr>
          <w:trHeight w:val="219"/>
        </w:trPr>
        <w:tc>
          <w:tcPr>
            <w:tcW w:w="72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Borders>
              <w:bottom w:val="single" w:sz="8" w:color="auto"/>
            </w:tcBorders>
          </w:tcPr>
          <w:p>
            <w:pPr>
              <w:spacing w:after="0"/>
              <w:rPr>
                <w:sz w:val="19"/>
                <w:szCs w:val="19"/>
                <w:color w:val="auto"/>
              </w:rPr>
            </w:pPr>
          </w:p>
        </w:tc>
      </w:tr>
      <w:tr>
        <w:trPr>
          <w:trHeight w:val="211"/>
        </w:trPr>
        <w:tc>
          <w:tcPr>
            <w:tcW w:w="7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191"/>
        </w:trPr>
        <w:tc>
          <w:tcPr>
            <w:tcW w:w="7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gridSpan w:val="3"/>
          </w:tcPr>
          <w:p>
            <w:pPr>
              <w:jc w:val="center"/>
              <w:ind w:right="339"/>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6"/>
                <w:szCs w:val="16"/>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11,457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12,137</w:t>
            </w:r>
          </w:p>
        </w:tc>
      </w:tr>
      <w:tr>
        <w:trPr>
          <w:trHeight w:val="209"/>
        </w:trPr>
        <w:tc>
          <w:tcPr>
            <w:tcW w:w="7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28,939</w:t>
            </w:r>
          </w:p>
        </w:tc>
      </w:tr>
      <w:tr>
        <w:trPr>
          <w:trHeight w:val="21"/>
        </w:trPr>
        <w:tc>
          <w:tcPr>
            <w:tcW w:w="7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our total revenue:</w:t>
      </w:r>
    </w:p>
    <w:p>
      <w:pPr>
        <w:spacing w:after="0" w:line="268" w:lineRule="exact"/>
        <w:rPr>
          <w:sz w:val="20"/>
          <w:szCs w:val="20"/>
          <w:color w:val="auto"/>
        </w:rPr>
      </w:pPr>
    </w:p>
    <w:tbl>
      <w:tblPr>
        <w:tblLayout w:type="fixed"/>
        <w:tblInd w:w="38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2760" w:type="dxa"/>
            <w:vAlign w:val="bottom"/>
            <w:gridSpan w:val="4"/>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8"/>
                <w:szCs w:val="18"/>
                <w:color w:val="auto"/>
              </w:rPr>
            </w:pPr>
          </w:p>
        </w:tc>
      </w:tr>
      <w:tr>
        <w:trPr>
          <w:trHeight w:val="219"/>
        </w:trPr>
        <w:tc>
          <w:tcPr>
            <w:tcW w:w="71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600" w:type="dxa"/>
            <w:vAlign w:val="bottom"/>
            <w:tcBorders>
              <w:bottom w:val="single" w:sz="8" w:color="auto"/>
            </w:tcBorders>
          </w:tcPr>
          <w:p>
            <w:pPr>
              <w:spacing w:after="0"/>
              <w:rPr>
                <w:sz w:val="19"/>
                <w:szCs w:val="19"/>
                <w:color w:val="auto"/>
              </w:rPr>
            </w:pPr>
          </w:p>
        </w:tc>
      </w:tr>
      <w:tr>
        <w:trPr>
          <w:trHeight w:val="209"/>
        </w:trPr>
        <w:tc>
          <w:tcPr>
            <w:tcW w:w="71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8"/>
                <w:szCs w:val="18"/>
                <w:color w:val="auto"/>
              </w:rPr>
            </w:pPr>
          </w:p>
        </w:tc>
      </w:tr>
      <w:tr>
        <w:trPr>
          <w:trHeight w:val="19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as a percentage of revenue: **</w:t>
            </w:r>
          </w:p>
        </w:tc>
        <w:tc>
          <w:tcPr>
            <w:tcW w:w="10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71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w:t>
            </w:r>
          </w:p>
        </w:tc>
      </w:tr>
      <w:tr>
        <w:trPr>
          <w:trHeight w:val="19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9"/>
        </w:trPr>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r>
      <w:tr>
        <w:trPr>
          <w:trHeight w:val="19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9"/>
        </w:trPr>
        <w:tc>
          <w:tcPr>
            <w:tcW w:w="8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 of losses from equity method investment</w:t>
            </w:r>
          </w:p>
        </w:tc>
        <w:tc>
          <w:tcPr>
            <w:tcW w:w="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1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60" w:type="dxa"/>
            <w:vAlign w:val="bottom"/>
          </w:tcPr>
          <w:p>
            <w:pPr>
              <w:spacing w:after="0"/>
              <w:rPr>
                <w:sz w:val="17"/>
                <w:szCs w:val="17"/>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
        </w:trPr>
        <w:tc>
          <w:tcPr>
            <w:tcW w:w="7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Less than 0.5% of revenue.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 Columns may not sum due to rounding.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191"/>
        </w:trPr>
        <w:tc>
          <w:tcPr>
            <w:tcW w:w="6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color w:val="auto"/>
              </w:rPr>
              <w:t>(Dollars in thousands)</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124,801</w:t>
            </w: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4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7"/>
        </w:trPr>
        <w:tc>
          <w:tcPr>
            <w:tcW w:w="6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Consolidated total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125,413</w:t>
            </w:r>
          </w:p>
        </w:tc>
        <w:tc>
          <w:tcPr>
            <w:tcW w:w="4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240" w:firstLine="486"/>
        <w:spacing w:after="0" w:line="220" w:lineRule="exact"/>
        <w:rPr>
          <w:sz w:val="20"/>
          <w:szCs w:val="20"/>
          <w:color w:val="auto"/>
        </w:rPr>
      </w:pPr>
      <w:r>
        <w:rPr>
          <w:rFonts w:ascii="Times New Roman" w:cs="Times New Roman" w:eastAsia="Times New Roman" w:hAnsi="Times New Roman"/>
          <w:sz w:val="18"/>
          <w:szCs w:val="18"/>
          <w:color w:val="auto"/>
        </w:rPr>
        <w:t>In the three months ended March 31, 2025, Communications revenue increased by $124.8 million, or 13%, compared to the same period last year. This increase was primarily attributable to the increased usage of our Communications products by our existing customers, as reflected in our Communications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Expansion Rate of 108%, as well as an increase of $50.9 million in revenue derived from our new Communications Active Customer Accounts.</w:t>
      </w:r>
    </w:p>
    <w:p>
      <w:pPr>
        <w:spacing w:after="0" w:line="20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2025, Segment revenue increased by $0.6 million, or 1%, compared to the same period last year. This increase was primarily attributable to an increase of $5.0 million in revenue derived from our new Segment Active Customer Accounts, partially offset by the decreased usage of our Segment products due to churn and contraction affecting our existing customers, as reflected in our Segment Dollar-Based Net Expansion Rate of 94%.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3"/>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590,896</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9"/>
              </w:rPr>
              <w:t>503,009</w:t>
            </w:r>
          </w:p>
        </w:tc>
        <w:tc>
          <w:tcPr>
            <w:tcW w:w="5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87,887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581,567</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9"/>
              </w:rPr>
              <w:t>544,041</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37,526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bl>
    <w:p>
      <w:pPr>
        <w:spacing w:after="0" w:line="28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cost of revenue increased by $87.9 million, or 17%, compared to the same period last year. The increase was primarily attributable to a $76.7 million increase in network service provider costs, net of the impact of hedging instruments.</w:t>
      </w:r>
    </w:p>
    <w:p>
      <w:pPr>
        <w:spacing w:after="0" w:line="16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gross profit increased by $37.5 million, or 7%, compared to the same period last year. This increase was attributable to the factors impacting our revenue and cost of revenue,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4"/>
        </w:trPr>
        <w:tc>
          <w:tcPr>
            <w:tcW w:w="6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r>
      <w:tr>
        <w:trPr>
          <w:trHeight w:val="191"/>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center"/>
              <w:ind w:right="59"/>
              <w:spacing w:after="0"/>
              <w:rPr>
                <w:sz w:val="20"/>
                <w:szCs w:val="20"/>
                <w:color w:val="auto"/>
              </w:rPr>
            </w:pPr>
            <w:r>
              <w:rPr>
                <w:rFonts w:ascii="Times New Roman" w:cs="Times New Roman" w:eastAsia="Times New Roman" w:hAnsi="Times New Roman"/>
                <w:sz w:val="14"/>
                <w:szCs w:val="14"/>
                <w:color w:val="auto"/>
              </w:rPr>
              <w:t>(Dollars in thousands)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9"/>
              </w:rPr>
              <w:t>260,457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left="261"/>
              <w:spacing w:after="0"/>
              <w:rPr>
                <w:sz w:val="20"/>
                <w:szCs w:val="20"/>
                <w:color w:val="auto"/>
              </w:rPr>
            </w:pPr>
            <w:r>
              <w:rPr>
                <w:rFonts w:ascii="Times New Roman" w:cs="Times New Roman" w:eastAsia="Times New Roman" w:hAnsi="Times New Roman"/>
                <w:sz w:val="16"/>
                <w:szCs w:val="16"/>
                <w:color w:val="auto"/>
                <w:w w:val="99"/>
              </w:rPr>
              <w:t>214,503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9"/>
              </w:rPr>
              <w:t>112,585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(20,508)</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9"/>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558,485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color w:val="auto"/>
                <w:w w:val="99"/>
              </w:rPr>
              <w:t>587,545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(29,060)</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research and development expenses decreased by $6.2 million, or 2%, compared to the same period last year. Fluctuations in the various research and development expense categories were not significant either individually or in the aggregate.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three months ended March 31, 2025, sales and marketing expenses decreased by $2.4 million, or 1%,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the various sales and marketing expense categories were not significant either individually or in the aggregate.</w:t>
      </w:r>
    </w:p>
    <w:p>
      <w:pPr>
        <w:spacing w:after="0" w:line="20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general and administrative expenses decreased by $20.5 million, or 18%, compared to the same period last year. The decrease was primarily attributable to an $8.7 million decrease in stock-based compensation expense, a $6.3 million decrease in professional services fees and a $3.8 million decrease in the provision for doubtful accounts.</w:t>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2300"/>
        <w:spacing w:after="0" w:line="308" w:lineRule="auto"/>
        <w:rPr>
          <w:sz w:val="20"/>
          <w:szCs w:val="20"/>
          <w:color w:val="auto"/>
        </w:rPr>
      </w:pPr>
      <w:r>
        <w:rPr>
          <w:rFonts w:ascii="Times New Roman" w:cs="Times New Roman" w:eastAsia="Times New Roman" w:hAnsi="Times New Roman"/>
          <w:sz w:val="16"/>
          <w:szCs w:val="16"/>
          <w:color w:val="auto"/>
        </w:rPr>
        <w:t>Share of losses from equity method investment Other income, net</w:t>
      </w:r>
    </w:p>
    <w:p>
      <w:pPr>
        <w:ind w:left="260"/>
        <w:spacing w:after="0"/>
        <w:rPr>
          <w:sz w:val="20"/>
          <w:szCs w:val="20"/>
          <w:color w:val="auto"/>
        </w:rPr>
      </w:pPr>
      <w:r>
        <w:rPr>
          <w:rFonts w:ascii="Times New Roman" w:cs="Times New Roman" w:eastAsia="Times New Roman" w:hAnsi="Times New Roman"/>
          <w:sz w:val="16"/>
          <w:szCs w:val="16"/>
          <w:color w:val="auto"/>
        </w:rPr>
        <w:t>Total other income (expenses),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Borders>
              <w:bottom w:val="single" w:sz="8" w:color="auto"/>
            </w:tcBorders>
          </w:tcPr>
          <w:p>
            <w:pPr>
              <w:spacing w:after="0"/>
              <w:rPr>
                <w:sz w:val="18"/>
                <w:szCs w:val="18"/>
                <w:color w:val="auto"/>
              </w:rPr>
            </w:pPr>
          </w:p>
        </w:tc>
      </w:tr>
      <w:tr>
        <w:trPr>
          <w:trHeight w:val="184"/>
        </w:trPr>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(Dollars in thousands)</w:t>
            </w:r>
          </w:p>
        </w:tc>
        <w:tc>
          <w:tcPr>
            <w:tcW w:w="760" w:type="dxa"/>
            <w:vAlign w:val="bottom"/>
          </w:tcPr>
          <w:p>
            <w:pPr>
              <w:spacing w:after="0"/>
              <w:rPr>
                <w:sz w:val="15"/>
                <w:szCs w:val="15"/>
                <w:color w:val="auto"/>
              </w:rPr>
            </w:pPr>
          </w:p>
        </w:tc>
      </w:tr>
      <w:tr>
        <w:trPr>
          <w:trHeight w:val="224"/>
        </w:trPr>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(19,471)</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10,104</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-453390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-179070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p>
      <w:pPr>
        <w:spacing w:after="0" w:line="9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other income (expenses), net, increased by $5.2 million, or 311%, compared to the same period last year. The increase was primarily attributable to a $10.1 million decrease in our share of losses from our equity method investment, partially offset by a $4.9 million decrease in other income, net, primarily related to the income earned on our debt securities.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of Operations</w:t>
      </w:r>
    </w:p>
    <w:p>
      <w:pPr>
        <w:spacing w:after="0" w:line="22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for non-GAAP income (loss) from operations, as reviewed by our CODM, for each of our Communications and Segment reportable segments for the three months ended March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6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9"/>
                <w:szCs w:val="19"/>
                <w:color w:val="auto"/>
              </w:rPr>
            </w:pPr>
          </w:p>
        </w:tc>
      </w:tr>
      <w:tr>
        <w:trPr>
          <w:trHeight w:val="189"/>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Twilio Communications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277,462</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249,010</w:t>
            </w:r>
          </w:p>
        </w:tc>
        <w:tc>
          <w:tcPr>
            <w:tcW w:w="6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28,452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Twilio Segment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(20,994)</w:t>
            </w:r>
          </w:p>
        </w:tc>
        <w:tc>
          <w:tcPr>
            <w:tcW w:w="600" w:type="dxa"/>
            <w:vAlign w:val="bottom"/>
          </w:tcPr>
          <w:p>
            <w:pPr>
              <w:spacing w:after="0"/>
              <w:rPr>
                <w:sz w:val="19"/>
                <w:szCs w:val="19"/>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19,476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bl>
    <w:p>
      <w:pPr>
        <w:spacing w:after="0" w:line="29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2025, Communications non-GAAP income from operations increased by $28.5 million, or 11%, compared to the same period last year. The increase was driven by an increase in Communications revenue of $124.8 million, as described in the Revenue section above, and was partially offset by a $76.7 million increase in network service provider costs, net of the impact of hedging instruments, a $13.4 million increase in hosting fees, and an $8.1 million increase in total personnel costs.</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2025, Segment non-GAAP loss from operations decreased by $19.5 million, or 93%, compared to the same period last year. The decrease was driven by a decrease in Segment operating expenses of $21.8 million primarily attributable to a decrease in total personnel costs and an increase in Segment revenue of $0.6 million, as described in the Revenue section above, partially offset by a $3.0 million increase in hosting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2025, we had cash and cash equivalents of $467.1 million and short-term marketable securities of $2.0 billion. Cash equivalents consist of money market funds, commercial paper and U.S. treasury bills. Short-term marketable securities consist primarily of U.S. treasury securities, non-U.S. government securities, high credit quality corporate debt securities and commercial paper. The cash and cash equivalents and short-term marketable securities are held for working capital purposes.</w:t>
      </w:r>
    </w:p>
    <w:p>
      <w:pPr>
        <w:spacing w:after="0" w:line="180" w:lineRule="exact"/>
        <w:rPr>
          <w:sz w:val="20"/>
          <w:szCs w:val="20"/>
          <w:color w:val="auto"/>
        </w:rPr>
      </w:pPr>
    </w:p>
    <w:p>
      <w:pPr>
        <w:ind w:right="100" w:firstLine="486"/>
        <w:spacing w:after="0" w:line="312" w:lineRule="auto"/>
        <w:rPr>
          <w:sz w:val="20"/>
          <w:szCs w:val="20"/>
          <w:color w:val="auto"/>
        </w:rPr>
      </w:pPr>
      <w:r>
        <w:rPr>
          <w:rFonts w:ascii="Times New Roman" w:cs="Times New Roman" w:eastAsia="Times New Roman" w:hAnsi="Times New Roman"/>
          <w:sz w:val="17"/>
          <w:szCs w:val="17"/>
          <w:color w:val="auto"/>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spacing w:after="0" w:line="14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9 and Note 11(a) to our condensed consolidated financial statements included elsewhere in this Quarterly Report on Form 10-Q for discussions of our obligations and commitments related to leases, debt and other purchase obligations.</w:t>
      </w:r>
    </w:p>
    <w:p>
      <w:pPr>
        <w:spacing w:after="0" w:line="18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spacing w:after="0" w:line="176"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w:t>
      </w:r>
    </w:p>
    <w:p>
      <w:pPr>
        <w:ind w:right="20"/>
        <w:spacing w:after="0" w:line="252" w:lineRule="auto"/>
        <w:rPr>
          <w:sz w:val="20"/>
          <w:szCs w:val="20"/>
          <w:color w:val="auto"/>
        </w:rPr>
      </w:pPr>
      <w:r>
        <w:rPr>
          <w:rFonts w:ascii="Times New Roman" w:cs="Times New Roman" w:eastAsia="Times New Roman" w:hAnsi="Times New Roman"/>
          <w:sz w:val="18"/>
          <w:szCs w:val="18"/>
          <w:color w:val="auto"/>
        </w:rPr>
        <w:t>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In January 2025, our board of directors authorized a share repurchase program to repurchase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spacing w:after="0" w:line="180"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we purchased $130.2 million in aggregate value, or 1.2 million shares, of our Class A common stock on the open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Notes and 2031 Notes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March 2021, we issued and sold $1.0 billion in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14 to our Annual Report on Form 10-K filed with the SEC on February 26,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r>
      <w:tr>
        <w:trPr>
          <w:trHeight w:val="211"/>
        </w:trPr>
        <w:tc>
          <w:tcPr>
            <w:tcW w:w="8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1"/>
        </w:trPr>
        <w:tc>
          <w:tcPr>
            <w:tcW w:w="8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Pr>
          <w:p>
            <w:pPr>
              <w:spacing w:after="0"/>
              <w:rPr>
                <w:sz w:val="16"/>
                <w:szCs w:val="16"/>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190,123</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provided by investing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189,770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(363,229)</w:t>
            </w:r>
          </w:p>
        </w:tc>
      </w:tr>
      <w:tr>
        <w:trPr>
          <w:trHeight w:val="210"/>
        </w:trPr>
        <w:tc>
          <w:tcPr>
            <w:tcW w:w="8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46,108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16,664</w:t>
            </w:r>
          </w:p>
        </w:tc>
      </w:tr>
      <w:tr>
        <w:trPr>
          <w:trHeight w:val="20"/>
        </w:trPr>
        <w:tc>
          <w:tcPr>
            <w:tcW w:w="8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In the three months ended March 31, 2025, cash provided by operating activities consisted primarily of our net income of $20.0 million adjusted for non-cash items, including $139.3 million of stock-based compensation expense, $49.6 million of depreciation and amortization expense, $19.5 million of our share of losses from an equity method investment, $19.3 million of amortization of deferred commissions, $5.2 million of non-cash reduction in our operating right-of-use asset, and $65.7 million of cumulative changes in operating assets and liabilities. With respect to changes in operating assets and liabilities, accounts receivable and prepaid expenses decreased $42.0 million primarily due to timing of cash receipts and prepayments of certain operating expenses. Accounts payable and other current liabilities decreased $86.4 million primarily driven by the payment of the 2024 company-wide bonus in the three months ended March 31, 2025. Operating lease liabilities decreased $10.3 million due to payments made against our operating lease obligations.</w:t>
      </w:r>
    </w:p>
    <w:p>
      <w:pPr>
        <w:spacing w:after="0" w:line="17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2024, cash provided by operating activities consisted primarily of our net loss of $55.3 million adjusted for non-cash items, including $158.6 million of stock-based compensation expense, $53.3 million of depreciation and amortization expense, $18.8 million of amortization of deferred commissions, $29.6 million of share of losses from equity method investments and $25.1 million of cumulative changes in operating assets and liabilities. With respect to changes in operating assets and liabilities, accounts receivable and prepaid expenses decreased $32.5 million primarily due to timing of cash receipts and pre-payments of certain operating expenses. Accounts payable and other current liabilities decreased $50.2 million primarily driven by timing of payments to vendors.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cash used in investing activities was $19.1 million consisting of $11.6 million related to capitalized software development costs, $6.4 million of purchases of marketable securities and other investments, net of proceeds from sales and maturities of marketable securities, and $1.2 million related to purchases of long-lived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2024, cash provided by investing activities was $189.8 million, primarily consisting of $202.6 million of maturities and sales of marketable securities, net of purchases, partially offset by $11.2 million related to capitalized software development costs and $1.7 million related to purchases of long-lived assets.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cash used in financing activities was $125.8 million primarily consisting of $126.3 million of cash paid to repurchase 1.2 million shares of our Class A common stock in the open market, including related costs.</w:t>
      </w:r>
    </w:p>
    <w:p>
      <w:pPr>
        <w:spacing w:after="0" w:line="16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cash used in financing activities was $363.2 million, primarily consisting of $356.9 million of cash paid to repurchase 6.1 million shares of our Class A common stock in the open market, including 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as described in our Annual Report on Form 10-K filed with the SEC on February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Refer to Note 2 to the unaudited condensed consolidated financial statements included elsewhere in this Quarterly Report on Form 10-Q for a discussion of recent accounting pronouncements not yet adopted.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spacing w:after="0" w:line="183"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including sensitivities as follows: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486"/>
        <w:spacing w:after="0" w:line="218" w:lineRule="exact"/>
        <w:rPr>
          <w:sz w:val="20"/>
          <w:szCs w:val="20"/>
          <w:color w:val="auto"/>
        </w:rPr>
      </w:pPr>
      <w:r>
        <w:rPr>
          <w:rFonts w:ascii="Times New Roman" w:cs="Times New Roman" w:eastAsia="Times New Roman" w:hAnsi="Times New Roman"/>
          <w:sz w:val="18"/>
          <w:szCs w:val="18"/>
          <w:color w:val="auto"/>
        </w:rPr>
        <w:t>We had cash and cash equivalents of $467.1 million and marketable securities of $2.0 billion as of March 31, 2025. In any given period, cash, cash equivalents and restricted cash may consist of bank deposits, money market funds, reverse repurchase agreements, commercial paper and U.S. Treasury bills. Marketable securities consist primarily of U.S. treasury securities, non-U.S. government securities, high credit quality corporate debt securities and commercial paper. The cash and cash equivalents and marketable securities are held for working capital purposes. Such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Risks</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condensed consolidated statements of operations included elsewhere in this Quarterly Report on Form 10-Q.</w:t>
      </w:r>
    </w:p>
    <w:p>
      <w:pPr>
        <w:spacing w:after="0" w:line="18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enter into foreign currency derivative hedging transactions to mitigate our exposure to market risks that may result from changes in foreign currency exchange rates. For further information, refer to Note 6 to our unaudited condensed consolidated financial statements included elsewhere in this Quarterly Report on Form 10-Q.</w:t>
      </w:r>
    </w:p>
    <w:p>
      <w:pPr>
        <w:spacing w:after="0" w:line="176"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 hypothetical 10% change in foreign exchange rates during any of the periods presented would not have had a material impact on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880" w:hanging="386"/>
        <w:spacing w:after="0"/>
        <w:tabs>
          <w:tab w:leader="none" w:pos="8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7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 13a-15(d) and 15d-15(d) of the Exchange Act that occurred during the three months ended March 31, 2025, that materially affected, or are reasonably likely to materially affect, our internal control over financial reporting.</w:t>
      </w:r>
    </w:p>
    <w:p>
      <w:pPr>
        <w:spacing w:after="0" w:line="226"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Inherent Limitations on Effectiveness of Controls</w:t>
      </w:r>
    </w:p>
    <w:p>
      <w:pPr>
        <w:spacing w:after="0" w:line="270" w:lineRule="exact"/>
        <w:rPr>
          <w:sz w:val="20"/>
          <w:szCs w:val="20"/>
          <w:color w:val="auto"/>
        </w:rPr>
      </w:pPr>
    </w:p>
    <w:p>
      <w:pPr>
        <w:ind w:right="120" w:firstLine="486"/>
        <w:spacing w:after="0" w:line="222" w:lineRule="exact"/>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control system, misstatements due to error or fraud may occur and not be detected.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Refer to Note 11(b) to our unaudited condensed consolidated financial statements included elsewhere in this Quarterly Report on Form 10-Q for a description of our current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business, results of operations, and financial condition to be harmed, including risks regarding the following: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Industry</w:t>
      </w:r>
    </w:p>
    <w:p>
      <w:pPr>
        <w:spacing w:after="0" w:line="6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global economic and political conditions, including macroeconomic and political uncertainties;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our quarterly results and our ability to meet securities analysts’ and investors’ expectations;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the levels of our customers’ usage of our platform;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new customers and increase usage of our products by existing customers effectively and in a cost-efficient manner;</w:t>
      </w:r>
    </w:p>
    <w:p>
      <w:pPr>
        <w:spacing w:after="0" w:line="63" w:lineRule="exact"/>
        <w:rPr>
          <w:rFonts w:ascii="Times New Roman" w:cs="Times New Roman" w:eastAsia="Times New Roman" w:hAnsi="Times New Roman"/>
          <w:sz w:val="18"/>
          <w:szCs w:val="18"/>
          <w:i w:val="1"/>
          <w:iCs w:val="1"/>
          <w:color w:val="auto"/>
        </w:rPr>
      </w:pPr>
    </w:p>
    <w:p>
      <w:pPr>
        <w:ind w:left="660" w:right="580" w:hanging="328"/>
        <w:spacing w:after="0" w:line="281" w:lineRule="auto"/>
        <w:tabs>
          <w:tab w:leader="none" w:pos="655"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develop new products and enhancements that achieve market acceptance and adapt to changing technology, regulations, and industry standards;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our products with third-party products and ensure they operate effectively;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effectively manage our growth and strategic changes to our business;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effectively in intensely competitive markets;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evolution of the markets for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history of losses and uncertainty about our future profitability;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hire, integrate and retain highly skilled personnel;</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and enhance our brand and increase market awareness of our company and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disruptions or deterioration in quality of service and connectivity by third-party service providers;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set optimal prices for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international operations;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and achieve the expected benefits of acquisitions, partnerships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Cybersecurity, Data Privacy and Intellectual Property</w:t>
      </w:r>
    </w:p>
    <w:p>
      <w:pPr>
        <w:spacing w:after="0" w:line="6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breaches of or incidents impacting our networks or systems, or those of our third-party service providers;</w:t>
      </w:r>
    </w:p>
    <w:p>
      <w:pPr>
        <w:spacing w:after="0" w:line="63" w:lineRule="exact"/>
        <w:rPr>
          <w:rFonts w:ascii="Times New Roman" w:cs="Times New Roman" w:eastAsia="Times New Roman" w:hAnsi="Times New Roman"/>
          <w:sz w:val="18"/>
          <w:szCs w:val="18"/>
          <w:i w:val="1"/>
          <w:iCs w:val="1"/>
          <w:color w:val="auto"/>
        </w:rPr>
      </w:pPr>
    </w:p>
    <w:p>
      <w:pPr>
        <w:ind w:left="660" w:right="40" w:hanging="328"/>
        <w:spacing w:after="0" w:line="28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actual or perceived failure to comply with increasingly stringent laws, regulations and obligations relating to privacy, data protection and cybersecurity;</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protect our intellectual property rights;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open source software;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technology and intellectual property;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use of AI technologies in our platform and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Legal and Regulatory Matters</w:t>
      </w:r>
    </w:p>
    <w:p>
      <w:pPr>
        <w:spacing w:after="0" w:line="6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telecommunications-related regulations, and the impact of future legislative or regulatory actions;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assign or retain geographical, mobile, regional, local or toll-free numbers and to effectively process requests to port such numbers in a timely manner due to industry regulations;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federal and state legislation and international laws imposing obligations on the senders of commercial emails;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unwanted, fraudulent or illegal usage of or activity relating to our products;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and regulations related to the internet or its infrastructure;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laws and regulations, including export controls, economic sanctions, customs and anti-corruption regulations;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standards imposed by private entities and inbox service providers that interfere with the effectiveness of our platform;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legal proceedings or claims against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Financial and Accounting Matters</w:t>
      </w:r>
    </w:p>
    <w:p>
      <w:pPr>
        <w:spacing w:after="0" w:line="6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exposure to foreign currency exchange rate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substantial indebtedness that may decrease our business flexibility;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additional capital to support our business and its availability on acceptable terms;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metrics, and assumptions and estimates used to calculate them;</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accuracy of our estimates and judgments related to our critical accounting policies;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standards that may cause adverse financial reporting fluctuations;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our goodwill or intangible assets could become impaired;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maintain an effective system of disclosure controls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Tax Matters</w:t>
      </w:r>
    </w:p>
    <w:p>
      <w:pPr>
        <w:spacing w:after="0" w:line="6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use our net operating losses and certain other tax attributes to offset future taxable income and taxes;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additional tax liabilities or potentially adverse tax consequences of our global operations and structure;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rules and regulations;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Ownership of Our Common Stock</w:t>
      </w:r>
    </w:p>
    <w:p>
      <w:pPr>
        <w:spacing w:after="0" w:line="6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of the trading price of our common stock;</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decline in the market price of our common stock due to substantial future sales of shares;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not realize the anticipated long-term stockholder value of our share repurchase programs;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securities or industry analysts changing their recommendations regarding our common stock;</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anti-takeover provisions contained in our governing documents and the exclusive forum provision in our bylaws;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6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occurrence of natural catastrophic events and other events beyond our control; and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environmental, social and governance (“ESG”) matters.</w:t>
      </w:r>
    </w:p>
    <w:p>
      <w:pPr>
        <w:sectPr>
          <w:pgSz w:w="11900" w:h="16838" w:orient="portrait"/>
          <w:cols w:equalWidth="0" w:num="1">
            <w:col w:w="10940"/>
          </w:cols>
          <w:pgMar w:left="320" w:top="121" w:right="6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macroeconomic and political uncertainties, have had, and may continue to have, an adverse impact on our business, results of operations and financial condition.</w:t>
      </w:r>
    </w:p>
    <w:p>
      <w:pPr>
        <w:spacing w:after="0" w:line="145" w:lineRule="exact"/>
        <w:rPr>
          <w:sz w:val="20"/>
          <w:szCs w:val="20"/>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market volatility, changes in international economic and trade relations, supply chain disruptions, changes in the labor market,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and changes and uncertainty with respect to trade policies, actual or threatened tariffs, treaties, government regulations, executive orders, directives and enforcement priorities could have an adverse effect on the global economy and/or our business. Given that a majority of our revenue is usage-based and therefore impacted by general consumer sentiment and activity, our business may be more immediately and severely impacted by adverse macroeconomic conditions than those that rely primarily on subscription revenue. Additionally, increased prices resulting from the effects of tariffs and inflation could increase our operating expenses.</w:t>
      </w:r>
    </w:p>
    <w:p>
      <w:pPr>
        <w:spacing w:after="0" w:line="20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 For example, uncertainty regarding the impact of tariffs on certain countries by the U.S. administration, as well as potential or actual retaliatory measures taken by trade partners, have adversely affected trade relations, put increased pressure on supply chains, and led to increased market volatility, and such effects may continue. Any resulting harm to our customers’ businesses could depress their usage levels and/or purchasing power and lead them to reduce their spending with us.</w:t>
      </w:r>
    </w:p>
    <w:p>
      <w:pPr>
        <w:spacing w:after="0" w:line="18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If customers fail to pay us as a result of adverse macroeconomic or geopolitical conditions or otherwise, we may be required to take steps to enforce the terms of our contracts and collect amounts due, which may not succeed. For example, in 2023, one of our customers in Brazil initiated reorganization proceedings exposing us to risks on collections of pre-petition receivables and ongoing revenue, and in 2024 its creditors approved a reorganization plan providing extended and discounted payment terms for pre-petition receivables. As a result of a reduction in ongoing payment activity from this customer, as of December 31, 2024, we fully reserved accounts receivable balances for this customer.</w:t>
      </w:r>
    </w:p>
    <w:p>
      <w:pPr>
        <w:spacing w:after="0" w:line="18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Macroeconomic and political conditions and uncertainties have in the past and may in the future adversely affect our business, results of operations and financial condition, and exacerbate many of the other risks described in this “Risk Factors” section.</w:t>
      </w:r>
    </w:p>
    <w:p>
      <w:pPr>
        <w:spacing w:after="0" w:line="158"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common stock to decline.</w:t>
      </w:r>
    </w:p>
    <w:p>
      <w:pPr>
        <w:spacing w:after="0" w:line="145" w:lineRule="exact"/>
        <w:rPr>
          <w:sz w:val="20"/>
          <w:szCs w:val="20"/>
          <w:color w:val="auto"/>
        </w:rPr>
      </w:pPr>
    </w:p>
    <w:p>
      <w:pPr>
        <w:jc w:val="both"/>
        <w:ind w:right="20" w:firstLine="486"/>
        <w:spacing w:after="0" w:line="245" w:lineRule="auto"/>
        <w:rPr>
          <w:sz w:val="20"/>
          <w:szCs w:val="20"/>
          <w:color w:val="auto"/>
        </w:rPr>
      </w:pPr>
      <w:r>
        <w:rPr>
          <w:rFonts w:ascii="Times New Roman" w:cs="Times New Roman" w:eastAsia="Times New Roman" w:hAnsi="Times New Roman"/>
          <w:sz w:val="18"/>
          <w:szCs w:val="18"/>
          <w:color w:val="auto"/>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 other risks described in this “Risk Factors” section, some of the factors that may result in fluctuations to our results of operations include:</w:t>
      </w:r>
    </w:p>
    <w:p>
      <w:pPr>
        <w:spacing w:after="0" w:line="194"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pricing of, or usage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features and enhancements;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customers, obtain renewals from existing customers and cross-sell or otherwise increase revenue from existing customers;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automate, and leverage more of our self-service capabilities for customers;</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relationships with resellers, distributors, and strategic partners, including ISVs, technology partners, and systems integrators;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customer base and the markets that our products address;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combine our communications products with contextual data and AI and introduce compelling new products and enhancements that address the changing nature of our markets and customer needs and preferences;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the actions of our competitors, including pricing changes and the introduction of new technologies, products, services and geographies;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or incidents impacting our platform, or interruptions to the delivery and use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cloud infrastructure, network services and other third-party technology, including the fees charged by their providers;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the productivity of our sales 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complexity of the sales cycle for certain of our products or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that our customers use during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trends, including due to increased consumer activity in the fourth quarter;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or amount of products sold in the United States versus internationally;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operations and expansion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our ability to collect accounts receivable from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existing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mergers, acquisitions, dispositions, or other strategic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our ability to effectively hedge our foreign currency exposure;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and regulations that affect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the jurisdictions in which we conduct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heightened inflation or interest rates, and geopolitical uncertainty or instability.</w:t>
      </w:r>
    </w:p>
    <w:p>
      <w:pPr>
        <w:spacing w:after="0" w:line="239"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terminate or reduce their usage of our products, our business, results of operations and financial condition would be adversely affected.</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w:t>
      </w:r>
    </w:p>
    <w:p>
      <w:pPr>
        <w:spacing w:after="0" w:line="187" w:lineRule="exact"/>
        <w:rPr>
          <w:sz w:val="20"/>
          <w:szCs w:val="20"/>
          <w:color w:val="auto"/>
        </w:rPr>
      </w:pPr>
    </w:p>
    <w:p>
      <w:pPr>
        <w:ind w:right="220" w:firstLine="486"/>
        <w:spacing w:after="0" w:line="255" w:lineRule="auto"/>
        <w:rPr>
          <w:sz w:val="20"/>
          <w:szCs w:val="20"/>
          <w:color w:val="auto"/>
        </w:rPr>
      </w:pPr>
      <w:r>
        <w:rPr>
          <w:rFonts w:ascii="Times New Roman" w:cs="Times New Roman" w:eastAsia="Times New Roman" w:hAnsi="Times New Roman"/>
          <w:sz w:val="18"/>
          <w:szCs w:val="18"/>
          <w:color w:val="auto"/>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cloud communications platform have impacted our customers’ ability to use products on our platform for up to several hours at a time. Issues with our products have had, and in the future may have, an adverse impact on customer satisfaction and our ability to retain or attract customers and have caused, and may in the future cause, us to incur certain costs associated with offering credits to our affected customers.</w:t>
      </w:r>
    </w:p>
    <w:p>
      <w:pPr>
        <w:spacing w:after="0" w:line="189"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spacing w:after="0" w:line="19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spacing w:after="0" w:line="179"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increase usage of our products by existing customers effectively and in a cost-efficient manner, our business, results of operations and financial condition would be adversely affected.</w:t>
      </w:r>
    </w:p>
    <w:p>
      <w:pPr>
        <w:spacing w:after="0" w:line="145"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To grow our business, we must continue to attract new customers, increase usage of our existing products and new product adoption by existing customers, and successfully market new products, including products with higher gross margins, in a cost-effective manner. Our sales and marketing teams work closely together to drive awareness and adoption of our platform. We leverage our brand, marketing programs, developer network and conferences, such as SIGNAL, to expand our go-to-market motions. Our go-to-market model has three motions: our self-service platform, primarily aimed at developers, marketers, and other technical users; our direct sales motion, primarily aimed at enterprise and commercial customers; and our partner-led motion, including resellers, distributors, and strategic partners, such as ISVs, technology partners and systems integrators, which is primarily aimed at customers who do not have the available developer resources to build their own applications.</w:t>
      </w:r>
    </w:p>
    <w:p>
      <w:pPr>
        <w:spacing w:after="0" w:line="198"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18"/>
          <w:szCs w:val="18"/>
          <w:color w:val="auto"/>
        </w:rPr>
        <w:t>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in recent years, we have reduced the size of our sales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force to drive further efficiencies in our sales operations and are continuing to improve and rely more heavily on our use of self-service capabilities to drive sales of our products to customers that do not require direct account coverage. We are also introducing AI and automation in our self-service platform aimed at improving sales and customer support. These efforts may not continue to be as effective as we anticipate in driving adoption or increased usage of our products, or may take longer than we expect to drive growth. In addition, if the costs of the marketing channels we use increase, then we may choose to use alternative or less expensive channels, which may not be as effective as the channels we currently use.</w:t>
      </w:r>
    </w:p>
    <w:p>
      <w:pPr>
        <w:spacing w:after="0" w:line="212"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New products that we develop or markets that we pursue may require increasingly sophisticated and more costly sales efforts and result in longer sales cycles. For example, we are focusing increasingly on sales to enterprises, such as through our Segment product, which is primarily aimed at complex customer data platform implementations at larger companies, and additional product innovations combining our communications products with contextual data and AI. As we seek to increase the adoption of our products by enterprises, we expect to encounter higher costs and more complex sales efforts for these customers.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spacing w:after="0" w:line="218" w:lineRule="exact"/>
        <w:rPr>
          <w:sz w:val="20"/>
          <w:szCs w:val="20"/>
          <w:color w:val="auto"/>
        </w:rPr>
      </w:pPr>
    </w:p>
    <w:p>
      <w:pPr>
        <w:jc w:val="both"/>
        <w:ind w:right="580" w:firstLine="486"/>
        <w:spacing w:after="0" w:line="296" w:lineRule="auto"/>
        <w:rPr>
          <w:sz w:val="20"/>
          <w:szCs w:val="20"/>
          <w:color w:val="auto"/>
        </w:rPr>
      </w:pPr>
      <w:r>
        <w:rPr>
          <w:rFonts w:ascii="Times New Roman" w:cs="Times New Roman" w:eastAsia="Times New Roman" w:hAnsi="Times New Roman"/>
          <w:sz w:val="17"/>
          <w:szCs w:val="17"/>
          <w:color w:val="auto"/>
        </w:rPr>
        <w:t>If our efforts to increase the adoption and usage of our products or sell additional products to existing customers are more expensive or time-consuming than we expect or are otherwise ineffective, then our business, results of operations and financial condition would be adversely affected.</w:t>
      </w:r>
    </w:p>
    <w:p>
      <w:pPr>
        <w:spacing w:after="0" w:line="148" w:lineRule="exact"/>
        <w:rPr>
          <w:sz w:val="20"/>
          <w:szCs w:val="20"/>
          <w:color w:val="auto"/>
        </w:rPr>
      </w:pPr>
    </w:p>
    <w:p>
      <w:pPr>
        <w:ind w:righ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or product enhancements that achieve market acceptance, or adapt and respond effectively to rapidly changing technology, regulations, industry standards, or customer needs and preferences.</w:t>
      </w:r>
    </w:p>
    <w:p>
      <w:pPr>
        <w:spacing w:after="0" w:line="159"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products and to introduce compelling new products and enhancements that reflect the changing nature of our markets, technology, industry standards, and customer needs and preferences. Anticipating these factors requires that we allocate significant resources without any guarantee that our investments of these resources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in order to address evolving customer needs and expectations.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spacing w:after="0" w:line="197"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spacing w:after="0" w:line="172" w:lineRule="exact"/>
        <w:rPr>
          <w:sz w:val="20"/>
          <w:szCs w:val="20"/>
          <w:color w:val="auto"/>
        </w:rPr>
      </w:pPr>
    </w:p>
    <w:p>
      <w:pPr>
        <w:ind w:right="5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depends, in part, on our ability to integrate them with third-party products used by us or our customers and to ensure that they operate effectively with evolving platforms and technologies.</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last year we launched a new channel using Rich Communication Services (“RCS”) and we are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working on a channel for Apple Messages for Business. We are also focused on Segment’s interoperability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86" w:lineRule="exact"/>
        <w:rPr>
          <w:sz w:val="20"/>
          <w:szCs w:val="20"/>
          <w:color w:val="auto"/>
        </w:rPr>
      </w:pPr>
    </w:p>
    <w:p>
      <w:pPr>
        <w:ind w:right="6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strategic changes to our business, then our business, results of operations and financial condition could be adversely affected.</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w:t>
      </w:r>
    </w:p>
    <w:p>
      <w:pPr>
        <w:spacing w:after="0" w:line="214"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179" w:lineRule="exact"/>
        <w:rPr>
          <w:sz w:val="20"/>
          <w:szCs w:val="20"/>
          <w:color w:val="auto"/>
        </w:rPr>
      </w:pPr>
    </w:p>
    <w:p>
      <w:pPr>
        <w:ind w:right="4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if we do not compete effectively, our business, results of operations and financial condition could be harmed.</w:t>
      </w:r>
    </w:p>
    <w:p>
      <w:pPr>
        <w:spacing w:after="0" w:line="15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current and prospective markets for our products are rapidly evolving, significantly fragmented and highly competitive, with relatively low barriers to entry in some segments.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Our competitors are primarily (i) CPaaS companies that offer communications products and applications, (ii) other software companies that compete with portions of our communications product line, (iii) regional network service providers that offer limited developer functionality on top of their own physical infrastructure, (iv) customer relationship management and customer experience vendors and (v) standalone customer data platform vendors.</w:t>
      </w:r>
    </w:p>
    <w:p>
      <w:pPr>
        <w:spacing w:after="0" w:line="19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w:t>
      </w:r>
    </w:p>
    <w:p>
      <w:pPr>
        <w:spacing w:after="0" w:line="187"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also depends,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products continue to evolve and may decline or experience limited growth.</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customers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and to enter into new markets. Our ability to do so depends upon a number of factors, including the cost, performance and perceived value associated with our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grow or demand for our products decreases, then our business, results of operations and financial condition could be adversely affected.</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or sustain profitability in the future.</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including net losses of $109.4 million and $1.0 billion in the years ended December 31, 2024 and 2023, respectively. In addition, while we have experienced revenue growth in prior periods, it is not indicative of future revenue growth, and our revenue and revenue growth for any quarterly or annual period should not be relied upon as an indication of our future revenue or revenue growth for any future period. If we are unable to generate and sustain increased revenue levels and manage our operating expenses, we may not become profitable and achieve our stated profitability goals and, even if we do, we may not be able to maintain or increase our level of profitability.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achieving and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w:t>
      </w:r>
    </w:p>
    <w:p>
      <w:pPr>
        <w:spacing w:after="0" w:line="1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spacing w:after="0" w:line="18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w:t>
      </w:r>
    </w:p>
    <w:p>
      <w:pPr>
        <w:spacing w:after="0" w:line="183"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83"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spacing w:after="0" w:line="175"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We currently interconnect with fixed and mobile network service providers around the world to enable our customers to use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w:t>
      </w:r>
    </w:p>
    <w:p>
      <w:pPr>
        <w:spacing w:after="0" w:line="18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For example, in recent years, multiple major U.S. mobile carriers have introduced A2P SMS service offerings that added a new fee for A2P SMS messages delivered to their respective subscribers, and, from time to time, other U.S. mobile carriers have added similar fees.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We typically do not change our customers’ pricing as rapidly and, as a result, such fee increases could adversely affect our business and results of operations. In addition, passing these fees through to our customers typically has the effect of increasing our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9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such problems have in the past caused, and may in the future cause, errors, service outages, security incidents, or poor-quality communications on our products, and we could encounter difficulty identifying the source of the problem. The occurrence of errors, service outages, security incidents,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Failure to set optimal prices for our products could adversely impact our business, results of operations and financial condition.</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differ across countries,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inherent in global operations.</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2025 and the years ended December 31, 2024 and 2023, we derived 36%, 35%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5" w:lineRule="exact"/>
        <w:rPr>
          <w:sz w:val="20"/>
          <w:szCs w:val="20"/>
          <w:color w:val="auto"/>
        </w:rPr>
      </w:pPr>
    </w:p>
    <w:p>
      <w:pPr>
        <w:ind w:left="980" w:hanging="324"/>
        <w:spacing w:after="0" w:line="261"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global competition affecting our ability to effectively price our products in competitive international markets;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customs and industry standards in countries and other regions in which we operate or do business, and the associated costs and management attention required to support such compliance, including with respect to data privacy, data protection, data localization, cybersecurity, intellectual property rights, environmental and sustainability matters, as well as export controls, sanctions, anti-bribery and anti-corruption matters;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and trade policies, tariffs, and other non-tariff barriers;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U.S. dollars;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2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spacing w:after="0" w:line="176"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59"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acquisitions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spacing w:after="0" w:line="189"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the acquired businesses’ corporate functions with our corporate functions;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75"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agreements with customers, distributors, providers, talent and vendors and avoiding delays in entering into new agreements with prospective customers, distributors, providers, talent and vendors;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and how to address possible differences in corporate cultures and management philosophies;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product, compliance, administrative and IT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and technology that allow value to be unlocked in the future;</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 nonrecurring costs to integrate our operations with those of acquired businesses, including the costs to maintain employee morale and retain key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forecasting the financial impact of such acquisitions, partnerships and investments, including accounting charges;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potential actions that may be required in connection with obtaining regulatory approvals.</w:t>
      </w:r>
    </w:p>
    <w:p>
      <w:pPr>
        <w:spacing w:after="0" w:line="22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also divest or stop investing in certain businesses or products. For example, in 2023 we divested our Internet of Things and ValueFirst businesses, and in 2024 we wound down the software component of our Zipwhip business.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Intellectual Property</w:t>
      </w:r>
    </w:p>
    <w:p>
      <w:pPr>
        <w:spacing w:after="0" w:line="225" w:lineRule="exact"/>
        <w:rPr>
          <w:sz w:val="20"/>
          <w:szCs w:val="20"/>
          <w:color w:val="auto"/>
        </w:rPr>
      </w:pPr>
    </w:p>
    <w:p>
      <w:pPr>
        <w:ind w:right="2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Breaches of or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18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will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or service provider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w:t>
      </w:r>
    </w:p>
    <w:p>
      <w:pPr>
        <w:spacing w:after="0" w:line="189" w:lineRule="exact"/>
        <w:rPr>
          <w:sz w:val="20"/>
          <w:szCs w:val="20"/>
          <w:color w:val="auto"/>
        </w:rPr>
      </w:pPr>
    </w:p>
    <w:p>
      <w:pPr>
        <w:ind w:right="20" w:firstLine="486"/>
        <w:spacing w:after="0" w:line="268" w:lineRule="auto"/>
        <w:rPr>
          <w:sz w:val="20"/>
          <w:szCs w:val="20"/>
          <w:color w:val="auto"/>
        </w:rPr>
      </w:pPr>
      <w:r>
        <w:rPr>
          <w:rFonts w:ascii="Times New Roman" w:cs="Times New Roman" w:eastAsia="Times New Roman" w:hAnsi="Times New Roman"/>
          <w:sz w:val="17"/>
          <w:szCs w:val="17"/>
          <w:color w:val="auto"/>
        </w:rPr>
        <w:t>Individuals or entities have in the past attempted and will in the future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magnitude, and cloud-based companies have been targeted in the past. In addition to threats from traditional computer hackers, malicious code, software vulnerabilities, supply chain attacks and vulnerabilities through our third-party partners, employee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cloud services), internal networks, our customers’ systems, our service providers’ networks,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Geopolitical tensions and events may further heighten risks we and our service providers face from these and other attacks. Because the techniques used to access, disrupt or sabotage devices, systems and networks change frequently and may not be recognized until launched against a target, we expect to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w:t>
      </w:r>
    </w:p>
    <w:p>
      <w:pPr>
        <w:spacing w:after="0" w:line="1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have deployed, and continue to develop and incorporate, AI solutions and features into our platform and our business, which may result in security incidents or otherwise increase cybersecurity risks. Further, AI technologies may be used in connection with certain cybersecurity attacks, resulting in heightened risks of security breaches and incidents. Any security incidents, including internal malfeasance or inadvertent disclosures by our employees or a third-party’s fraudulent inducement of our employees to disclose information, unauthorized access or usage, the introduction of viruses or other malicious code or any other breach or incident or disruption of our platform, systems, or networks or those of our service providers, could result in loss, corruption,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mobile phone numbers from unknown sources. The attack identified in August 2022,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took steps to remediate the incident, including enhancing our security training, improving our two factor authentication requirements, implementing additional layers of control within our VPN, reducing access to certain internal applications and tools, running simulated phishing attempts to increase employee security awareness, and increasing the refresh frequency for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access to certain internal applications. Industry reports indicate that the threat actors also attacked other technology, telecommunication and cryptocurrency companies.</w:t>
      </w:r>
    </w:p>
    <w:p>
      <w:pPr>
        <w:spacing w:after="0" w:line="16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also rely on various third-party service providers to operate our platform and deliver our products, including network service providers, internet service providers, telecommunications carriers, and providers of cloud infrastructure and cloud communications, as well as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then our reputation, customer trust, business, results of operations and financial condition could be adversely affected.</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Furthermore, we are required to comply with laws and regulations that require us to maintain security measures designed to protect personal information and we may have contractual and other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experiences a security incident or is perceived to have experienced a security incident, we may experience adverse consequences. Consequences associated with such security incidents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our third-party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spacing w:after="0" w:line="18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72" w:lineRule="exact"/>
        <w:rPr>
          <w:sz w:val="20"/>
          <w:szCs w:val="20"/>
          <w:color w:val="auto"/>
        </w:rPr>
      </w:pPr>
    </w:p>
    <w:p>
      <w:pPr>
        <w:ind w:right="4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and our customers are subject to numerous domestic (for example, the California Consumer Privacy Act (“CCPA”)) and foreign (for example, the General Data Protection Regulation (“GDPR”) in the European Union (“EU”)) privacy, data protection and cybersecurity laws and regulations that restrict the collection, use, disclosure and processing of personal information, including financial and health data. These laws and regulations are expanding globally, evolving, and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against the requirements of the GDPR.</w:t>
      </w:r>
    </w:p>
    <w:p>
      <w:pPr>
        <w:spacing w:after="0" w:line="187"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Similar laws have been enacted in 20 other states with 13 laws currently in effect and the remainder becoming effective later in 2025 and 2026. Numerous other states, and the U.S. federal government, also have proposed general privacy legislation. Additionally, other states have proposed, and in certain cases enacted, other laws and regulations addressing privacy and cybersecurity, such as Washington’s My Health, My Data Act, which includes a private right of action. If we become subject to new privacy, data protection or cybersecurity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privacy, data protection and cybersecurity. For example, the GDPR, the United Kingdom’s General Data Protection Regulation and Data Protection Act 2018 (“UK GDPR”) and the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and data protection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the GDPR. Additionally, we expect an increase in regulation of the use of AI and ML in products and services. For example, in Europe, the Artificial Intelligence Act, once effective, will impose onerous obligations related to the development, placement on the market and use of AI-related systems. In the United States, numerous states have established study commissions that could lead to regulation of AI, and certain states have enacted legislation regulating aspects of AI. Other countries also are contemplating laws regulating AI and ML. We may have to change our business practices to comply with obligations under these or other new and evolving regimes.</w:t>
      </w:r>
    </w:p>
    <w:p>
      <w:pPr>
        <w:spacing w:after="0" w:line="19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Digital Markets Act and Data Act entered into force in 2024, and the EU’s Network and Information Security Directive II, adopted in 2023, provides for EU member states to have issued implementing legislation by October 2024. Additionally, the EU’s Digital Operational Resiliency Act entered into force on January 17, 2025.</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Similarly, with our registration as an interconnected VoIP provider for certain products with the Federal Communications Commission (“FCC”), we also must comply with privacy laws associated with customer proprietary network information rules in the United States. In addition, states such as California have increasingly adopted or proposed, or may propose, regulations that may classify our services in such a manner as to subject us to additional privacy-related compliance obligations under state law. If we fail or are perceived to have failed to maintain compliance with these requirements, we could be subject to regulatory audits or inquiries, civil and criminal penalties, fines and breach of contract claims, as well as reputational damage, which could impact the willingness of customers to do business with us.</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addition to our legal obligations, our contractual obligations relating to privacy, data protection and cybersecurity have become increasingly stringent due to changes in laws and regulations and the expansion of our offerings. Certain privacy, data protection and cybersecurity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spacing w:after="0" w:line="187"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actual or perceived failure to comply with laws, regulations, contractual commitments, or other actual or asserted obligations, including certain industry standards, regarding privacy, data protection and cybersecurity could lead to costly legal action, adverse publicity, significant liability, inability to process data, and decreased demand for our services, which could adversely affect our business, results of operations and financial condition.</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a cumulative example of these risks, because our primary data processing facilities are in the United States, we have experienced hesitancy, reluctance, or refusal by European or multinational customers to continue to use our services due to potential risks arising from the Court of Justice’s July 2020 ruling in the “Schrems II” case, as well as related guidance from regulators and enforcement action against Meta by the Irish Data Protection Commission. For example, absent appropriate safeguards or other circumstances, the GDPR and laws in Switzerland and the UK generally restrict the transfer of personal information to many outside jurisdictions, such as the United States. On July 10, 2023, the European Commission adopted its adequacy decision for the EU-U.S. Data Privacy Framework. Based on this decision, personal information can flow from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valid mechanisms for cross-border data transfers, we and our customers may face increased exposure to regulatory actions, substantial fines, and injunctions against processing or transferring personal information from Europe or elsewhere. Any inability to transfer personal information to the United States or other jurisdictions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jurisdictions to limit or eliminate the need for data transfers out of Europe and other applicable jurisdictions quickly enough, and valid solutions for personal information transfers to the United States or other jurisdictions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spacing w:after="0" w:line="18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Evolving laws, regulations, and other actual and asserted obligations relating to privacy, data protection, and cybersecurity, as well as any new or evolving obligations relating to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spacing w:after="0" w:line="185"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9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8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6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192"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products and subject us to possible litigation.</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91" w:lineRule="exact"/>
        <w:rPr>
          <w:sz w:val="20"/>
          <w:szCs w:val="20"/>
          <w:color w:val="auto"/>
        </w:rPr>
      </w:pPr>
    </w:p>
    <w:p>
      <w:pPr>
        <w:ind w:right="2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and intellectual property of third parties, the loss of which could limit the functionality of our products and disrupt our business.</w:t>
      </w:r>
    </w:p>
    <w:p>
      <w:pPr>
        <w:spacing w:after="0" w:line="15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outages, security vulnerabilities, or otherwise malfunctions, the functionality of our products and platform may be negatively impacted, our customers may experience outages or reduced service levels, and our business may be adversely affected.</w:t>
      </w:r>
    </w:p>
    <w:p>
      <w:pPr>
        <w:spacing w:after="0" w:line="162"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9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88" w:lineRule="exact"/>
        <w:rPr>
          <w:sz w:val="20"/>
          <w:szCs w:val="20"/>
          <w:color w:val="auto"/>
        </w:rPr>
      </w:pPr>
    </w:p>
    <w:p>
      <w:pPr>
        <w:ind w:right="7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AI technologies in our platform and our business may not produce the desired benefits, and may result in increased liability, reputational harm, or other adverse consequences.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have deployed, and continue to develop and incorporate, AI solutions and features into our platform and our business,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For example, we are focused on continued product innovations to combine our communications products with contextual data and AI to address evolving customer needs and expectations. We are also building out new AI capabilities internally, including AI automation and agents in our self-service platform and in our internal operations. Our investments in AI solutions and features have and may continue to negatively impact our cost of revenue and gross margins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 or their development or deployment (including the collection, use, or other processing of data used to train or create such AI solutions or features) are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found to have or alleged to have infringed upon or misappropriated third-party intellectual property rights or violated applicable laws, regulations, or other actual or asserted legal or contractual obligations to which we are or may become subject.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225"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a provider of communications products and a licensed telecommunications provider, we are subject to existing or potential FCC and state regulations relating to privacy, telecommunications, consumer protection and other requirements. If we do not comply with FCC rules and regulations, or other communications laws and regulations, we could be subject to enforcement actions, fines, loss of licenses and possibly restrictions on our ability to operate or offer certain of our products. For example, in early 2023, we received a “cease-and-desist” letter from the FCC related to reported fraudulent traffic on our messaging platform, and in response we undertook certain mitigation efforts and other improvements to reduce future risks. Any enforcement action by the FCC or another regulatory authority,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w:t>
      </w:r>
    </w:p>
    <w:p>
      <w:pPr>
        <w:spacing w:after="0" w:line="192"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Certain of our products are subject to a number of regulations and laws that are administered by the FCC. Among others, we must comply (in whole or in part) with:</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Act of 1934, as amended, which regulates communications services and the provision of such services;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of 1991 (“TCPA”), which limits the use of automatic dialing systems for calls and texts, artificial or prerecorded voice messages and fax machines;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Assistance for Law Enforcement Act, which requires covered entities to assist law enforcement in undertaking electronic surveillance;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Pallone-Thune Telephone Robocall Abuse Criminal Enforcement and Deterrence Act (“TRACED”);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safeguard the privacy of certain customer information;</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annual FCC regulatory fees and contributions to FCC-administered funds based on our interstate and international revenues, as well as to the Universal Service Fund;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pertaining to access to our services by people with disabilities and contributions to the Telecommunications Relay Services fund.</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Congress and the FCC continue to focus on mitigating the prevalence of robocalls and robotexts, including by requiring providers to implement call authentication technologies such as Signature-based Handling of Asserted Information Using toKENs (“SHAKEN”) and Secure Telephone Identity Revisited (“STIR”), which together establish a set of technical standards and protocols that allow for the authentication and verification of caller ID information for calls carried over IP networks. Combating illegal calls has long been one of the FCC’s top consumer protection priorities, and the FCC continues to take steps to strengthen and expand its call blocking and robocall and robotext mitigation rules, including those related to the STIR/SHAKEN framework. We cannot predict whether the FCC will require more or different robocall and robotext mitigation measures than those we have or are planning to implement. New regulations or requirements that restrict the types of customers allowed to use our platform or impose overly burdensome requirements for our customers could limit the customers that we are able to serve. In addition, the extension of telecommunications regulations to our non-interconnected VoIP services could result in additional federal and state regulatory obligations and taxes.</w:t>
      </w:r>
    </w:p>
    <w:p>
      <w:pPr>
        <w:spacing w:after="0" w:line="188"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Additionally, states such as California have increasingly adopted or proposed, or may propose, regulations that may subject us to additional registration, reporting, resiliency and/or compliance obligations. If we become subject to several new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and/or different interconnected and/or non-interconnected VoIP regulations at the state level, it would increase our compliance costs and the risk of enforcement action against us, which in turn could adversely affect our business, results of operations and financial condition.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Internationally, we currently offer our products in more than 180 countries and territories, and continue to expand. When we enter new countries and as our presence and market share in such countries grow, our regulatory obligations and scrutiny increase, which increases our compliance costs and could impact our products and platform, create operational challenges, or prevent us from offering or providing our products in certain countries.</w:t>
      </w:r>
    </w:p>
    <w:p>
      <w:pPr>
        <w:spacing w:after="0" w:line="176" w:lineRule="exact"/>
        <w:rPr>
          <w:sz w:val="20"/>
          <w:szCs w:val="20"/>
          <w:color w:val="auto"/>
        </w:rPr>
      </w:pPr>
    </w:p>
    <w:p>
      <w:pPr>
        <w:ind w:right="140" w:firstLine="486"/>
        <w:spacing w:after="0" w:line="253" w:lineRule="auto"/>
        <w:rPr>
          <w:sz w:val="20"/>
          <w:szCs w:val="20"/>
          <w:color w:val="auto"/>
        </w:rPr>
      </w:pPr>
      <w:r>
        <w:rPr>
          <w:rFonts w:ascii="Times New Roman" w:cs="Times New Roman" w:eastAsia="Times New Roman" w:hAnsi="Times New Roman"/>
          <w:sz w:val="18"/>
          <w:szCs w:val="18"/>
          <w:color w:val="auto"/>
        </w:rPr>
        <w:t>Moreover, the regulation of CPaaS companies continues to evolve internationally and many existing regulations may not fully contemplate the CPaaS business model or how it fits into the communications regulatory framework. As a result, the application, interpretation or enforcement of regulations often involve significant uncertainties. In many countries,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reporting requirements, provision of emergency services, provision of information to support emergency services and number portability as well as requirements to combat scams and fraud.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9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we implement Know-Your-Customer and/or Know-Your-Traffic related processes in the jurisdictions in which we operate. Related obligations can vary across jurisdictions, and such processes may create onboarding delays and friction for our customers, as well as other operational and compliance challenges requiring management attention, and increase our compliance costs.</w:t>
      </w:r>
    </w:p>
    <w:p>
      <w:pPr>
        <w:spacing w:after="0" w:line="17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Moreover, certain of our products may be used by customers located in countries where voice and other forms of Internet Protocol (“IP”) communications may be illegal or require special licensing or in countries on a U.S. embargo list. Users in such countries may continue to use our products in those countries notwithstanding the illegality or embargo, or a local partner that we use to provide services may not comply with applicable governmental regulations, subjecting us to potential penalties or governmental actions that may be costly,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85"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spacing w:after="0" w:line="159" w:lineRule="exact"/>
        <w:rPr>
          <w:sz w:val="20"/>
          <w:szCs w:val="20"/>
          <w:color w:val="auto"/>
        </w:rPr>
      </w:pPr>
    </w:p>
    <w:p>
      <w:pPr>
        <w:ind w:right="300"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spacing w:after="0" w:line="18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addition, in order to obtain allocations of, assign and retain Numbering Resources in many international jurisdictions, we are often required to be licensed by local telecommunications regulatory authorities.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62"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these geographic areas.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w:t>
      </w:r>
    </w:p>
    <w:p>
      <w:pPr>
        <w:spacing w:after="0" w:line="183"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59"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customers’ and others’ violation of our policies or other misuse of our platform to transmit unwanted, offensive or illegal messages, spam, phishing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spacing w:after="0" w:line="18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actual or perceived improper sending of text messages or voice calls may subject us to potential risks, including liabilities or claims relating to consumer protection laws and regulatory enforcement, including fines. For example, the TCPA restricts telemarketing and the use of automatic SMS text messages without prior express consent. TCPA violations can result in significant financial penalties, as businesses can incur penalties or criminal fines up to $1,500 per violation imposed by the FCC, state attorneys general or other state actors or through private litigation. Regulatory enforcement is often public, which would result in reputational harm.</w:t>
      </w:r>
    </w:p>
    <w:p>
      <w:pPr>
        <w:spacing w:after="0" w:line="18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we could face direct liability.</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Moreover, certain customers may use our platform to transmit unwanted,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and in particular, our Acceptable Use Policy.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90"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Additionally,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85" w:lineRule="exact"/>
        <w:rPr>
          <w:sz w:val="20"/>
          <w:szCs w:val="20"/>
          <w:color w:val="auto"/>
        </w:rPr>
      </w:pPr>
    </w:p>
    <w:p>
      <w:pPr>
        <w:ind w:right="6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5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communications and business applications. Federal, state or foreign government bodies or agencies have in the past adopted,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w:t>
      </w:r>
    </w:p>
    <w:p>
      <w:pPr>
        <w:spacing w:after="0" w:line="183"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current legislative and regulatory landscape regarding the regulation of the internet is subject to uncertainty. For example, in January 2025, the U.S. Court of Appeals for the Sixth Circuit struck down the FCC’s net neutrality rules, and it is unlikely that similar federal rules will be adopted. Without federal net neutrality rules, we cannot predict whether internet access service providers may be able to limit our users’ ability to access our platform or make our platform a less attractive alternative to our competitors’ applications. Moreover, several states such as California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spacing w:after="0" w:line="18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79"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potential liability under export controls, economic sanctions, customs, anti-corruption, and other laws and regulations, and violating these laws could subject us to liability and impair our ability to compete in international markets.</w:t>
      </w:r>
    </w:p>
    <w:p>
      <w:pPr>
        <w:spacing w:after="0" w:line="15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Certain of our products and services may be subject to international trade laws, including the U.S. Export Administration Regulations, U.S. customs laws, and U.S. economic and trade sanctions as well as similar laws and regulations in other countries in which we do business. Exports and imports of our products and the provision of our services must be made in compliance with these laws. We take precautions to prevent our products from being imported or exported and our services from being provided in violation of these laws; however, we are aware of certain of our products and services being provided to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w:t>
      </w:r>
    </w:p>
    <w:p>
      <w:pPr>
        <w:spacing w:after="0" w:line="18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limitations on our ability to export our products and provide our services could adversely affect our business, results of operations and financial condition.</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operations from deploying our products and using our services throughout their globally-distributed systems or, in some cases, prevent the export of our products or provision of our services to some countries altogether.</w:t>
      </w:r>
    </w:p>
    <w:p>
      <w:pPr>
        <w:spacing w:after="0" w:line="16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spacing w:after="0" w:line="192"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5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In the first quarter of 2024, Google and Yahoo began enforcing new email sender requirements aimed at sender authentication, including Domain-based Message Authentication, Reporting and Conformance (“DMARC”) record requirements. These requirements have required us to devote time and resources toward compliance efforts, and these or similar authentication requirements imposed in the future could result in reduced volumes for our email products and could adversely affect our business, financial condition and results of operations.</w:t>
      </w:r>
    </w:p>
    <w:p>
      <w:pPr>
        <w:spacing w:after="0" w:line="19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83" w:lineRule="exact"/>
        <w:rPr>
          <w:sz w:val="20"/>
          <w:szCs w:val="20"/>
          <w:color w:val="auto"/>
        </w:rPr>
      </w:pPr>
    </w:p>
    <w:p>
      <w:pPr>
        <w:ind w:righ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legal proceedings or claims against us could be costly and time-consuming to defend and could harm our reputation regardless of the outcome.</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as a result of legal proceedings or claims, our business, results of operations and financial condition could be adversely affected.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22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results of operations and financial condition.</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9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79"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we had $1.0 billion of indebtedness outstanding (excluding intercompany indebtedness). Our indebtedness may:</w:t>
      </w:r>
    </w:p>
    <w:p>
      <w:pPr>
        <w:spacing w:after="0" w:line="225" w:lineRule="exact"/>
        <w:rPr>
          <w:sz w:val="20"/>
          <w:szCs w:val="20"/>
          <w:color w:val="auto"/>
        </w:rPr>
      </w:pPr>
    </w:p>
    <w:p>
      <w:pPr>
        <w:ind w:left="980" w:right="3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to fund future working capital, capital expenditures, business opportunities,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borrowings under a future revolving credit facility, may be at variable rates of interest;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2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acceleration of substantially all of our indebtedness. Any such event would adversely affect our business, results of operations and financial condition.</w:t>
      </w:r>
    </w:p>
    <w:p>
      <w:pPr>
        <w:spacing w:after="0" w:line="225"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1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86"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to calculate certain of our business metrics, and real or perceived inaccuracies in such metrics could adversely affect our reputation and our business.</w:t>
      </w:r>
    </w:p>
    <w:p>
      <w:pPr>
        <w:spacing w:after="0" w:line="14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rely on assumptions and estimates to calculate certain of our business metrics that we disclose in SEC filings, press releases and other materials, including Active Customer Accounts and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8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1"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84" w:lineRule="exact"/>
        <w:rPr>
          <w:sz w:val="20"/>
          <w:szCs w:val="20"/>
          <w:color w:val="auto"/>
        </w:rPr>
      </w:pPr>
    </w:p>
    <w:p>
      <w:pPr>
        <w:ind w:right="760" w:firstLine="486"/>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practices may cause adverse, unexpected financial reporting fluctuations and affect our results of operations.</w:t>
      </w:r>
    </w:p>
    <w:p>
      <w:pPr>
        <w:spacing w:after="0" w:line="15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As of March 31, 2025, we carried a net $5.5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approximately $285.7 million, as described in additional detail in Note 6 to our consolidated financial statements included in our Annual Report on Form 10-K for the year ended December 31, 2023. Any such charges may adversely affect our results of operations.</w:t>
      </w:r>
    </w:p>
    <w:p>
      <w:pPr>
        <w:spacing w:after="0" w:line="185"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and taxes may be subject to certain limitations.</w:t>
      </w:r>
    </w:p>
    <w:p>
      <w:pPr>
        <w:spacing w:after="0" w:line="15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As of December 31, 2024, we had U.S. federal, state and foreign net operating loss carryforwards (“NOLs”), of $2.8 billion, $2.4 billion and $0.8 billion, respectively. Utilization of these NOL carryforwards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 carryforwards is suspended or otherwise limited, which could accelerate or permanently increase state taxes owed. For example, California recently enacted legislation that limits the use of state NOLs for taxable years beginning on or after January 1, 2024 and before January 1, 2027.</w:t>
      </w:r>
    </w:p>
    <w:p>
      <w:pPr>
        <w:spacing w:after="0" w:line="18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 which could harm our business, results of operations and financial condition.</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conduct operations in many tax jurisdictions throughout the United States and internationally. In many of these jurisdictions, non-income-based taxes, such as sales tax,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spacing w:after="0" w:line="18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$42.2 million on our March 31, 2025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6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or our tax positions may materially and adversely affect our income taxes.</w:t>
      </w:r>
    </w:p>
    <w:p>
      <w:pPr>
        <w:spacing w:after="0" w:line="229" w:lineRule="exact"/>
        <w:rPr>
          <w:sz w:val="20"/>
          <w:szCs w:val="20"/>
          <w:color w:val="auto"/>
        </w:rPr>
      </w:pPr>
    </w:p>
    <w:p>
      <w:pPr>
        <w:ind w:right="60" w:firstLine="486"/>
        <w:spacing w:after="0" w:line="271" w:lineRule="auto"/>
        <w:rPr>
          <w:sz w:val="20"/>
          <w:szCs w:val="20"/>
          <w:color w:val="auto"/>
        </w:rPr>
      </w:pPr>
      <w:r>
        <w:rPr>
          <w:rFonts w:ascii="Times New Roman" w:cs="Times New Roman" w:eastAsia="Times New Roman" w:hAnsi="Times New Roman"/>
          <w:sz w:val="17"/>
          <w:szCs w:val="17"/>
          <w:color w:val="auto"/>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7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of corporations with adjusted financial statement income exceeding $1.0 billion, effective for tax years beginning after December 31, 2022, and a 1% excise tax on share repurchases occurring after December 31, 2022, which resulted in an excise tax payable calculated on our 2023 and 2024 share repurchases.</w:t>
      </w:r>
    </w:p>
    <w:p>
      <w:pPr>
        <w:spacing w:after="0" w:line="19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w:t>
      </w:r>
    </w:p>
    <w:p>
      <w:pPr>
        <w:spacing w:after="0" w:line="20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for large multinational companies. On December 15, 2022, the European Union (EU) Member States formally adopted the EU’s Pillar Two Directive and various countries have enacted or are in the process of enacting legislation on these rules. These changes, when enacted by various countries in which we do business, may increase our taxes in these countries.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Changes to these and other areas in relation to potential U.S. and international tax reform could increase uncertainty and may adversely affect our tax rate and cash flow in future years.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may continue to be volatile, and you could lose all or part of your investment.</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and may continue to, fluctuate significantly in response to numerous factors, many of which are beyond our control and may not be related to our operating performance, including:</w:t>
      </w:r>
    </w:p>
    <w:p>
      <w:pPr>
        <w:spacing w:after="0" w:line="16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shares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the publication of reports or statements by securities analysts or investors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or targets we may provide to the public, any changes in those projections or targets, or our failure to meet those projections or targets;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related to acquisitions of businesses, products or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industry standards, regulations or regulatory enforcement in the United States or internationally;</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 or actual or anticipated changes in our strategy or the organization of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including changes in the pace of hiring;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social, economic and market conditions, in both domestic and foreign markets, and slow or negative growth of our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could cause the market price of our common stock to decline.</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79" w:lineRule="exact"/>
        <w:rPr>
          <w:sz w:val="20"/>
          <w:szCs w:val="20"/>
          <w:color w:val="auto"/>
        </w:rPr>
      </w:pPr>
    </w:p>
    <w:p>
      <w:pPr>
        <w:ind w:right="1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long-term stockholder value of our share repurchase programs, and any failure to repurchase our common stock after we have announced our intention to do so may negatively impact our stock price.</w:t>
      </w:r>
    </w:p>
    <w:p>
      <w:pPr>
        <w:spacing w:after="0" w:line="15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In January 2025, our board of directors authorized the repurchase of up to $2.0 billion of our common stock from time to time through a share repurchase program. As of March 31, 2025, we had repurchased $130.2 million of outstanding shares of our common stock under this program, such that approximately $1.9 billion remained available for purchase as of such date.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1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spacing w:after="0" w:line="18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72"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change their recommendations regarding our common stock adversely, the trading price of our common stock and trading volume could decline.</w:t>
      </w:r>
    </w:p>
    <w:p>
      <w:pPr>
        <w:spacing w:after="0" w:line="15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spacing w:after="0" w:line="179"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spacing w:after="0" w:line="176" w:lineRule="exact"/>
        <w:rPr>
          <w:sz w:val="20"/>
          <w:szCs w:val="20"/>
          <w:color w:val="auto"/>
        </w:rPr>
      </w:pPr>
    </w:p>
    <w:p>
      <w:pPr>
        <w:ind w:left="980" w:right="30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classified into three classes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instead requiring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exclusive forum for the following types of actions or proceedings under Delaware statutory or common law:</w:t>
      </w:r>
    </w:p>
    <w:p>
      <w:pPr>
        <w:spacing w:after="0" w:line="16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 owed by our directors, officers, employees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(the “Delaware Forum Provision”).</w:t>
      </w:r>
    </w:p>
    <w:p>
      <w:pPr>
        <w:spacing w:after="0" w:line="22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Forum Provision in our bylaws to be inapplicable or unenforceable in an action, we may incur additional costs associated with resolving the dispute in other jurisdictions, which could seriously harm our business.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pandemics, earthquakes, fire, floods and other natural catastrophic events, and to interruption by man-made problems such as power disruptions, computer viruses, security breaches and incidents, terrorism or war.</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spacing w:after="0" w:line="183"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and/or business could be negatively impacted by ESG matters and/or our reporting of such matters.</w:t>
      </w:r>
    </w:p>
    <w:p>
      <w:pPr>
        <w:spacing w:after="0" w:line="22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There is an increasing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we issued 22,102 shares of our Class A common stock to an independent donor advised fund to further our Twilio.org philanthropic goals. The shares were “restricted securities” for purposes of Rule 144 under the Securities Act, and had an aggregate fair market value on the date of donation of $2.8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March 31, 2025:</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4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2"/>
                <w:szCs w:val="12"/>
                <w:color w:val="auto"/>
              </w:rPr>
            </w:pPr>
          </w:p>
        </w:tc>
        <w:tc>
          <w:tcPr>
            <w:tcW w:w="222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7"/>
                <w:szCs w:val="17"/>
                <w:color w:val="auto"/>
              </w:rPr>
            </w:pPr>
          </w:p>
        </w:tc>
        <w:tc>
          <w:tcPr>
            <w:tcW w:w="2220" w:type="dxa"/>
            <w:vAlign w:val="bottom"/>
          </w:tcPr>
          <w:p>
            <w:pPr>
              <w:jc w:val="center"/>
              <w:ind w:right="24"/>
              <w:spacing w:after="0" w:line="202" w:lineRule="exact"/>
              <w:rPr>
                <w:sz w:val="20"/>
                <w:szCs w:val="20"/>
                <w:color w:val="auto"/>
              </w:rPr>
            </w:pPr>
            <w:r>
              <w:rPr>
                <w:rFonts w:ascii="Times New Roman" w:cs="Times New Roman" w:eastAsia="Times New Roman" w:hAnsi="Times New Roman"/>
                <w:sz w:val="14"/>
                <w:szCs w:val="14"/>
                <w:b w:val="1"/>
                <w:bCs w:val="1"/>
                <w:color w:val="auto"/>
                <w:w w:val="99"/>
              </w:rPr>
              <w:t>the Plans or Programs</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1 - 31, 2025</w:t>
            </w:r>
          </w:p>
        </w:tc>
        <w:tc>
          <w:tcPr>
            <w:tcW w:w="2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1 - 28, 2025</w:t>
            </w:r>
          </w:p>
        </w:tc>
        <w:tc>
          <w:tcPr>
            <w:tcW w:w="2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119.39</w:t>
            </w:r>
          </w:p>
        </w:tc>
        <w:tc>
          <w:tcPr>
            <w:tcW w:w="100" w:type="dxa"/>
            <w:vAlign w:val="bottom"/>
          </w:tcPr>
          <w:p>
            <w:pPr>
              <w:spacing w:after="0"/>
              <w:rPr>
                <w:sz w:val="18"/>
                <w:szCs w:val="18"/>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1 - 31, 2025</w:t>
            </w:r>
          </w:p>
        </w:tc>
        <w:tc>
          <w:tcPr>
            <w:tcW w:w="2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102.12</w:t>
            </w: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2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1,222</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_____________________________</w:t>
      </w:r>
    </w:p>
    <w:p>
      <w:pPr>
        <w:spacing w:after="0" w:line="22" w:lineRule="exact"/>
        <w:rPr>
          <w:sz w:val="20"/>
          <w:szCs w:val="20"/>
          <w:color w:val="auto"/>
        </w:rPr>
      </w:pPr>
    </w:p>
    <w:p>
      <w:pPr>
        <w:ind w:right="40" w:firstLine="8"/>
        <w:spacing w:after="0" w:line="262" w:lineRule="auto"/>
        <w:tabs>
          <w:tab w:leader="none" w:pos="163"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12 — Stockholders' Equity in Part I, Item 1, of this Quarterly Report on Form 10-Q for additional information related to share repurchases.</w:t>
      </w:r>
    </w:p>
    <w:p>
      <w:pPr>
        <w:spacing w:after="0" w:line="176" w:lineRule="exact"/>
        <w:rPr>
          <w:rFonts w:ascii="Times New Roman" w:cs="Times New Roman" w:eastAsia="Times New Roman" w:hAnsi="Times New Roman"/>
          <w:sz w:val="19"/>
          <w:szCs w:val="19"/>
          <w:color w:val="auto"/>
          <w:vertAlign w:val="superscript"/>
        </w:rPr>
      </w:pPr>
    </w:p>
    <w:p>
      <w:pPr>
        <w:ind w:left="180" w:hanging="172"/>
        <w:spacing w:after="0"/>
        <w:tabs>
          <w:tab w:leader="none" w:pos="18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costs associated with the repurchases.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following “Rule 10b5-1 trading arrangements” (as defined in Item 408 of Regulation S-K) were adopted or terminated by our directors and officers, each of which was intended to satisfy the affirmative defense in Rule 10b5-1(c):</w:t>
      </w:r>
    </w:p>
    <w:p>
      <w:pPr>
        <w:spacing w:after="0" w:line="18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February 24, 2025, Khozema Shipchandler, our Chief Executive Officer and a member of our board of directors, adopted a Rule 10b5-1 trading plan providing for the sale of (i) up to an aggregate of 7,000 shares of our common stock held by Mr. Shipchandler, plus (ii) shares of our common stock issuable upon the vesting and settlement of 102,306 RSUs outstanding prior to the adoption of the plan, in addition to certain shares Mr. Shipchandler acquires upon the vesting and settlement of any RSUs that may be granted after the adoption of the plan, in each case, net of shares sold in mandatory transactions to cover withholding taxes, plus (iii) the exercise and sale of up to an aggregate of 76,316 shares of common stock subject to vested stock options. The number of shares listed above for Mr. Shipchandler includes shares subject to limit orders that may or may not execute. The duration of the plan is until April 10, 2026 or earlier if all transactions under the plan have been completed.</w:t>
      </w:r>
    </w:p>
    <w:p>
      <w:pPr>
        <w:spacing w:after="0" w:line="216" w:lineRule="exact"/>
        <w:rPr>
          <w:sz w:val="20"/>
          <w:szCs w:val="20"/>
          <w:color w:val="auto"/>
        </w:rPr>
      </w:pPr>
    </w:p>
    <w:p>
      <w:pPr>
        <w:ind w:right="60" w:firstLine="486"/>
        <w:spacing w:after="0" w:line="276" w:lineRule="auto"/>
        <w:rPr>
          <w:sz w:val="20"/>
          <w:szCs w:val="20"/>
          <w:color w:val="auto"/>
        </w:rPr>
      </w:pPr>
      <w:r>
        <w:rPr>
          <w:rFonts w:ascii="Times New Roman" w:cs="Times New Roman" w:eastAsia="Times New Roman" w:hAnsi="Times New Roman"/>
          <w:sz w:val="17"/>
          <w:szCs w:val="17"/>
          <w:color w:val="auto"/>
        </w:rPr>
        <w:t>On February 27, 2025, Erika Rottenberg, a member of our board of directors, as trustee of the Erika Rottenberg Revocable Trust dated 1/28/2016 (the “Trust”), adopted a Rule 10b5-1 trading plan providing for the sale of (i) up to an aggregate of 10,600 shares of common stock held by the Trust, plus</w:t>
      </w:r>
    </w:p>
    <w:p>
      <w:pPr>
        <w:spacing w:after="0" w:line="1" w:lineRule="exact"/>
        <w:rPr>
          <w:sz w:val="20"/>
          <w:szCs w:val="20"/>
          <w:color w:val="auto"/>
        </w:rPr>
      </w:pPr>
    </w:p>
    <w:p>
      <w:pPr>
        <w:ind w:right="40" w:firstLine="8"/>
        <w:spacing w:after="0" w:line="255"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additional shares corresponding to a portion of equity awards granted after the adoption of the plan. The number of shares listed above for Ms. Rottenberg includes shares subject to limit orders that may or may not execute. The duration of the plan is until February 27, 2026 or earlier if all transactions under the plan have been completed.</w:t>
      </w:r>
    </w:p>
    <w:p>
      <w:pPr>
        <w:spacing w:after="0" w:line="2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Disclosure Pursuant to Section 13(r) of the Exchange Act</w:t>
      </w:r>
    </w:p>
    <w:p>
      <w:pPr>
        <w:spacing w:after="0" w:line="106"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8"/>
          <w:szCs w:val="18"/>
          <w:color w:val="auto"/>
        </w:rPr>
        <w:t>Section 13(r) of the Exchange Act requires an issuer to disclose certain information in its periodic reports if it or any of its affiliates knowingly engaged in certain activities, transactions or dealings with individuals or entities subject to specific U.S. economic sanctions during the reporting period, even when the activities, transactions or dealings are conducted in compliance with applicable law.</w:t>
      </w:r>
    </w:p>
    <w:p>
      <w:pPr>
        <w:spacing w:after="0" w:line="21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one of its non-U.S. subsidiaries, is party to service agreements with a non-affiliated Swiss entity, pursuant to which the non-affiliated Swiss entity delivered SMS messages terminating in Iran through Mobile Telecommunication Company of Iran, Rightel Telecommunications Services Co. and MTN Irancell (collectively, the “Iranian Entities”). The Iranian Entities may be considered “Government of Iran” entities (as defined by Section 560.304 of title 31, Code of Federal Regulations). For the quarter ended March 31, 2025, the Company’s non-U.S. subsidiaries made payments to the non-affiliated Swiss entity to deliver SMS messages terminating in Iran but did not receive any gross revenue or net profits from the Iranian Entities associated with these services. These services have been terminated.</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incorporated by reference or are filed with this Quarterly Report on Form 10-Q, in each case as indicated therein.</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7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740" w:type="dxa"/>
            <w:vAlign w:val="bottom"/>
            <w:vMerge w:val="continue"/>
          </w:tcPr>
          <w:p>
            <w:pPr>
              <w:spacing w:after="0"/>
              <w:rPr>
                <w:sz w:val="2"/>
                <w:szCs w:val="2"/>
                <w:color w:val="auto"/>
              </w:rPr>
            </w:pPr>
          </w:p>
        </w:tc>
        <w:tc>
          <w:tcPr>
            <w:tcW w:w="250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740" w:type="dxa"/>
            <w:vAlign w:val="bottom"/>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0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52"/>
        </w:trPr>
        <w:tc>
          <w:tcPr>
            <w:tcW w:w="1000" w:type="dxa"/>
            <w:vAlign w:val="bottom"/>
            <w:tcBorders>
              <w:top w:val="single" w:sz="8" w:color="auto"/>
            </w:tcBorders>
          </w:tcPr>
          <w:p>
            <w:pPr>
              <w:ind w:left="20"/>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40" w:type="dxa"/>
            <w:vAlign w:val="bottom"/>
            <w:tcBorders>
              <w:top w:val="single" w:sz="8" w:color="auto"/>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Amended and Restated Non-Employee Director Compensation Policy</w:t>
            </w:r>
          </w:p>
        </w:tc>
        <w:tc>
          <w:tcPr>
            <w:tcW w:w="840" w:type="dxa"/>
            <w:vAlign w:val="bottom"/>
            <w:tcBorders>
              <w:top w:val="single" w:sz="8" w:color="auto"/>
            </w:tcBorders>
            <w:gridSpan w:val="3"/>
          </w:tcPr>
          <w:p>
            <w:pPr>
              <w:spacing w:after="0"/>
              <w:rPr>
                <w:sz w:val="13"/>
                <w:szCs w:val="13"/>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Exchange Act Rules 13a-</w:t>
            </w: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0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14(a) or 15d-14(a), as adopted pursuant to Section 302 of the Sarbanes-Oxley Act</w:t>
            </w:r>
          </w:p>
        </w:tc>
        <w:tc>
          <w:tcPr>
            <w:tcW w:w="20" w:type="dxa"/>
            <w:vAlign w:val="bottom"/>
            <w:tcBorders>
              <w:bottom w:val="single" w:sz="8" w:color="0000FF"/>
            </w:tcBorders>
          </w:tcPr>
          <w:p>
            <w:pPr>
              <w:spacing w:after="0"/>
              <w:rPr>
                <w:sz w:val="11"/>
                <w:szCs w:val="11"/>
                <w:color w:val="auto"/>
              </w:rPr>
            </w:pPr>
          </w:p>
        </w:tc>
        <w:tc>
          <w:tcPr>
            <w:tcW w:w="160" w:type="dxa"/>
            <w:vAlign w:val="bottom"/>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gridSpan w:val="4"/>
          </w:tcPr>
          <w:p>
            <w:pPr>
              <w:spacing w:after="0" w:line="115" w:lineRule="exact"/>
              <w:rPr>
                <w:sz w:val="20"/>
                <w:szCs w:val="20"/>
                <w:color w:val="auto"/>
              </w:rPr>
            </w:pPr>
            <w:r>
              <w:rPr>
                <w:rFonts w:ascii="Times New Roman" w:cs="Times New Roman" w:eastAsia="Times New Roman" w:hAnsi="Times New Roman"/>
                <w:sz w:val="13"/>
                <w:szCs w:val="13"/>
                <w:color w:val="0000FF"/>
              </w:rPr>
              <w:t>of 2002</w:t>
            </w:r>
          </w:p>
        </w:tc>
        <w:tc>
          <w:tcPr>
            <w:tcW w:w="16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-453390</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-95885</wp:posOffset>
            </wp:positionV>
            <wp:extent cx="6604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375" w:lineRule="exact"/>
        <w:rPr>
          <w:sz w:val="20"/>
          <w:szCs w:val="20"/>
          <w:color w:val="auto"/>
        </w:rPr>
      </w:pPr>
    </w:p>
    <w:p>
      <w:pPr>
        <w:sectPr>
          <w:pgSz w:w="11900" w:h="16838" w:orient="portrait"/>
          <w:cols w:equalWidth="0" w:num="2">
            <w:col w:w="9320" w:space="720"/>
            <w:col w:w="120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Exchange Act Rules 13a-</w:t>
            </w:r>
          </w:p>
        </w:tc>
        <w:tc>
          <w:tcPr>
            <w:tcW w:w="2140" w:type="dxa"/>
            <w:vAlign w:val="bottom"/>
            <w:gridSpan w:val="4"/>
          </w:tcPr>
          <w:p>
            <w:pPr>
              <w:spacing w:after="0"/>
              <w:rPr>
                <w:sz w:val="13"/>
                <w:szCs w:val="13"/>
                <w:color w:val="auto"/>
              </w:rPr>
            </w:pP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29"/>
        </w:trPr>
        <w:tc>
          <w:tcPr>
            <w:tcW w:w="1100" w:type="dxa"/>
            <w:vAlign w:val="bottom"/>
          </w:tcPr>
          <w:p>
            <w:pPr>
              <w:spacing w:after="0"/>
              <w:rPr>
                <w:sz w:val="11"/>
                <w:szCs w:val="11"/>
                <w:color w:val="auto"/>
              </w:rPr>
            </w:pPr>
          </w:p>
        </w:tc>
        <w:tc>
          <w:tcPr>
            <w:tcW w:w="6800" w:type="dxa"/>
            <w:vAlign w:val="bottom"/>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14(a) or 15d-14(a), as adopted pursuant to Section 302 of the Sarbanes-Oxley Act</w:t>
            </w:r>
          </w:p>
        </w:tc>
        <w:tc>
          <w:tcPr>
            <w:tcW w:w="3100" w:type="dxa"/>
            <w:vAlign w:val="bottom"/>
          </w:tcPr>
          <w:p>
            <w:pPr>
              <w:spacing w:after="0"/>
              <w:rPr>
                <w:sz w:val="11"/>
                <w:szCs w:val="11"/>
                <w:color w:val="auto"/>
              </w:rPr>
            </w:pPr>
          </w:p>
        </w:tc>
      </w:tr>
      <w:tr>
        <w:trPr>
          <w:trHeight w:val="115"/>
        </w:trPr>
        <w:tc>
          <w:tcPr>
            <w:tcW w:w="1100" w:type="dxa"/>
            <w:vAlign w:val="bottom"/>
          </w:tcPr>
          <w:p>
            <w:pPr>
              <w:spacing w:after="0"/>
              <w:rPr>
                <w:sz w:val="10"/>
                <w:szCs w:val="10"/>
                <w:color w:val="auto"/>
              </w:rPr>
            </w:pPr>
          </w:p>
        </w:tc>
        <w:tc>
          <w:tcPr>
            <w:tcW w:w="4700" w:type="dxa"/>
            <w:vAlign w:val="bottom"/>
            <w:tcBorders>
              <w:top w:val="single" w:sz="8" w:color="0000FF"/>
            </w:tcBorders>
            <w:gridSpan w:val="4"/>
          </w:tcPr>
          <w:p>
            <w:pPr>
              <w:spacing w:after="0" w:line="115" w:lineRule="exact"/>
              <w:rPr>
                <w:sz w:val="20"/>
                <w:szCs w:val="20"/>
                <w:color w:val="auto"/>
              </w:rPr>
            </w:pPr>
            <w:r>
              <w:rPr>
                <w:rFonts w:ascii="Times New Roman" w:cs="Times New Roman" w:eastAsia="Times New Roman" w:hAnsi="Times New Roman"/>
                <w:sz w:val="13"/>
                <w:szCs w:val="13"/>
                <w:color w:val="0000FF"/>
              </w:rPr>
              <w:t>of 2002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1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and Chief Financial Officer pursuant to</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29"/>
        </w:trPr>
        <w:tc>
          <w:tcPr>
            <w:tcW w:w="1100" w:type="dxa"/>
            <w:vAlign w:val="bottom"/>
          </w:tcPr>
          <w:p>
            <w:pPr>
              <w:spacing w:after="0"/>
              <w:rPr>
                <w:sz w:val="11"/>
                <w:szCs w:val="11"/>
                <w:color w:val="auto"/>
              </w:rPr>
            </w:pPr>
          </w:p>
        </w:tc>
        <w:tc>
          <w:tcPr>
            <w:tcW w:w="480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 Sarbanes-Oxley</w:t>
            </w:r>
          </w:p>
        </w:tc>
        <w:tc>
          <w:tcPr>
            <w:tcW w:w="200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15"/>
        </w:trPr>
        <w:tc>
          <w:tcPr>
            <w:tcW w:w="1100" w:type="dxa"/>
            <w:vAlign w:val="bottom"/>
          </w:tcPr>
          <w:p>
            <w:pPr>
              <w:spacing w:after="0"/>
              <w:rPr>
                <w:sz w:val="10"/>
                <w:szCs w:val="10"/>
                <w:color w:val="auto"/>
              </w:rPr>
            </w:pPr>
          </w:p>
        </w:tc>
        <w:tc>
          <w:tcPr>
            <w:tcW w:w="4760" w:type="dxa"/>
            <w:vAlign w:val="bottom"/>
            <w:tcBorders>
              <w:top w:val="single" w:sz="8" w:color="0000FF"/>
            </w:tcBorders>
            <w:gridSpan w:val="5"/>
          </w:tcPr>
          <w:p>
            <w:pPr>
              <w:spacing w:after="0" w:line="115" w:lineRule="exact"/>
              <w:rPr>
                <w:sz w:val="20"/>
                <w:szCs w:val="20"/>
                <w:color w:val="auto"/>
              </w:rPr>
            </w:pPr>
            <w:r>
              <w:rPr>
                <w:rFonts w:ascii="Times New Roman" w:cs="Times New Roman" w:eastAsia="Times New Roman" w:hAnsi="Times New Roman"/>
                <w:sz w:val="13"/>
                <w:szCs w:val="13"/>
                <w:color w:val="0000FF"/>
              </w:rPr>
              <w:t>Act of 2002</w:t>
            </w:r>
          </w:p>
        </w:tc>
        <w:tc>
          <w:tcPr>
            <w:tcW w:w="2040" w:type="dxa"/>
            <w:vAlign w:val="bottom"/>
            <w:gridSpan w:val="2"/>
          </w:tcPr>
          <w:p>
            <w:pPr>
              <w:spacing w:after="0"/>
              <w:rPr>
                <w:sz w:val="10"/>
                <w:szCs w:val="10"/>
                <w:color w:val="auto"/>
              </w:rPr>
            </w:pPr>
          </w:p>
        </w:tc>
        <w:tc>
          <w:tcPr>
            <w:tcW w:w="31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2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44"/>
        </w:trPr>
        <w:tc>
          <w:tcPr>
            <w:tcW w:w="1100" w:type="dxa"/>
            <w:vAlign w:val="bottom"/>
          </w:tcPr>
          <w:p>
            <w:pPr>
              <w:spacing w:after="0"/>
              <w:rPr>
                <w:sz w:val="12"/>
                <w:szCs w:val="12"/>
                <w:color w:val="auto"/>
              </w:rPr>
            </w:pPr>
          </w:p>
        </w:tc>
        <w:tc>
          <w:tcPr>
            <w:tcW w:w="680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3100" w:type="dxa"/>
            <w:vAlign w:val="bottom"/>
          </w:tcPr>
          <w:p>
            <w:pPr>
              <w:spacing w:after="0"/>
              <w:rPr>
                <w:sz w:val="12"/>
                <w:szCs w:val="12"/>
                <w:color w:val="auto"/>
              </w:rPr>
            </w:pPr>
          </w:p>
        </w:tc>
      </w:tr>
      <w:tr>
        <w:trPr>
          <w:trHeight w:val="188"/>
        </w:trPr>
        <w:tc>
          <w:tcPr>
            <w:tcW w:w="1100" w:type="dxa"/>
            <w:vAlign w:val="bottom"/>
          </w:tcPr>
          <w:p>
            <w:pPr>
              <w:spacing w:after="0"/>
              <w:rPr>
                <w:sz w:val="16"/>
                <w:szCs w:val="16"/>
                <w:color w:val="auto"/>
              </w:rPr>
            </w:pP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document</w:t>
            </w:r>
          </w:p>
        </w:tc>
        <w:tc>
          <w:tcPr>
            <w:tcW w:w="3100" w:type="dxa"/>
            <w:vAlign w:val="bottom"/>
          </w:tcPr>
          <w:p>
            <w:pPr>
              <w:spacing w:after="0"/>
              <w:rPr>
                <w:sz w:val="16"/>
                <w:szCs w:val="16"/>
                <w:color w:val="auto"/>
              </w:rPr>
            </w:pPr>
          </w:p>
        </w:tc>
      </w:tr>
      <w:tr>
        <w:trPr>
          <w:trHeight w:val="24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6"/>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10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Filed herewith</w:t>
            </w:r>
          </w:p>
        </w:tc>
      </w:tr>
    </w:tbl>
    <w:p>
      <w:pPr>
        <w:spacing w:after="0" w:line="68" w:lineRule="exact"/>
        <w:rPr>
          <w:sz w:val="20"/>
          <w:szCs w:val="20"/>
          <w:color w:val="auto"/>
        </w:rPr>
      </w:pPr>
    </w:p>
    <w:p>
      <w:pPr>
        <w:ind w:left="1120" w:right="5440" w:hanging="1094"/>
        <w:spacing w:after="0" w:line="261" w:lineRule="auto"/>
        <w:tabs>
          <w:tab w:leader="none" w:pos="1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 contained in Exhibits 101)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2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a management contract or compensatory plan or arrangement.</w:t>
      </w:r>
    </w:p>
    <w:p>
      <w:pPr>
        <w:spacing w:after="0" w:line="1" w:lineRule="exact"/>
        <w:rPr>
          <w:sz w:val="20"/>
          <w:szCs w:val="20"/>
          <w:color w:val="auto"/>
        </w:rPr>
      </w:pPr>
    </w:p>
    <w:p>
      <w:pPr>
        <w:ind w:right="80" w:firstLine="8"/>
        <w:spacing w:after="0" w:line="278" w:lineRule="auto"/>
        <w:tabs>
          <w:tab w:leader="none" w:pos="28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17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b w:val="1"/>
          <w:bCs w:val="1"/>
          <w:color w:val="auto"/>
        </w:rPr>
        <w:t>TWILIO INC.</w:t>
      </w:r>
    </w:p>
    <w:p>
      <w:pPr>
        <w:spacing w:after="0" w:line="304" w:lineRule="exact"/>
        <w:rPr>
          <w:sz w:val="20"/>
          <w:szCs w:val="20"/>
          <w:color w:val="auto"/>
        </w:rPr>
      </w:pPr>
    </w:p>
    <w:p>
      <w:pPr>
        <w:ind w:left="780"/>
        <w:spacing w:after="0"/>
        <w:tabs>
          <w:tab w:leader="none" w:pos="7140" w:val="left"/>
        </w:tabs>
        <w:rPr>
          <w:sz w:val="20"/>
          <w:szCs w:val="20"/>
          <w:color w:val="auto"/>
        </w:rPr>
      </w:pPr>
      <w:r>
        <w:rPr>
          <w:rFonts w:ascii="Times New Roman" w:cs="Times New Roman" w:eastAsia="Times New Roman" w:hAnsi="Times New Roman"/>
          <w:sz w:val="16"/>
          <w:szCs w:val="16"/>
          <w:color w:val="auto"/>
        </w:rPr>
        <w:t>May 2, 2025</w:t>
      </w:r>
      <w:r>
        <w:rPr>
          <w:sz w:val="20"/>
          <w:szCs w:val="20"/>
          <w:color w:val="auto"/>
        </w:rPr>
        <w:tab/>
      </w: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20320</wp:posOffset>
            </wp:positionV>
            <wp:extent cx="31718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6"/>
          <w:szCs w:val="16"/>
          <w:color w:val="auto"/>
        </w:rPr>
        <w:t>Khozema Z. Shipchandler</w:t>
      </w:r>
    </w:p>
    <w:p>
      <w:pPr>
        <w:jc w:val="center"/>
        <w:ind w:left="5520"/>
        <w:spacing w:after="0"/>
        <w:rPr>
          <w:sz w:val="20"/>
          <w:szCs w:val="20"/>
          <w:color w:val="auto"/>
        </w:rPr>
      </w:pPr>
      <w:r>
        <w:rPr>
          <w:rFonts w:ascii="Times New Roman" w:cs="Times New Roman" w:eastAsia="Times New Roman" w:hAnsi="Times New Roman"/>
          <w:sz w:val="16"/>
          <w:szCs w:val="16"/>
          <w:i w:val="1"/>
          <w:iCs w:val="1"/>
          <w:color w:val="auto"/>
        </w:rPr>
        <w:t>Director and Chief Executive Officer (Principal Executive Officer)</w:t>
      </w:r>
    </w:p>
    <w:p>
      <w:pPr>
        <w:spacing w:after="0" w:line="230" w:lineRule="exact"/>
        <w:rPr>
          <w:sz w:val="20"/>
          <w:szCs w:val="20"/>
          <w:color w:val="auto"/>
        </w:rPr>
      </w:pPr>
    </w:p>
    <w:p>
      <w:pPr>
        <w:ind w:left="780"/>
        <w:spacing w:after="0"/>
        <w:tabs>
          <w:tab w:leader="none" w:pos="7580" w:val="left"/>
        </w:tabs>
        <w:rPr>
          <w:sz w:val="20"/>
          <w:szCs w:val="20"/>
          <w:color w:val="auto"/>
        </w:rPr>
      </w:pPr>
      <w:r>
        <w:rPr>
          <w:rFonts w:ascii="Times New Roman" w:cs="Times New Roman" w:eastAsia="Times New Roman" w:hAnsi="Times New Roman"/>
          <w:sz w:val="16"/>
          <w:szCs w:val="16"/>
          <w:color w:val="auto"/>
        </w:rPr>
        <w:t>May 2, 2025</w:t>
      </w:r>
      <w:r>
        <w:rPr>
          <w:sz w:val="20"/>
          <w:szCs w:val="20"/>
          <w:color w:val="auto"/>
        </w:rPr>
        <w:tab/>
      </w: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20320</wp:posOffset>
            </wp:positionV>
            <wp:extent cx="31718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6"/>
          <w:szCs w:val="16"/>
          <w:color w:val="auto"/>
        </w:rPr>
        <w:t>Aidan Viggiano</w:t>
      </w:r>
    </w:p>
    <w:p>
      <w:pPr>
        <w:jc w:val="center"/>
        <w:ind w:left="552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Twilio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Non-Employee Director Compensation Policy</w:t>
      </w:r>
    </w:p>
    <w:p>
      <w:pPr>
        <w:spacing w:after="0" w:line="251"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22"/>
          <w:szCs w:val="22"/>
          <w:color w:val="auto"/>
        </w:rPr>
        <w:t>The purpose of this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Twilio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to provide a total compensation package that enables the Company to attract and retain, on a long-term basis, high- caliber directors who are not employees or officers of the Company or its subsidiaries (“</w:t>
      </w:r>
      <w:r>
        <w:rPr>
          <w:rFonts w:ascii="Times New Roman" w:cs="Times New Roman" w:eastAsia="Times New Roman" w:hAnsi="Times New Roman"/>
          <w:sz w:val="22"/>
          <w:szCs w:val="22"/>
          <w:u w:val="single" w:color="auto"/>
          <w:color w:val="auto"/>
        </w:rPr>
        <w:t>Outside Directors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22"/>
          <w:szCs w:val="22"/>
          <w:color w:val="auto"/>
        </w:rPr>
        <w:t>In furtherance of the purpose stated above, all Outside Directors who will continue as a member of the Board of Directors following the Company’s Annual Meeting of Stockholders shall receive, as compensation for services provided to the Company, grants of restricted stock units on the dates and with the Values as set forth below. Such grants shall vest as set forth below; provided, however that all grants and all vesting shall cease if the director resigns from our Board of Directors or otherwise ceases to serve as a director (or in the case of committee retainers, lead independent director retainer or independent board chairperson retainer), ceases to serve on the applicable committee, or in their capacity as a lead independent director or independent board chairperson, respectively), unless the Board of Directors determines that the circumstances warrant continuation of vesting. An Outside Director must be in service to the Company as an Outside Director on the date of grant in order to be eligible to receive such grant.</w:t>
      </w:r>
    </w:p>
    <w:p>
      <w:pPr>
        <w:spacing w:after="0" w:line="203"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Retainers and Annual Grant</w:t>
      </w:r>
    </w:p>
    <w:p>
      <w:pPr>
        <w:spacing w:after="0" w:line="237"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Retainer for Board Membership</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$60,000 for general availability and participation in meetings and conference calls of our Board of Directors.</w:t>
      </w:r>
    </w:p>
    <w:p>
      <w:pPr>
        <w:spacing w:after="0" w:line="206" w:lineRule="exact"/>
        <w:rPr>
          <w:sz w:val="20"/>
          <w:szCs w:val="20"/>
          <w:color w:val="auto"/>
        </w:rPr>
      </w:pPr>
    </w:p>
    <w:p>
      <w:pPr>
        <w:ind w:right="5120" w:firstLine="8"/>
        <w:spacing w:after="0" w:line="480" w:lineRule="auto"/>
        <w:tabs>
          <w:tab w:leader="none" w:pos="46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Equity Annual Retainers for Committee Membership</w:t>
      </w:r>
      <w:r>
        <w:rPr>
          <w:rFonts w:ascii="Times New Roman" w:cs="Times New Roman" w:eastAsia="Times New Roman" w:hAnsi="Times New Roman"/>
          <w:sz w:val="22"/>
          <w:szCs w:val="22"/>
          <w:color w:val="auto"/>
        </w:rPr>
        <w:t>: Audit Committee Chairperson: $26,000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 Committee member (other than Chairperson): $13,000</w:t>
      </w:r>
    </w:p>
    <w:p>
      <w:pPr>
        <w:spacing w:after="0" w:line="246"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and Talent Management Committee Chairperson: $20,000</w:t>
      </w:r>
    </w:p>
    <w:p>
      <w:pPr>
        <w:spacing w:after="0" w:line="246"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and Talent Management Committee member (other than Chairperson): $10,000</w:t>
      </w:r>
    </w:p>
    <w:p>
      <w:pPr>
        <w:spacing w:after="0" w:line="26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Nominating and Corporate Governance Committee Chairperson: $12,000</w:t>
      </w:r>
    </w:p>
    <w:p>
      <w:pPr>
        <w:spacing w:after="0" w:line="246"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Nominating and Corporate Governance Committee member (other than Chairperson): $6,000</w:t>
      </w:r>
    </w:p>
    <w:p>
      <w:pPr>
        <w:sectPr>
          <w:pgSz w:w="11900" w:h="16838" w:orient="portrait"/>
          <w:cols w:equalWidth="0" w:num="1">
            <w:col w:w="11240"/>
          </w:cols>
          <w:pgMar w:left="320" w:top="842" w:right="339" w:bottom="1440" w:gutter="0" w:footer="0" w:header="0"/>
        </w:sectPr>
      </w:pPr>
    </w:p>
    <w:bookmarkStart w:id="74" w:name="page75"/>
    <w:bookmarkEnd w:id="74"/>
    <w:p>
      <w:pPr>
        <w:ind w:right="1640" w:firstLine="8"/>
        <w:spacing w:after="0" w:line="467" w:lineRule="auto"/>
        <w:tabs>
          <w:tab w:leader="none" w:pos="45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Equity Retainer for Lead Independent Director or Independent Board Chairperson</w:t>
      </w:r>
      <w:r>
        <w:rPr>
          <w:rFonts w:ascii="Times New Roman" w:cs="Times New Roman" w:eastAsia="Times New Roman" w:hAnsi="Times New Roman"/>
          <w:sz w:val="22"/>
          <w:szCs w:val="22"/>
          <w:color w:val="auto"/>
        </w:rPr>
        <w:t>: $30,000 for serving as lead independent director of our Board of Directors.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 for serving as independent board chairperson of our Board of Directors.</w:t>
      </w:r>
    </w:p>
    <w:p>
      <w:pPr>
        <w:spacing w:after="0" w:line="233"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Each Outside Director who will continue as a member of the Board of Directors following such Annual Meeting of Stockholders will be entitled to receive a grant of restricted stock units (the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with a Value of $250,000.</w:t>
      </w:r>
    </w:p>
    <w:p>
      <w:pPr>
        <w:spacing w:after="0" w:line="199"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grants set forth in clauses (a), (b), (c) and (d) above shall be referred to in the aggregate as the “</w:t>
      </w:r>
      <w:r>
        <w:rPr>
          <w:rFonts w:ascii="Times New Roman" w:cs="Times New Roman" w:eastAsia="Times New Roman" w:hAnsi="Times New Roman"/>
          <w:sz w:val="22"/>
          <w:szCs w:val="22"/>
          <w:u w:val="single" w:color="auto"/>
          <w:color w:val="auto"/>
        </w:rPr>
        <w:t>Retainer and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The Retainer and Annual Grants shall be granted in four installments over the course of the year that commences on the date of each Annual Meeting of Stockholders, with such grants to be made on each (1) September 15, (2) December 15, (3) March 15 and (4) the earlier of (i) June 15; or (ii) the day that is immediately prior to the next subsequent Annual Meeting of Stockholders (each such date, a “</w:t>
      </w:r>
      <w:r>
        <w:rPr>
          <w:rFonts w:ascii="Times New Roman" w:cs="Times New Roman" w:eastAsia="Times New Roman" w:hAnsi="Times New Roman"/>
          <w:sz w:val="22"/>
          <w:szCs w:val="22"/>
          <w:u w:val="single" w:color="auto"/>
          <w:color w:val="auto"/>
        </w:rPr>
        <w:t>Quarterly Date</w:t>
      </w:r>
      <w:r>
        <w:rPr>
          <w:rFonts w:ascii="Times New Roman" w:cs="Times New Roman" w:eastAsia="Times New Roman" w:hAnsi="Times New Roman"/>
          <w:sz w:val="22"/>
          <w:szCs w:val="22"/>
          <w:color w:val="auto"/>
        </w:rPr>
        <w:t>,” and each such grant, a “</w:t>
      </w:r>
      <w:r>
        <w:rPr>
          <w:rFonts w:ascii="Times New Roman" w:cs="Times New Roman" w:eastAsia="Times New Roman" w:hAnsi="Times New Roman"/>
          <w:sz w:val="22"/>
          <w:szCs w:val="22"/>
          <w:u w:val="single" w:color="auto"/>
          <w:color w:val="auto"/>
        </w:rPr>
        <w:t>Quarterly Grant</w:t>
      </w:r>
      <w:r>
        <w:rPr>
          <w:rFonts w:ascii="Times New Roman" w:cs="Times New Roman" w:eastAsia="Times New Roman" w:hAnsi="Times New Roman"/>
          <w:sz w:val="22"/>
          <w:szCs w:val="22"/>
          <w:color w:val="auto"/>
        </w:rPr>
        <w:t>”). The value of each Quarterly Grant shall be equal to the Value of the portion of the Retainer and Annual Grants applicable to the period beginning on the day after the immediately preceding Quarterly Date and ending on the then-current Quarterly Date (the “</w:t>
      </w:r>
      <w:r>
        <w:rPr>
          <w:rFonts w:ascii="Times New Roman" w:cs="Times New Roman" w:eastAsia="Times New Roman" w:hAnsi="Times New Roman"/>
          <w:sz w:val="22"/>
          <w:szCs w:val="22"/>
          <w:u w:val="single" w:color="auto"/>
          <w:color w:val="auto"/>
        </w:rPr>
        <w:t>Quarterly Period</w:t>
      </w:r>
      <w:r>
        <w:rPr>
          <w:rFonts w:ascii="Times New Roman" w:cs="Times New Roman" w:eastAsia="Times New Roman" w:hAnsi="Times New Roman"/>
          <w:sz w:val="22"/>
          <w:szCs w:val="22"/>
          <w:color w:val="auto"/>
        </w:rPr>
        <w:t>”), based on the Board and committee roles held by the Outside Director during such Quarterly Period. Each Quarterly Grant shall be fully vested upon the date of grant.</w:t>
      </w:r>
    </w:p>
    <w:p>
      <w:pPr>
        <w:spacing w:after="0" w:line="213"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Initial Equity Grant</w:t>
      </w:r>
    </w:p>
    <w:p>
      <w:pPr>
        <w:spacing w:after="0" w:line="23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Upon initial election or appointment to the Board of Directors, each new Outside Director will receive an initial, one-time grant of restricted stock units (the “</w:t>
      </w: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with a Value of $575,000, that vests annually over three years; provided, however, if a new Outside Director is elected or appointed on a date other than at the Company’s Annual Meeting of Stockholders, one-third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of such Value shall be pro-rated by the amount of time between such election or appointment and the one-year anniversary of the Annual Meeting of Stockholders held most recently prior to such election or appointment (such date, the “</w:t>
      </w:r>
      <w:r>
        <w:rPr>
          <w:rFonts w:ascii="Times New Roman" w:cs="Times New Roman" w:eastAsia="Times New Roman" w:hAnsi="Times New Roman"/>
          <w:sz w:val="22"/>
          <w:szCs w:val="22"/>
          <w:u w:val="single" w:color="auto"/>
          <w:color w:val="auto"/>
        </w:rPr>
        <w:t>Initial Vesting Date</w:t>
      </w:r>
      <w:r>
        <w:rPr>
          <w:rFonts w:ascii="Times New Roman" w:cs="Times New Roman" w:eastAsia="Times New Roman" w:hAnsi="Times New Roman"/>
          <w:sz w:val="22"/>
          <w:szCs w:val="22"/>
          <w:color w:val="auto"/>
        </w:rPr>
        <w:t>”), and such pro-rated portion shall vest on the Initial Vesting Date. The other two-thirds (2/3</w:t>
      </w:r>
      <w:r>
        <w:rPr>
          <w:rFonts w:ascii="Times New Roman" w:cs="Times New Roman" w:eastAsia="Times New Roman" w:hAnsi="Times New Roman"/>
          <w:sz w:val="28"/>
          <w:szCs w:val="28"/>
          <w:color w:val="auto"/>
          <w:vertAlign w:val="superscript"/>
        </w:rPr>
        <w:t>rds</w:t>
      </w:r>
      <w:r>
        <w:rPr>
          <w:rFonts w:ascii="Times New Roman" w:cs="Times New Roman" w:eastAsia="Times New Roman" w:hAnsi="Times New Roman"/>
          <w:sz w:val="22"/>
          <w:szCs w:val="22"/>
          <w:color w:val="auto"/>
        </w:rPr>
        <w:t>) of the Initial Grant shall vest as follows: one-third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of the Initial Grant shall vest on the one year anniversary of the Initial Vesting Date and the other one-third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of the Initial Grant shall vest on the two year anniversary of the Initial Vesting Date. This Initial Grant applies to Outside Directors who are first elected or appointed to the Board of Directors effective as of or subsequent to June 1, 2020. For the avoidance of doubt, the Initial Grant may only be granted once to any Outside Director.</w:t>
      </w:r>
    </w:p>
    <w:p>
      <w:pPr>
        <w:sectPr>
          <w:pgSz w:w="11900" w:h="16838" w:orient="portrait"/>
          <w:cols w:equalWidth="0" w:num="1">
            <w:col w:w="10920"/>
          </w:cols>
          <w:pgMar w:left="320" w:top="1300" w:right="659" w:bottom="1440" w:gutter="0" w:footer="0" w:header="0"/>
        </w:sectPr>
      </w:pPr>
    </w:p>
    <w:bookmarkStart w:id="75" w:name="page76"/>
    <w:bookmarkEnd w:id="75"/>
    <w:p>
      <w:pPr>
        <w:ind w:left="540" w:hanging="532"/>
        <w:spacing w:after="0"/>
        <w:tabs>
          <w:tab w:leader="none" w:pos="54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grants of equity awards to Outside Directors pursuant to this Policy will be automatic and nondiscretionary and will be made in accordance with the following provisions:</w:t>
      </w:r>
    </w:p>
    <w:p>
      <w:pPr>
        <w:spacing w:after="0" w:line="172"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any award of restricted stock units, the product of (A) the average closing market price on the New York Stock Exchange (or such other market on which the Company’s Class A common stock is then principally listed) of one share of the Company’s Class A common stock over the 30-day period ending five business days immediately before the effective date of grant, and (B) the aggregate number of shares pursuant to such award. If the Value of each grant of restricted stock units is denominated in dollars, the number of shares of restricted stock units that are granted pursuant to each award shall be rounded down to the nearest whole share.</w:t>
      </w:r>
    </w:p>
    <w:p>
      <w:pPr>
        <w:spacing w:after="0" w:line="2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Compensation Committee in its discretion may change and otherwise revise the terms of awards to be granted under this Policy, including, without limitation, the number of shares subject thereto, for awards of the same or different type granted on or after the date the Compensation Committee determines to make any such change or revision.</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In the event of a Sale Event (as defined in the Company’s 2016 Stock Option and Incentive Plan (as amended from time to time, the “2016 Plan”)), the equity retainer awards granted to Outside Directors pursuant to this Policy shall become 100% vested.</w:t>
      </w:r>
    </w:p>
    <w:p>
      <w:pPr>
        <w:spacing w:after="0" w:line="2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Expenses</w:t>
      </w:r>
    </w:p>
    <w:p>
      <w:pPr>
        <w:spacing w:after="0" w:line="2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Outside Directors in attending meetings of the Board of Directors or any Committee thereof.</w:t>
      </w:r>
    </w:p>
    <w:p>
      <w:pPr>
        <w:spacing w:after="0" w:line="195"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aggregate amount of compensation, excluding expense reimbursement paid to any Outside Director in a calendar year period shall not exceed $750,000 (or such other limit as may be set forth in Section 3(b) of the 2016 Plan or any similar provision of a successor plan). For this purpose, the “amount” of equity compensation paid in a calendar year shall be determined based on the grant date fair value thereof, as determined in accordance with ASC 718 or its successor provision, but excluding the impact of estimated forfeitures related to service-based vesting conditions.</w:t>
      </w:r>
    </w:p>
    <w:p>
      <w:pPr>
        <w:spacing w:after="0" w:line="3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Date Policy Approved</w:t>
      </w:r>
      <w:r>
        <w:rPr>
          <w:rFonts w:ascii="Times New Roman" w:cs="Times New Roman" w:eastAsia="Times New Roman" w:hAnsi="Times New Roman"/>
          <w:sz w:val="22"/>
          <w:szCs w:val="22"/>
          <w:color w:val="auto"/>
        </w:rPr>
        <w:t>: May 7, 2016, as amended on April 12, 2017, June 14, 2018, March 13, 2019, June 1, 2020, May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2021, March 16, 2022, September 15, 2022, April 3, 2024 and April 9, 2025.</w:t>
      </w:r>
    </w:p>
    <w:p>
      <w:pPr>
        <w:sectPr>
          <w:pgSz w:w="11900" w:h="16838" w:orient="portrait"/>
          <w:cols w:equalWidth="0" w:num="1">
            <w:col w:w="11020"/>
          </w:cols>
          <w:pgMar w:left="320" w:top="1310" w:right="5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Khozema Z. Shipchandler, certify that:</w:t>
      </w:r>
    </w:p>
    <w:p>
      <w:pPr>
        <w:spacing w:after="0" w:line="181"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Twilio Inc.;</w:t>
      </w:r>
    </w:p>
    <w:p>
      <w:pPr>
        <w:spacing w:after="0" w:line="194" w:lineRule="exact"/>
        <w:rPr>
          <w:rFonts w:ascii="Times New Roman" w:cs="Times New Roman" w:eastAsia="Times New Roman" w:hAnsi="Times New Roman"/>
          <w:sz w:val="16"/>
          <w:szCs w:val="16"/>
          <w:color w:val="auto"/>
        </w:rPr>
      </w:pPr>
    </w:p>
    <w:p>
      <w:pPr>
        <w:ind w:right="520" w:firstLine="656"/>
        <w:spacing w:after="0" w:line="280" w:lineRule="auto"/>
        <w:tabs>
          <w:tab w:leader="none" w:pos="129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right="480" w:firstLine="656"/>
        <w:spacing w:after="0" w:line="298" w:lineRule="auto"/>
        <w:tabs>
          <w:tab w:leader="none" w:pos="129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right="20" w:firstLine="656"/>
        <w:spacing w:after="0" w:line="272" w:lineRule="auto"/>
        <w:tabs>
          <w:tab w:leader="none" w:pos="129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right="80" w:firstLine="1304"/>
        <w:spacing w:after="0" w:line="272" w:lineRule="auto"/>
        <w:tabs>
          <w:tab w:leader="none" w:pos="193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right="200" w:firstLine="1304"/>
        <w:spacing w:after="0" w:line="272" w:lineRule="auto"/>
        <w:tabs>
          <w:tab w:leader="none" w:pos="194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right="560" w:firstLine="1304"/>
        <w:spacing w:after="0" w:line="280" w:lineRule="auto"/>
        <w:tabs>
          <w:tab w:leader="none" w:pos="193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right="100" w:firstLine="1304"/>
        <w:spacing w:after="0" w:line="272" w:lineRule="auto"/>
        <w:tabs>
          <w:tab w:leader="none" w:pos="194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6"/>
          <w:szCs w:val="16"/>
          <w:color w:val="auto"/>
        </w:rPr>
      </w:pPr>
    </w:p>
    <w:p>
      <w:pPr>
        <w:ind w:right="240" w:firstLine="656"/>
        <w:spacing w:after="0" w:line="298" w:lineRule="auto"/>
        <w:tabs>
          <w:tab w:leader="none" w:pos="129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6"/>
          <w:szCs w:val="16"/>
          <w:color w:val="auto"/>
        </w:rPr>
      </w:pPr>
    </w:p>
    <w:p>
      <w:pPr>
        <w:ind w:right="20" w:firstLine="1304"/>
        <w:spacing w:after="0" w:line="298" w:lineRule="auto"/>
        <w:tabs>
          <w:tab w:leader="none" w:pos="193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6"/>
          <w:szCs w:val="16"/>
          <w:color w:val="auto"/>
        </w:rPr>
      </w:pPr>
    </w:p>
    <w:p>
      <w:pPr>
        <w:ind w:right="480" w:firstLine="1304"/>
        <w:spacing w:after="0" w:line="280" w:lineRule="auto"/>
        <w:tabs>
          <w:tab w:leader="none" w:pos="194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2, 2025</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997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ectPr>
          <w:pgSz w:w="11900" w:h="16838" w:orient="portrait"/>
          <w:cols w:equalWidth="0" w:num="1">
            <w:col w:w="11240"/>
          </w:cols>
          <w:pgMar w:left="320" w:top="1069"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Aidan Viggiano, certify that:</w:t>
      </w:r>
    </w:p>
    <w:p>
      <w:pPr>
        <w:spacing w:after="0" w:line="194"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Twilio Inc.;</w:t>
      </w:r>
    </w:p>
    <w:p>
      <w:pPr>
        <w:spacing w:after="0" w:line="180" w:lineRule="exact"/>
        <w:rPr>
          <w:rFonts w:ascii="Times New Roman" w:cs="Times New Roman" w:eastAsia="Times New Roman" w:hAnsi="Times New Roman"/>
          <w:sz w:val="16"/>
          <w:szCs w:val="16"/>
          <w:color w:val="auto"/>
        </w:rPr>
      </w:pPr>
    </w:p>
    <w:p>
      <w:pPr>
        <w:ind w:right="520" w:firstLine="656"/>
        <w:spacing w:after="0" w:line="298" w:lineRule="auto"/>
        <w:tabs>
          <w:tab w:leader="none" w:pos="129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right="480" w:firstLine="656"/>
        <w:spacing w:after="0" w:line="280" w:lineRule="auto"/>
        <w:tabs>
          <w:tab w:leader="none" w:pos="129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right="20" w:firstLine="656"/>
        <w:spacing w:after="0" w:line="263" w:lineRule="auto"/>
        <w:tabs>
          <w:tab w:leader="none" w:pos="129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6"/>
          <w:szCs w:val="16"/>
          <w:color w:val="auto"/>
        </w:rPr>
      </w:pPr>
    </w:p>
    <w:p>
      <w:pPr>
        <w:jc w:val="both"/>
        <w:ind w:right="80" w:firstLine="1304"/>
        <w:spacing w:after="0" w:line="272" w:lineRule="auto"/>
        <w:tabs>
          <w:tab w:leader="none" w:pos="193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Times New Roman" w:cs="Times New Roman" w:eastAsia="Times New Roman" w:hAnsi="Times New Roman"/>
          <w:sz w:val="16"/>
          <w:szCs w:val="16"/>
          <w:color w:val="auto"/>
        </w:rPr>
      </w:pPr>
    </w:p>
    <w:p>
      <w:pPr>
        <w:ind w:right="200" w:firstLine="1304"/>
        <w:spacing w:after="0" w:line="263" w:lineRule="auto"/>
        <w:tabs>
          <w:tab w:leader="none" w:pos="194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right="560" w:firstLine="1304"/>
        <w:spacing w:after="0" w:line="298" w:lineRule="auto"/>
        <w:tabs>
          <w:tab w:leader="none" w:pos="193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right="100" w:firstLine="1304"/>
        <w:spacing w:after="0" w:line="272" w:lineRule="auto"/>
        <w:tabs>
          <w:tab w:leader="none" w:pos="194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right="240" w:firstLine="656"/>
        <w:spacing w:after="0" w:line="280" w:lineRule="auto"/>
        <w:tabs>
          <w:tab w:leader="none" w:pos="129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right="20" w:firstLine="1304"/>
        <w:spacing w:after="0" w:line="280" w:lineRule="auto"/>
        <w:tabs>
          <w:tab w:leader="none" w:pos="1935"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right="480" w:firstLine="1304"/>
        <w:spacing w:after="0" w:line="280" w:lineRule="auto"/>
        <w:tabs>
          <w:tab w:leader="none" w:pos="1944"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2, 2025</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0976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Aidan Viggiano</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p>
      <w:pPr>
        <w:sectPr>
          <w:pgSz w:w="11900" w:h="16838" w:orient="portrait"/>
          <w:cols w:equalWidth="0" w:num="1">
            <w:col w:w="11240"/>
          </w:cols>
          <w:pgMar w:left="320" w:top="89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spacing w:after="0" w:line="151" w:lineRule="exact"/>
        <w:rPr>
          <w:sz w:val="20"/>
          <w:szCs w:val="20"/>
          <w:color w:val="auto"/>
        </w:rPr>
      </w:pPr>
    </w:p>
    <w:p>
      <w:pPr>
        <w:ind w:right="520" w:firstLine="656"/>
        <w:spacing w:after="0" w:line="298" w:lineRule="auto"/>
        <w:tabs>
          <w:tab w:leader="none" w:pos="129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 ended March 31, 2025, to which this Certification is attached as Exhibit 32.1 (the “Periodic Report”), fully complies with the requirements of Section 13(a) or Section 15(d) of the Exchange Act; and</w:t>
      </w:r>
    </w:p>
    <w:p>
      <w:pPr>
        <w:spacing w:after="0" w:line="110"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Periodic Report fairly presents, in all material respects, the financial condition and results of operations of the</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2, 2025</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40976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Khozema Z. Shipchandler</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i w:val="1"/>
          <w:iCs w:val="1"/>
          <w:color w:val="auto"/>
        </w:rPr>
        <w:t>Chief Executive Officer (Principal Executive Officer)</w:t>
      </w:r>
    </w:p>
    <w:p>
      <w:pPr>
        <w:spacing w:after="0" w:line="2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20320</wp:posOffset>
            </wp:positionV>
            <wp:extent cx="4097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5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Aidan Viggiano</w:t>
      </w:r>
    </w:p>
    <w:p>
      <w:pPr>
        <w:spacing w:after="0" w:line="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i w:val="1"/>
          <w:iCs w:val="1"/>
          <w:color w:val="auto"/>
        </w:rPr>
        <w:t>Chief Financial Officer (Principal Accounting and Financial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2"/>
    </w:lvl>
    <w:lvl w:ilvl="1">
      <w:lvlJc w:val="left"/>
      <w:lvlText w:val="(%2)"/>
      <w:numFmt w:val="lowerLetter"/>
      <w:start w:val="1"/>
    </w:lvl>
  </w:abstractNum>
  <w:abstractNum w:abstractNumId="3">
    <w:nsid w:val="836C40E"/>
    <w:multiLevelType w:val="hybridMultilevel"/>
    <w:lvl w:ilvl="0">
      <w:lvlJc w:val="left"/>
      <w:lvlText w:val="(%1)"/>
      <w:numFmt w:val="lowerLetter"/>
      <w:start w:val="2"/>
    </w:lvl>
  </w:abstractNum>
  <w:abstractNum w:abstractNumId="4">
    <w:nsid w:val="2901D82"/>
    <w:multiLevelType w:val="hybridMultilevel"/>
    <w:lvl w:ilvl="0">
      <w:lvlJc w:val="left"/>
      <w:lvlText w:val="(%1)"/>
      <w:numFmt w:val="lowerLetter"/>
      <w:start w:val="3"/>
    </w:lvl>
  </w:abstractNum>
  <w:abstractNum w:abstractNumId="5">
    <w:nsid w:val="3A95F874"/>
    <w:multiLevelType w:val="hybridMultilevel"/>
    <w:lvl w:ilvl="0">
      <w:lvlJc w:val="left"/>
      <w:lvlText w:val="(%1)"/>
      <w:numFmt w:val="lowerLetter"/>
      <w:start w:val="4"/>
    </w:lvl>
  </w:abstractNum>
  <w:abstractNum w:abstractNumId="6">
    <w:nsid w:val="8138641"/>
    <w:multiLevelType w:val="hybridMultilevel"/>
    <w:lvl w:ilvl="0">
      <w:lvlJc w:val="left"/>
      <w:lvlText w:val="(%1)"/>
      <w:numFmt w:val="lowerLetter"/>
      <w:start w:val="5"/>
    </w:lvl>
  </w:abstractNum>
  <w:abstractNum w:abstractNumId="7">
    <w:nsid w:val="1E7FF521"/>
    <w:multiLevelType w:val="hybridMultilevel"/>
    <w:lvl w:ilvl="0">
      <w:lvlJc w:val="left"/>
      <w:lvlText w:val="(%1)"/>
      <w:numFmt w:val="lowerLetter"/>
      <w:start w:val="6"/>
    </w:lvl>
  </w:abstractNum>
  <w:abstractNum w:abstractNumId="8">
    <w:nsid w:val="7C3DBD3D"/>
    <w:multiLevelType w:val="hybridMultilevel"/>
    <w:lvl w:ilvl="0">
      <w:lvlJc w:val="left"/>
      <w:lvlText w:val="(%1)"/>
      <w:numFmt w:val="lowerLetter"/>
      <w:start w:val="7"/>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decimal"/>
      <w:start w:val="7"/>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2"/>
    </w:lvl>
  </w:abstractNum>
  <w:abstractNum w:abstractNumId="13">
    <w:nsid w:val="3006C83E"/>
    <w:multiLevelType w:val="hybridMultilevel"/>
    <w:lvl w:ilvl="0">
      <w:lvlJc w:val="left"/>
      <w:lvlText w:val="(%1)"/>
      <w:numFmt w:val="lowerLetter"/>
      <w:start w:val="3"/>
    </w:lvl>
  </w:abstractNum>
  <w:abstractNum w:abstractNumId="14">
    <w:nsid w:val="614FD4A1"/>
    <w:multiLevelType w:val="hybridMultilevel"/>
    <w:lvl w:ilvl="0">
      <w:lvlJc w:val="left"/>
      <w:lvlText w:val="(%1)"/>
      <w:numFmt w:val="lowerLetter"/>
      <w:start w:val="4"/>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lowerRoman"/>
      <w:start w:val="2"/>
    </w:lvl>
  </w:abstractNum>
  <w:abstractNum w:abstractNumId="40">
    <w:nsid w:val="6DE91B18"/>
    <w:multiLevelType w:val="hybridMultilevel"/>
    <w:lvl w:ilvl="0">
      <w:lvlJc w:val="left"/>
      <w:lvlText w:val="%1"/>
      <w:numFmt w:val="decimal"/>
      <w:start w:val="104"/>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upperLetter"/>
      <w:start w:val="9"/>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2"/>
    </w:lvl>
  </w:abstractNum>
  <w:abstractNum w:abstractNumId="45">
    <w:nsid w:val="579478FE"/>
    <w:multiLevelType w:val="hybridMultilevel"/>
    <w:lvl w:ilvl="0">
      <w:lvlJc w:val="left"/>
      <w:lvlText w:val="(%1)"/>
      <w:numFmt w:val="lowerLetter"/>
      <w:start w:val="3"/>
    </w:lvl>
  </w:abstractNum>
  <w:abstractNum w:abstractNumId="46">
    <w:nsid w:val="749ABB43"/>
    <w:multiLevelType w:val="hybridMultilevel"/>
    <w:lvl w:ilvl="0">
      <w:lvlJc w:val="left"/>
      <w:lvlText w:val="(%1)"/>
      <w:numFmt w:val="lowerLetter"/>
      <w:start w:val="5"/>
    </w:lvl>
  </w:abstractNum>
  <w:abstractNum w:abstractNumId="47">
    <w:nsid w:val="3DC240FB"/>
    <w:multiLevelType w:val="hybridMultilevel"/>
    <w:lvl w:ilvl="0">
      <w:lvlJc w:val="left"/>
      <w:lvlText w:val="%1."/>
      <w:numFmt w:val="upperLetter"/>
      <w:start w:val="35"/>
    </w:lvl>
  </w:abstractNum>
  <w:abstractNum w:abstractNumId="48">
    <w:nsid w:val="1BA026FA"/>
    <w:multiLevelType w:val="hybridMultilevel"/>
    <w:lvl w:ilvl="0">
      <w:lvlJc w:val="left"/>
      <w:lvlText w:val="%1."/>
      <w:numFmt w:val="upperLetter"/>
      <w:start w:val="61"/>
    </w:lvl>
  </w:abstractNum>
  <w:abstractNum w:abstractNumId="49">
    <w:nsid w:val="79A1DEAA"/>
    <w:multiLevelType w:val="hybridMultilevel"/>
    <w:lvl w:ilvl="0">
      <w:lvlJc w:val="left"/>
      <w:lvlText w:val="%1."/>
      <w:numFmt w:val="upperLetter"/>
      <w:start w:val="22"/>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2025-05-02T15:24:47Z</dcterms:created>
  <dcterms:modified xsi:type="dcterms:W3CDTF">2025-05-02T15:24:47Z</dcterms:modified>
</cp:coreProperties>
</file>