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1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44" w:lineRule="exact"/>
        <w:rPr>
          <w:sz w:val="24"/>
          <w:szCs w:val="24"/>
          <w:color w:val="auto"/>
        </w:rPr>
      </w:pPr>
    </w:p>
    <w:p>
      <w:pPr>
        <w:ind w:left="3920"/>
        <w:spacing w:after="0"/>
        <w:rPr>
          <w:sz w:val="20"/>
          <w:szCs w:val="20"/>
          <w:color w:val="auto"/>
        </w:rPr>
      </w:pPr>
      <w:r>
        <w:rPr>
          <w:rFonts w:ascii="Arial" w:cs="Arial" w:eastAsia="Arial" w:hAnsi="Arial"/>
          <w:sz w:val="18"/>
          <w:szCs w:val="18"/>
          <w:b w:val="1"/>
          <w:bCs w:val="1"/>
          <w:color w:val="auto"/>
        </w:rPr>
        <w:t>________________________________________</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8-K</w:t>
      </w:r>
    </w:p>
    <w:p>
      <w:pPr>
        <w:spacing w:after="0" w:line="6" w:lineRule="exact"/>
        <w:rPr>
          <w:sz w:val="24"/>
          <w:szCs w:val="24"/>
          <w:color w:val="auto"/>
        </w:rPr>
      </w:pPr>
    </w:p>
    <w:p>
      <w:pPr>
        <w:ind w:left="3920"/>
        <w:spacing w:after="0"/>
        <w:rPr>
          <w:sz w:val="20"/>
          <w:szCs w:val="20"/>
          <w:color w:val="auto"/>
        </w:rPr>
      </w:pPr>
      <w:r>
        <w:rPr>
          <w:rFonts w:ascii="Arial" w:cs="Arial" w:eastAsia="Arial" w:hAnsi="Arial"/>
          <w:sz w:val="18"/>
          <w:szCs w:val="18"/>
          <w:b w:val="1"/>
          <w:bCs w:val="1"/>
          <w:color w:val="auto"/>
        </w:rPr>
        <w:t>________________________________________</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12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Report (Date of earliest event reported): July 31, 2019</w:t>
      </w:r>
    </w:p>
    <w:p>
      <w:pPr>
        <w:spacing w:after="0" w:line="144" w:lineRule="exact"/>
        <w:rPr>
          <w:sz w:val="24"/>
          <w:szCs w:val="24"/>
          <w:color w:val="auto"/>
        </w:rPr>
      </w:pPr>
    </w:p>
    <w:p>
      <w:pPr>
        <w:ind w:left="3920"/>
        <w:spacing w:after="0"/>
        <w:rPr>
          <w:sz w:val="20"/>
          <w:szCs w:val="20"/>
          <w:color w:val="auto"/>
        </w:rPr>
      </w:pPr>
      <w:r>
        <w:rPr>
          <w:rFonts w:ascii="Arial" w:cs="Arial" w:eastAsia="Arial" w:hAnsi="Arial"/>
          <w:sz w:val="18"/>
          <w:szCs w:val="18"/>
          <w:b w:val="1"/>
          <w:bCs w:val="1"/>
          <w:color w:val="auto"/>
        </w:rPr>
        <w:t>________________________________________</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29"/>
          <w:szCs w:val="29"/>
          <w:b w:val="1"/>
          <w:bCs w:val="1"/>
          <w:color w:val="auto"/>
        </w:rPr>
        <w:t>Twilio Inc.</w:t>
      </w:r>
    </w:p>
    <w:p>
      <w:pPr>
        <w:spacing w:after="0" w:line="1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3" w:lineRule="exact"/>
        <w:rPr>
          <w:sz w:val="24"/>
          <w:szCs w:val="24"/>
          <w:color w:val="auto"/>
        </w:rPr>
      </w:pPr>
    </w:p>
    <w:p>
      <w:pPr>
        <w:ind w:left="3920"/>
        <w:spacing w:after="0"/>
        <w:rPr>
          <w:sz w:val="20"/>
          <w:szCs w:val="20"/>
          <w:color w:val="auto"/>
        </w:rPr>
      </w:pPr>
      <w:r>
        <w:rPr>
          <w:rFonts w:ascii="Arial" w:cs="Arial" w:eastAsia="Arial" w:hAnsi="Arial"/>
          <w:sz w:val="18"/>
          <w:szCs w:val="18"/>
          <w:b w:val="1"/>
          <w:bCs w:val="1"/>
          <w:color w:val="auto"/>
        </w:rPr>
        <w:t>________________________________________</w:t>
      </w:r>
    </w:p>
    <w:p>
      <w:pPr>
        <w:spacing w:after="0" w:line="153" w:lineRule="exact"/>
        <w:rPr>
          <w:sz w:val="24"/>
          <w:szCs w:val="24"/>
          <w:color w:val="auto"/>
        </w:rPr>
      </w:pPr>
    </w:p>
    <w:tbl>
      <w:tblPr>
        <w:tblLayout w:type="fixed"/>
        <w:tblInd w:w="780" w:type="dxa"/>
        <w:tblCellMar>
          <w:top w:w="0" w:type="dxa"/>
          <w:left w:w="0" w:type="dxa"/>
          <w:bottom w:w="0" w:type="dxa"/>
          <w:right w:w="0" w:type="dxa"/>
        </w:tblCellMar>
      </w:tblPr>
      <w:tr>
        <w:trPr>
          <w:trHeight w:val="234"/>
        </w:trPr>
        <w:tc>
          <w:tcPr>
            <w:tcW w:w="2460" w:type="dxa"/>
            <w:vAlign w:val="bottom"/>
          </w:tcPr>
          <w:p>
            <w:pPr>
              <w:jc w:val="center"/>
              <w:ind w:right="490"/>
              <w:spacing w:after="0"/>
              <w:rPr>
                <w:sz w:val="20"/>
                <w:szCs w:val="20"/>
                <w:color w:val="auto"/>
              </w:rPr>
            </w:pPr>
            <w:r>
              <w:rPr>
                <w:rFonts w:ascii="Arial" w:cs="Arial" w:eastAsia="Arial" w:hAnsi="Arial"/>
                <w:sz w:val="18"/>
                <w:szCs w:val="18"/>
                <w:b w:val="1"/>
                <w:bCs w:val="1"/>
                <w:color w:val="auto"/>
                <w:w w:val="91"/>
              </w:rPr>
              <w:t>Delaware</w:t>
            </w:r>
          </w:p>
        </w:tc>
        <w:tc>
          <w:tcPr>
            <w:tcW w:w="506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001-37806</w:t>
            </w:r>
          </w:p>
        </w:tc>
        <w:tc>
          <w:tcPr>
            <w:tcW w:w="2020" w:type="dxa"/>
            <w:vAlign w:val="bottom"/>
          </w:tcPr>
          <w:p>
            <w:pPr>
              <w:jc w:val="center"/>
              <w:ind w:left="610"/>
              <w:spacing w:after="0"/>
              <w:rPr>
                <w:sz w:val="20"/>
                <w:szCs w:val="20"/>
                <w:color w:val="auto"/>
              </w:rPr>
            </w:pPr>
            <w:r>
              <w:rPr>
                <w:rFonts w:ascii="Arial" w:cs="Arial" w:eastAsia="Arial" w:hAnsi="Arial"/>
                <w:sz w:val="18"/>
                <w:szCs w:val="18"/>
                <w:b w:val="1"/>
                <w:bCs w:val="1"/>
                <w:color w:val="auto"/>
                <w:w w:val="91"/>
              </w:rPr>
              <w:t>26-2574840</w:t>
            </w:r>
          </w:p>
        </w:tc>
      </w:tr>
      <w:tr>
        <w:trPr>
          <w:trHeight w:val="256"/>
        </w:trPr>
        <w:tc>
          <w:tcPr>
            <w:tcW w:w="2460" w:type="dxa"/>
            <w:vAlign w:val="bottom"/>
          </w:tcPr>
          <w:p>
            <w:pPr>
              <w:jc w:val="center"/>
              <w:ind w:right="470"/>
              <w:spacing w:after="0"/>
              <w:rPr>
                <w:sz w:val="20"/>
                <w:szCs w:val="20"/>
                <w:color w:val="auto"/>
              </w:rPr>
            </w:pPr>
            <w:r>
              <w:rPr>
                <w:rFonts w:ascii="Arial" w:cs="Arial" w:eastAsia="Arial" w:hAnsi="Arial"/>
                <w:sz w:val="18"/>
                <w:szCs w:val="18"/>
                <w:color w:val="auto"/>
                <w:w w:val="92"/>
              </w:rPr>
              <w:t>(State or other jurisdiction</w:t>
            </w:r>
          </w:p>
        </w:tc>
        <w:tc>
          <w:tcPr>
            <w:tcW w:w="5060" w:type="dxa"/>
            <w:vAlign w:val="bottom"/>
          </w:tcPr>
          <w:p>
            <w:pPr>
              <w:jc w:val="center"/>
              <w:ind w:right="110"/>
              <w:spacing w:after="0"/>
              <w:rPr>
                <w:sz w:val="20"/>
                <w:szCs w:val="20"/>
                <w:color w:val="auto"/>
              </w:rPr>
            </w:pPr>
            <w:r>
              <w:rPr>
                <w:rFonts w:ascii="Arial" w:cs="Arial" w:eastAsia="Arial" w:hAnsi="Arial"/>
                <w:sz w:val="18"/>
                <w:szCs w:val="18"/>
                <w:color w:val="auto"/>
                <w:w w:val="93"/>
              </w:rPr>
              <w:t>(Commission</w:t>
            </w:r>
          </w:p>
        </w:tc>
        <w:tc>
          <w:tcPr>
            <w:tcW w:w="2020" w:type="dxa"/>
            <w:vAlign w:val="bottom"/>
          </w:tcPr>
          <w:p>
            <w:pPr>
              <w:jc w:val="center"/>
              <w:ind w:left="610"/>
              <w:spacing w:after="0"/>
              <w:rPr>
                <w:sz w:val="20"/>
                <w:szCs w:val="20"/>
                <w:color w:val="auto"/>
              </w:rPr>
            </w:pPr>
            <w:r>
              <w:rPr>
                <w:rFonts w:ascii="Arial" w:cs="Arial" w:eastAsia="Arial" w:hAnsi="Arial"/>
                <w:sz w:val="18"/>
                <w:szCs w:val="18"/>
                <w:color w:val="auto"/>
                <w:w w:val="92"/>
              </w:rPr>
              <w:t>(IRS Employer</w:t>
            </w:r>
          </w:p>
        </w:tc>
      </w:tr>
      <w:tr>
        <w:trPr>
          <w:trHeight w:val="230"/>
        </w:trPr>
        <w:tc>
          <w:tcPr>
            <w:tcW w:w="2460" w:type="dxa"/>
            <w:vAlign w:val="bottom"/>
          </w:tcPr>
          <w:p>
            <w:pPr>
              <w:jc w:val="center"/>
              <w:ind w:right="470"/>
              <w:spacing w:after="0"/>
              <w:rPr>
                <w:sz w:val="20"/>
                <w:szCs w:val="20"/>
                <w:color w:val="auto"/>
              </w:rPr>
            </w:pPr>
            <w:r>
              <w:rPr>
                <w:rFonts w:ascii="Arial" w:cs="Arial" w:eastAsia="Arial" w:hAnsi="Arial"/>
                <w:sz w:val="18"/>
                <w:szCs w:val="18"/>
                <w:color w:val="auto"/>
                <w:w w:val="93"/>
              </w:rPr>
              <w:t>of incorporation)</w:t>
            </w:r>
          </w:p>
        </w:tc>
        <w:tc>
          <w:tcPr>
            <w:tcW w:w="5060" w:type="dxa"/>
            <w:vAlign w:val="bottom"/>
          </w:tcPr>
          <w:p>
            <w:pPr>
              <w:jc w:val="center"/>
              <w:ind w:right="110"/>
              <w:spacing w:after="0"/>
              <w:rPr>
                <w:sz w:val="20"/>
                <w:szCs w:val="20"/>
                <w:color w:val="auto"/>
              </w:rPr>
            </w:pPr>
            <w:r>
              <w:rPr>
                <w:rFonts w:ascii="Arial" w:cs="Arial" w:eastAsia="Arial" w:hAnsi="Arial"/>
                <w:sz w:val="18"/>
                <w:szCs w:val="18"/>
                <w:color w:val="auto"/>
                <w:w w:val="94"/>
              </w:rPr>
              <w:t>File Number)</w:t>
            </w:r>
          </w:p>
        </w:tc>
        <w:tc>
          <w:tcPr>
            <w:tcW w:w="2020" w:type="dxa"/>
            <w:vAlign w:val="bottom"/>
          </w:tcPr>
          <w:p>
            <w:pPr>
              <w:jc w:val="center"/>
              <w:ind w:left="590"/>
              <w:spacing w:after="0"/>
              <w:rPr>
                <w:sz w:val="20"/>
                <w:szCs w:val="20"/>
                <w:color w:val="auto"/>
              </w:rPr>
            </w:pPr>
            <w:r>
              <w:rPr>
                <w:rFonts w:ascii="Arial" w:cs="Arial" w:eastAsia="Arial" w:hAnsi="Arial"/>
                <w:sz w:val="18"/>
                <w:szCs w:val="18"/>
                <w:color w:val="auto"/>
                <w:w w:val="95"/>
              </w:rPr>
              <w:t>Identification No.)</w:t>
            </w:r>
          </w:p>
        </w:tc>
      </w:tr>
      <w:tr>
        <w:trPr>
          <w:trHeight w:val="225"/>
        </w:trPr>
        <w:tc>
          <w:tcPr>
            <w:tcW w:w="2460" w:type="dxa"/>
            <w:vAlign w:val="bottom"/>
          </w:tcPr>
          <w:p>
            <w:pPr>
              <w:spacing w:after="0"/>
              <w:rPr>
                <w:sz w:val="19"/>
                <w:szCs w:val="19"/>
                <w:color w:val="auto"/>
              </w:rPr>
            </w:pPr>
          </w:p>
        </w:tc>
        <w:tc>
          <w:tcPr>
            <w:tcW w:w="5060" w:type="dxa"/>
            <w:vAlign w:val="bottom"/>
          </w:tcPr>
          <w:p>
            <w:pPr>
              <w:jc w:val="center"/>
              <w:ind w:right="30"/>
              <w:spacing w:after="0"/>
              <w:rPr>
                <w:sz w:val="20"/>
                <w:szCs w:val="20"/>
                <w:color w:val="auto"/>
              </w:rPr>
            </w:pPr>
            <w:r>
              <w:rPr>
                <w:rFonts w:ascii="Arial" w:cs="Arial" w:eastAsia="Arial" w:hAnsi="Arial"/>
                <w:sz w:val="18"/>
                <w:szCs w:val="18"/>
                <w:b w:val="1"/>
                <w:bCs w:val="1"/>
                <w:color w:val="auto"/>
                <w:w w:val="88"/>
              </w:rPr>
              <w:t>375 Beale Street, Suite 300</w:t>
            </w:r>
          </w:p>
        </w:tc>
        <w:tc>
          <w:tcPr>
            <w:tcW w:w="2020" w:type="dxa"/>
            <w:vAlign w:val="bottom"/>
          </w:tcPr>
          <w:p>
            <w:pPr>
              <w:spacing w:after="0"/>
              <w:rPr>
                <w:sz w:val="19"/>
                <w:szCs w:val="19"/>
                <w:color w:val="auto"/>
              </w:rPr>
            </w:pPr>
          </w:p>
        </w:tc>
      </w:tr>
      <w:tr>
        <w:trPr>
          <w:trHeight w:val="220"/>
        </w:trPr>
        <w:tc>
          <w:tcPr>
            <w:tcW w:w="2460" w:type="dxa"/>
            <w:vAlign w:val="bottom"/>
          </w:tcPr>
          <w:p>
            <w:pPr>
              <w:spacing w:after="0"/>
              <w:rPr>
                <w:sz w:val="19"/>
                <w:szCs w:val="19"/>
                <w:color w:val="auto"/>
              </w:rPr>
            </w:pPr>
          </w:p>
        </w:tc>
        <w:tc>
          <w:tcPr>
            <w:tcW w:w="506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San Francisco, California 94105</w:t>
            </w:r>
          </w:p>
        </w:tc>
        <w:tc>
          <w:tcPr>
            <w:tcW w:w="2020" w:type="dxa"/>
            <w:vAlign w:val="bottom"/>
          </w:tcPr>
          <w:p>
            <w:pPr>
              <w:spacing w:after="0"/>
              <w:rPr>
                <w:sz w:val="19"/>
                <w:szCs w:val="19"/>
                <w:color w:val="auto"/>
              </w:rPr>
            </w:pPr>
          </w:p>
        </w:tc>
      </w:tr>
      <w:tr>
        <w:trPr>
          <w:trHeight w:val="230"/>
        </w:trPr>
        <w:tc>
          <w:tcPr>
            <w:tcW w:w="2460" w:type="dxa"/>
            <w:vAlign w:val="bottom"/>
          </w:tcPr>
          <w:p>
            <w:pPr>
              <w:spacing w:after="0"/>
              <w:rPr>
                <w:sz w:val="20"/>
                <w:szCs w:val="20"/>
                <w:color w:val="auto"/>
              </w:rPr>
            </w:pPr>
          </w:p>
        </w:tc>
        <w:tc>
          <w:tcPr>
            <w:tcW w:w="5060" w:type="dxa"/>
            <w:vAlign w:val="bottom"/>
          </w:tcPr>
          <w:p>
            <w:pPr>
              <w:jc w:val="center"/>
              <w:ind w:right="30"/>
              <w:spacing w:after="0"/>
              <w:rPr>
                <w:sz w:val="20"/>
                <w:szCs w:val="20"/>
                <w:color w:val="auto"/>
              </w:rPr>
            </w:pPr>
            <w:r>
              <w:rPr>
                <w:rFonts w:ascii="Arial" w:cs="Arial" w:eastAsia="Arial" w:hAnsi="Arial"/>
                <w:sz w:val="18"/>
                <w:szCs w:val="18"/>
                <w:color w:val="auto"/>
                <w:w w:val="92"/>
              </w:rPr>
              <w:t>(Address of principal executive offices)</w:t>
            </w:r>
          </w:p>
        </w:tc>
        <w:tc>
          <w:tcPr>
            <w:tcW w:w="2020" w:type="dxa"/>
            <w:vAlign w:val="bottom"/>
          </w:tcPr>
          <w:p>
            <w:pPr>
              <w:spacing w:after="0"/>
              <w:rPr>
                <w:sz w:val="20"/>
                <w:szCs w:val="20"/>
                <w:color w:val="auto"/>
              </w:rPr>
            </w:pPr>
          </w:p>
        </w:tc>
      </w:tr>
      <w:tr>
        <w:trPr>
          <w:trHeight w:val="418"/>
        </w:trPr>
        <w:tc>
          <w:tcPr>
            <w:tcW w:w="2460" w:type="dxa"/>
            <w:vAlign w:val="bottom"/>
          </w:tcPr>
          <w:p>
            <w:pPr>
              <w:spacing w:after="0"/>
              <w:rPr>
                <w:sz w:val="24"/>
                <w:szCs w:val="24"/>
                <w:color w:val="auto"/>
              </w:rPr>
            </w:pPr>
          </w:p>
        </w:tc>
        <w:tc>
          <w:tcPr>
            <w:tcW w:w="506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(415) 390-2337</w:t>
            </w:r>
          </w:p>
        </w:tc>
        <w:tc>
          <w:tcPr>
            <w:tcW w:w="2020" w:type="dxa"/>
            <w:vAlign w:val="bottom"/>
          </w:tcPr>
          <w:p>
            <w:pPr>
              <w:spacing w:after="0"/>
              <w:rPr>
                <w:sz w:val="24"/>
                <w:szCs w:val="24"/>
                <w:color w:val="auto"/>
              </w:rPr>
            </w:pPr>
          </w:p>
        </w:tc>
      </w:tr>
      <w:tr>
        <w:trPr>
          <w:trHeight w:val="230"/>
        </w:trPr>
        <w:tc>
          <w:tcPr>
            <w:tcW w:w="2460" w:type="dxa"/>
            <w:vAlign w:val="bottom"/>
          </w:tcPr>
          <w:p>
            <w:pPr>
              <w:spacing w:after="0"/>
              <w:rPr>
                <w:sz w:val="20"/>
                <w:szCs w:val="20"/>
                <w:color w:val="auto"/>
              </w:rPr>
            </w:pPr>
          </w:p>
        </w:tc>
        <w:tc>
          <w:tcPr>
            <w:tcW w:w="5060" w:type="dxa"/>
            <w:vAlign w:val="bottom"/>
          </w:tcPr>
          <w:p>
            <w:pPr>
              <w:jc w:val="center"/>
              <w:ind w:right="30"/>
              <w:spacing w:after="0"/>
              <w:rPr>
                <w:sz w:val="20"/>
                <w:szCs w:val="20"/>
                <w:color w:val="auto"/>
              </w:rPr>
            </w:pPr>
            <w:r>
              <w:rPr>
                <w:rFonts w:ascii="Arial" w:cs="Arial" w:eastAsia="Arial" w:hAnsi="Arial"/>
                <w:sz w:val="18"/>
                <w:szCs w:val="18"/>
                <w:color w:val="auto"/>
                <w:w w:val="90"/>
              </w:rPr>
              <w:t>(Registrant’s telephone number, including area code)</w:t>
            </w:r>
          </w:p>
        </w:tc>
        <w:tc>
          <w:tcPr>
            <w:tcW w:w="2020" w:type="dxa"/>
            <w:vAlign w:val="bottom"/>
          </w:tcPr>
          <w:p>
            <w:pPr>
              <w:spacing w:after="0"/>
              <w:rPr>
                <w:sz w:val="20"/>
                <w:szCs w:val="20"/>
                <w:color w:val="auto"/>
              </w:rPr>
            </w:pPr>
          </w:p>
        </w:tc>
      </w:tr>
    </w:tbl>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130" w:lineRule="exact"/>
        <w:rPr>
          <w:sz w:val="24"/>
          <w:szCs w:val="24"/>
          <w:color w:val="auto"/>
        </w:rPr>
      </w:pPr>
    </w:p>
    <w:p>
      <w:pPr>
        <w:ind w:right="10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ectPr>
          <w:pgSz w:w="11900" w:h="16838" w:orient="portrait"/>
          <w:cols w:equalWidth="0" w:num="1">
            <w:col w:w="11400"/>
          </w:cols>
          <w:pgMar w:left="240" w:top="675" w:right="259" w:bottom="1440" w:gutter="0" w:footer="0" w:header="0"/>
        </w:sectPr>
      </w:pPr>
    </w:p>
    <w:p>
      <w:pPr>
        <w:spacing w:after="0" w:line="387" w:lineRule="exact"/>
        <w:rPr>
          <w:sz w:val="24"/>
          <w:szCs w:val="24"/>
          <w:color w:val="auto"/>
        </w:rPr>
      </w:pPr>
    </w:p>
    <w:p>
      <w:pPr>
        <w:ind w:left="40"/>
        <w:spacing w:after="0"/>
        <w:rPr>
          <w:sz w:val="20"/>
          <w:szCs w:val="20"/>
          <w:color w:val="auto"/>
        </w:rPr>
      </w:pPr>
      <w:r>
        <w:rPr>
          <w:rFonts w:ascii="Arial" w:cs="Arial" w:eastAsia="Arial" w:hAnsi="Arial"/>
          <w:sz w:val="18"/>
          <w:szCs w:val="18"/>
          <w:color w:val="auto"/>
        </w:rPr>
        <w:t>*</w:t>
      </w:r>
    </w:p>
    <w:p>
      <w:pPr>
        <w:spacing w:after="0" w:line="333" w:lineRule="exact"/>
        <w:rPr>
          <w:sz w:val="24"/>
          <w:szCs w:val="24"/>
          <w:color w:val="auto"/>
        </w:rPr>
      </w:pPr>
    </w:p>
    <w:p>
      <w:pPr>
        <w:ind w:left="40"/>
        <w:spacing w:after="0"/>
        <w:rPr>
          <w:sz w:val="20"/>
          <w:szCs w:val="20"/>
          <w:color w:val="auto"/>
        </w:rPr>
      </w:pPr>
      <w:r>
        <w:rPr>
          <w:rFonts w:ascii="Arial" w:cs="Arial" w:eastAsia="Arial" w:hAnsi="Arial"/>
          <w:sz w:val="18"/>
          <w:szCs w:val="18"/>
          <w:color w:val="auto"/>
        </w:rPr>
        <w:t>*</w:t>
      </w:r>
    </w:p>
    <w:p>
      <w:pPr>
        <w:spacing w:after="0" w:line="333" w:lineRule="exact"/>
        <w:rPr>
          <w:sz w:val="24"/>
          <w:szCs w:val="24"/>
          <w:color w:val="auto"/>
        </w:rPr>
      </w:pPr>
    </w:p>
    <w:p>
      <w:pPr>
        <w:ind w:left="40"/>
        <w:spacing w:after="0"/>
        <w:rPr>
          <w:sz w:val="20"/>
          <w:szCs w:val="20"/>
          <w:color w:val="auto"/>
        </w:rPr>
      </w:pPr>
      <w:r>
        <w:rPr>
          <w:rFonts w:ascii="Arial" w:cs="Arial" w:eastAsia="Arial" w:hAnsi="Arial"/>
          <w:sz w:val="18"/>
          <w:szCs w:val="18"/>
          <w:color w:val="auto"/>
        </w:rPr>
        <w:t>*</w:t>
      </w:r>
    </w:p>
    <w:p>
      <w:pPr>
        <w:spacing w:after="0" w:line="333" w:lineRule="exact"/>
        <w:rPr>
          <w:sz w:val="24"/>
          <w:szCs w:val="24"/>
          <w:color w:val="auto"/>
        </w:rPr>
      </w:pPr>
    </w:p>
    <w:p>
      <w:pPr>
        <w:ind w:left="40"/>
        <w:spacing w:after="0"/>
        <w:rPr>
          <w:sz w:val="20"/>
          <w:szCs w:val="20"/>
          <w:color w:val="auto"/>
        </w:rPr>
      </w:pPr>
      <w:r>
        <w:rPr>
          <w:rFonts w:ascii="Arial" w:cs="Arial" w:eastAsia="Arial" w:hAnsi="Arial"/>
          <w:sz w:val="18"/>
          <w:szCs w:val="18"/>
          <w:color w:val="auto"/>
        </w:rPr>
        <w: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2" w:lineRule="exact"/>
        <w:rPr>
          <w:sz w:val="24"/>
          <w:szCs w:val="24"/>
          <w:color w:val="auto"/>
        </w:rPr>
      </w:pPr>
    </w:p>
    <w:p>
      <w:pPr>
        <w:spacing w:after="0"/>
        <w:rPr>
          <w:sz w:val="20"/>
          <w:szCs w:val="20"/>
          <w:color w:val="auto"/>
        </w:rPr>
      </w:pPr>
      <w:r>
        <w:rPr>
          <w:rFonts w:ascii="Arial" w:cs="Arial" w:eastAsia="Arial" w:hAnsi="Arial"/>
          <w:sz w:val="18"/>
          <w:szCs w:val="18"/>
          <w:color w:val="auto"/>
        </w:rPr>
        <w:t>Written communications pursuant to Rule 425 under the Securities Act (17 CFR 230.425)</w:t>
      </w:r>
    </w:p>
    <w:p>
      <w:pPr>
        <w:spacing w:after="0" w:line="333" w:lineRule="exact"/>
        <w:rPr>
          <w:sz w:val="24"/>
          <w:szCs w:val="24"/>
          <w:color w:val="auto"/>
        </w:rPr>
      </w:pPr>
    </w:p>
    <w:p>
      <w:pPr>
        <w:spacing w:after="0"/>
        <w:rPr>
          <w:sz w:val="20"/>
          <w:szCs w:val="20"/>
          <w:color w:val="auto"/>
        </w:rPr>
      </w:pPr>
      <w:r>
        <w:rPr>
          <w:rFonts w:ascii="Arial" w:cs="Arial" w:eastAsia="Arial" w:hAnsi="Arial"/>
          <w:sz w:val="18"/>
          <w:szCs w:val="18"/>
          <w:color w:val="auto"/>
        </w:rPr>
        <w:t>Soliciting material pursuant to Rule 14a-12 under the Exchange Act (17 CFR 240.14a-12)</w:t>
      </w:r>
    </w:p>
    <w:p>
      <w:pPr>
        <w:spacing w:after="0" w:line="333" w:lineRule="exact"/>
        <w:rPr>
          <w:sz w:val="24"/>
          <w:szCs w:val="24"/>
          <w:color w:val="auto"/>
        </w:rPr>
      </w:pPr>
    </w:p>
    <w:p>
      <w:pPr>
        <w:spacing w:after="0"/>
        <w:rPr>
          <w:sz w:val="20"/>
          <w:szCs w:val="20"/>
          <w:color w:val="auto"/>
        </w:rPr>
      </w:pPr>
      <w:r>
        <w:rPr>
          <w:rFonts w:ascii="Arial" w:cs="Arial" w:eastAsia="Arial" w:hAnsi="Arial"/>
          <w:sz w:val="16"/>
          <w:szCs w:val="16"/>
          <w:color w:val="auto"/>
        </w:rPr>
        <w:t>Pre-commencement communications pursuant to Rule 14d-2(b) under the Exchange Act (17 CFR 240.14d-2(b))</w:t>
      </w:r>
    </w:p>
    <w:p>
      <w:pPr>
        <w:spacing w:after="0" w:line="356" w:lineRule="exact"/>
        <w:rPr>
          <w:sz w:val="24"/>
          <w:szCs w:val="24"/>
          <w:color w:val="auto"/>
        </w:rPr>
      </w:pPr>
    </w:p>
    <w:p>
      <w:pPr>
        <w:spacing w:after="0"/>
        <w:rPr>
          <w:sz w:val="20"/>
          <w:szCs w:val="20"/>
          <w:color w:val="auto"/>
        </w:rPr>
      </w:pPr>
      <w:r>
        <w:rPr>
          <w:rFonts w:ascii="Arial" w:cs="Arial" w:eastAsia="Arial" w:hAnsi="Arial"/>
          <w:sz w:val="16"/>
          <w:szCs w:val="16"/>
          <w:color w:val="auto"/>
        </w:rPr>
        <w:t>Pre-commencement communications pursuant to Rule 13e-4(c) under the Exchange Act (17 CFR 240.13e-4(c))</w:t>
      </w:r>
    </w:p>
    <w:p>
      <w:pPr>
        <w:spacing w:after="0" w:line="200" w:lineRule="exact"/>
        <w:rPr>
          <w:sz w:val="24"/>
          <w:szCs w:val="24"/>
          <w:color w:val="auto"/>
        </w:rPr>
      </w:pPr>
    </w:p>
    <w:p>
      <w:pPr>
        <w:sectPr>
          <w:pgSz w:w="11900" w:h="16838" w:orient="portrait"/>
          <w:cols w:equalWidth="0" w:num="2">
            <w:col w:w="120" w:space="260"/>
            <w:col w:w="11020"/>
          </w:cols>
          <w:pgMar w:left="240" w:top="675" w:right="259" w:bottom="1440" w:gutter="0" w:footer="0" w:header="0"/>
          <w:type w:val="continuous"/>
        </w:sectPr>
      </w:pPr>
    </w:p>
    <w:p>
      <w:pPr>
        <w:spacing w:after="0" w:line="372"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82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2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20" w:type="dxa"/>
            <w:vAlign w:val="bottom"/>
          </w:tcPr>
          <w:p>
            <w:pPr>
              <w:spacing w:after="0"/>
              <w:rPr>
                <w:sz w:val="20"/>
                <w:szCs w:val="20"/>
                <w:color w:val="auto"/>
              </w:rPr>
            </w:pPr>
          </w:p>
        </w:tc>
      </w:tr>
      <w:tr>
        <w:trPr>
          <w:trHeight w:val="554"/>
        </w:trPr>
        <w:tc>
          <w:tcPr>
            <w:tcW w:w="20" w:type="dxa"/>
            <w:vAlign w:val="bottom"/>
          </w:tcPr>
          <w:p>
            <w:pPr>
              <w:spacing w:after="0"/>
              <w:rPr>
                <w:sz w:val="24"/>
                <w:szCs w:val="24"/>
                <w:color w:val="auto"/>
              </w:rPr>
            </w:pPr>
          </w:p>
        </w:tc>
        <w:tc>
          <w:tcPr>
            <w:tcW w:w="48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Title of each class</w:t>
            </w:r>
          </w:p>
        </w:tc>
        <w:tc>
          <w:tcPr>
            <w:tcW w:w="21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Trading symbol(s)</w:t>
            </w:r>
          </w:p>
        </w:tc>
        <w:tc>
          <w:tcPr>
            <w:tcW w:w="442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7"/>
        </w:trPr>
        <w:tc>
          <w:tcPr>
            <w:tcW w:w="20" w:type="dxa"/>
            <w:vAlign w:val="bottom"/>
          </w:tcPr>
          <w:p>
            <w:pPr>
              <w:spacing w:after="0"/>
              <w:rPr>
                <w:sz w:val="2"/>
                <w:szCs w:val="2"/>
                <w:color w:val="auto"/>
              </w:rPr>
            </w:pPr>
          </w:p>
        </w:tc>
        <w:tc>
          <w:tcPr>
            <w:tcW w:w="4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2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48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Class A Common Stock, par value $0.001 per share</w:t>
            </w:r>
          </w:p>
        </w:tc>
        <w:tc>
          <w:tcPr>
            <w:tcW w:w="21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rPr>
              <w:t>TWLO</w:t>
            </w:r>
          </w:p>
        </w:tc>
        <w:tc>
          <w:tcPr>
            <w:tcW w:w="4420" w:type="dxa"/>
            <w:vAlign w:val="bottom"/>
          </w:tcPr>
          <w:p>
            <w:pPr>
              <w:jc w:val="center"/>
              <w:spacing w:after="0"/>
              <w:rPr>
                <w:sz w:val="20"/>
                <w:szCs w:val="20"/>
                <w:color w:val="auto"/>
              </w:rPr>
            </w:pPr>
            <w:r>
              <w:rPr>
                <w:rFonts w:ascii="Arial" w:cs="Arial" w:eastAsia="Arial" w:hAnsi="Arial"/>
                <w:sz w:val="18"/>
                <w:szCs w:val="18"/>
                <w:b w:val="1"/>
                <w:bCs w:val="1"/>
                <w:color w:val="auto"/>
                <w:w w:val="90"/>
              </w:rPr>
              <w:t>The New York Stock Exchange</w:t>
            </w:r>
          </w:p>
        </w:tc>
      </w:tr>
    </w:tbl>
    <w:p>
      <w:pPr>
        <w:spacing w:after="0" w:line="148" w:lineRule="exact"/>
        <w:rPr>
          <w:sz w:val="24"/>
          <w:szCs w:val="24"/>
          <w:color w:val="auto"/>
        </w:rPr>
      </w:pPr>
    </w:p>
    <w:p>
      <w:pPr>
        <w:ind w:right="4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51" w:lineRule="exact"/>
        <w:rPr>
          <w:sz w:val="24"/>
          <w:szCs w:val="24"/>
          <w:color w:val="auto"/>
        </w:rPr>
      </w:pPr>
    </w:p>
    <w:p>
      <w:pPr>
        <w:ind w:left="8760"/>
        <w:spacing w:after="0"/>
        <w:tabs>
          <w:tab w:leader="none" w:pos="1128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Arial" w:cs="Arial" w:eastAsia="Arial" w:hAnsi="Arial"/>
          <w:sz w:val="18"/>
          <w:szCs w:val="18"/>
          <w:color w:val="auto"/>
        </w:rPr>
        <w:t>*</w:t>
      </w:r>
    </w:p>
    <w:p>
      <w:pPr>
        <w:spacing w:after="0" w:line="63" w:lineRule="exact"/>
        <w:rPr>
          <w:sz w:val="24"/>
          <w:szCs w:val="24"/>
          <w:color w:val="auto"/>
        </w:rPr>
      </w:pPr>
    </w:p>
    <w:p>
      <w:pPr>
        <w:ind w:left="40"/>
        <w:spacing w:after="0"/>
        <w:tabs>
          <w:tab w:leader="none" w:pos="11280" w:val="left"/>
        </w:tabs>
        <w:rPr>
          <w:sz w:val="20"/>
          <w:szCs w:val="20"/>
          <w:color w:val="auto"/>
        </w:rPr>
      </w:pPr>
      <w:r>
        <w:rPr>
          <w:rFonts w:ascii="Arial" w:cs="Arial" w:eastAsia="Arial" w:hAnsi="Arial"/>
          <w:sz w:val="17"/>
          <w:szCs w:val="17"/>
          <w:color w:val="auto"/>
        </w:rPr>
        <w:t>If an emerging growth company, indicate by check mark if the registrant has elected not to use the extended transition period for complying with</w:t>
      </w:r>
      <w:r>
        <w:rPr>
          <w:sz w:val="20"/>
          <w:szCs w:val="20"/>
          <w:color w:val="auto"/>
        </w:rPr>
        <w:tab/>
      </w:r>
      <w:r>
        <w:rPr>
          <w:rFonts w:ascii="Arial" w:cs="Arial" w:eastAsia="Arial" w:hAnsi="Arial"/>
          <w:sz w:val="18"/>
          <w:szCs w:val="18"/>
          <w:color w:val="auto"/>
        </w:rPr>
        <w:t>*</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color w:val="auto"/>
        </w:rPr>
        <w:t>any new or revised financial accounting standards provided pursuant to Section 13(a) of the Exchange Act.</w:t>
      </w:r>
    </w:p>
    <w:p>
      <w:pPr>
        <w:sectPr>
          <w:pgSz w:w="11900" w:h="16838" w:orient="portrait"/>
          <w:cols w:equalWidth="0" w:num="1">
            <w:col w:w="11400"/>
          </w:cols>
          <w:pgMar w:left="240" w:top="675" w:right="259" w:bottom="1440" w:gutter="0" w:footer="0" w:header="0"/>
          <w:type w:val="continuous"/>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83"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color w:val="auto"/>
        </w:rPr>
        <w:t>On July 31, 2019, Twilio Inc. (the “Company”) issued a press release announcing its financial results for the quarterly period ended June 30, 2019. A copy of the press release is furnished herewith as Exhibit 99.1.</w:t>
      </w:r>
    </w:p>
    <w:p>
      <w:pPr>
        <w:spacing w:after="0" w:line="224" w:lineRule="exact"/>
        <w:rPr>
          <w:sz w:val="20"/>
          <w:szCs w:val="20"/>
          <w:color w:val="auto"/>
        </w:rPr>
      </w:pPr>
    </w:p>
    <w:p>
      <w:pPr>
        <w:ind w:firstLine="405"/>
        <w:spacing w:after="0" w:line="312" w:lineRule="auto"/>
        <w:rPr>
          <w:sz w:val="20"/>
          <w:szCs w:val="20"/>
          <w:color w:val="auto"/>
        </w:rPr>
      </w:pPr>
      <w:r>
        <w:rPr>
          <w:rFonts w:ascii="Arial" w:cs="Arial" w:eastAsia="Arial" w:hAnsi="Arial"/>
          <w:sz w:val="16"/>
          <w:szCs w:val="16"/>
          <w:color w:val="auto"/>
        </w:rPr>
        <w:t>The information furnished under this Item 2.02 and in the accompanying Exhibit 99.1 shall not be deemed “filed” for purposes of Section 18 of the Securities Exchange Act of 1934, as amended (the “Exchange Act”), or incorporated by reference in any filing under the Securities Act of 1933, as amended, or the Exchange Act regardless of any general incorporation language in such filing, unless expressly incorporated by specific reference in such filing.</w:t>
      </w:r>
    </w:p>
    <w:p>
      <w:pPr>
        <w:spacing w:after="0" w:line="19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 Exhibits.</w:t>
      </w:r>
    </w:p>
    <w:p>
      <w:pPr>
        <w:spacing w:after="0" w:line="275"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u w:val="single" w:color="auto"/>
          <w:color w:val="auto"/>
        </w:rPr>
        <w:t>Exhibit No.</w:t>
      </w:r>
      <w:r>
        <w:rPr>
          <w:sz w:val="20"/>
          <w:szCs w:val="20"/>
          <w:color w:val="auto"/>
        </w:rPr>
        <w:tab/>
      </w:r>
      <w:r>
        <w:rPr>
          <w:rFonts w:ascii="Arial" w:cs="Arial" w:eastAsia="Arial" w:hAnsi="Arial"/>
          <w:sz w:val="16"/>
          <w:szCs w:val="16"/>
          <w:b w:val="1"/>
          <w:bCs w:val="1"/>
          <w:u w:val="single" w:color="auto"/>
          <w:color w:val="auto"/>
        </w:rPr>
        <w:t>Description</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99.1 Press release issued by Twilio Inc. dated July 31, 2019</w:t>
      </w:r>
    </w:p>
    <w:p>
      <w:pPr>
        <w:sectPr>
          <w:pgSz w:w="11900" w:h="16838" w:orient="portrait"/>
          <w:cols w:equalWidth="0" w:num="1">
            <w:col w:w="11340"/>
          </w:cols>
          <w:pgMar w:left="240" w:top="715" w:right="31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83" w:lineRule="exact"/>
        <w:rPr>
          <w:sz w:val="20"/>
          <w:szCs w:val="20"/>
          <w:color w:val="auto"/>
        </w:rPr>
      </w:pPr>
    </w:p>
    <w:p>
      <w:pPr>
        <w:ind w:right="720" w:firstLine="40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280" w:type="dxa"/>
            <w:vAlign w:val="bottom"/>
          </w:tcPr>
          <w:p>
            <w:pPr>
              <w:spacing w:after="0"/>
              <w:rPr>
                <w:sz w:val="20"/>
                <w:szCs w:val="20"/>
                <w:color w:val="auto"/>
              </w:rPr>
            </w:pPr>
          </w:p>
        </w:tc>
        <w:tc>
          <w:tcPr>
            <w:tcW w:w="8100" w:type="dxa"/>
            <w:vAlign w:val="bottom"/>
            <w:gridSpan w:val="2"/>
          </w:tcPr>
          <w:p>
            <w:pPr>
              <w:ind w:left="2320"/>
              <w:spacing w:after="0"/>
              <w:rPr>
                <w:sz w:val="20"/>
                <w:szCs w:val="20"/>
                <w:color w:val="auto"/>
              </w:rPr>
            </w:pPr>
            <w:r>
              <w:rPr>
                <w:rFonts w:ascii="Arial" w:cs="Arial" w:eastAsia="Arial" w:hAnsi="Arial"/>
                <w:sz w:val="18"/>
                <w:szCs w:val="18"/>
                <w:b w:val="1"/>
                <w:bCs w:val="1"/>
                <w:color w:val="auto"/>
              </w:rPr>
              <w:t>TWILIO INC.</w:t>
            </w:r>
          </w:p>
        </w:tc>
        <w:tc>
          <w:tcPr>
            <w:tcW w:w="0" w:type="dxa"/>
            <w:vAlign w:val="bottom"/>
          </w:tcPr>
          <w:p>
            <w:pPr>
              <w:spacing w:after="0"/>
              <w:rPr>
                <w:sz w:val="1"/>
                <w:szCs w:val="1"/>
                <w:color w:val="auto"/>
              </w:rPr>
            </w:pPr>
          </w:p>
        </w:tc>
      </w:tr>
      <w:tr>
        <w:trPr>
          <w:trHeight w:val="675"/>
        </w:trPr>
        <w:tc>
          <w:tcPr>
            <w:tcW w:w="3280" w:type="dxa"/>
            <w:vAlign w:val="bottom"/>
          </w:tcPr>
          <w:p>
            <w:pPr>
              <w:spacing w:after="0"/>
              <w:rPr>
                <w:sz w:val="20"/>
                <w:szCs w:val="20"/>
                <w:color w:val="auto"/>
              </w:rPr>
            </w:pPr>
            <w:r>
              <w:rPr>
                <w:rFonts w:ascii="Arial" w:cs="Arial" w:eastAsia="Arial" w:hAnsi="Arial"/>
                <w:sz w:val="18"/>
                <w:szCs w:val="18"/>
                <w:color w:val="auto"/>
              </w:rPr>
              <w:t>July 31, 2019</w:t>
            </w:r>
          </w:p>
        </w:tc>
        <w:tc>
          <w:tcPr>
            <w:tcW w:w="3080" w:type="dxa"/>
            <w:vAlign w:val="bottom"/>
            <w:vMerge w:val="restart"/>
          </w:tcPr>
          <w:p>
            <w:pPr>
              <w:ind w:left="2320"/>
              <w:spacing w:after="0"/>
              <w:rPr>
                <w:sz w:val="20"/>
                <w:szCs w:val="20"/>
                <w:color w:val="auto"/>
              </w:rPr>
            </w:pPr>
            <w:r>
              <w:rPr>
                <w:rFonts w:ascii="Arial" w:cs="Arial" w:eastAsia="Arial" w:hAnsi="Arial"/>
                <w:sz w:val="18"/>
                <w:szCs w:val="18"/>
                <w:color w:val="auto"/>
              </w:rPr>
              <w:t>By:</w:t>
            </w:r>
          </w:p>
        </w:tc>
        <w:tc>
          <w:tcPr>
            <w:tcW w:w="5020" w:type="dxa"/>
            <w:vAlign w:val="bottom"/>
            <w:vMerge w:val="restart"/>
          </w:tcPr>
          <w:p>
            <w:pPr>
              <w:ind w:left="40"/>
              <w:spacing w:after="0"/>
              <w:rPr>
                <w:sz w:val="20"/>
                <w:szCs w:val="20"/>
                <w:color w:val="auto"/>
              </w:rPr>
            </w:pPr>
            <w:r>
              <w:rPr>
                <w:rFonts w:ascii="Arial" w:cs="Arial" w:eastAsia="Arial" w:hAnsi="Arial"/>
                <w:sz w:val="18"/>
                <w:szCs w:val="18"/>
                <w:color w:val="auto"/>
              </w:rPr>
              <w:t>/s/ Khozema Shipchandler</w:t>
            </w:r>
          </w:p>
        </w:tc>
        <w:tc>
          <w:tcPr>
            <w:tcW w:w="0" w:type="dxa"/>
            <w:vAlign w:val="bottom"/>
          </w:tcPr>
          <w:p>
            <w:pPr>
              <w:spacing w:after="0"/>
              <w:rPr>
                <w:sz w:val="1"/>
                <w:szCs w:val="1"/>
                <w:color w:val="auto"/>
              </w:rPr>
            </w:pPr>
          </w:p>
        </w:tc>
      </w:tr>
      <w:tr>
        <w:trPr>
          <w:trHeight w:val="135"/>
        </w:trPr>
        <w:tc>
          <w:tcPr>
            <w:tcW w:w="3280" w:type="dxa"/>
            <w:vAlign w:val="bottom"/>
          </w:tcPr>
          <w:p>
            <w:pPr>
              <w:spacing w:after="0"/>
              <w:rPr>
                <w:sz w:val="11"/>
                <w:szCs w:val="11"/>
                <w:color w:val="auto"/>
              </w:rPr>
            </w:pPr>
          </w:p>
        </w:tc>
        <w:tc>
          <w:tcPr>
            <w:tcW w:w="3080" w:type="dxa"/>
            <w:vAlign w:val="bottom"/>
            <w:vMerge w:val="continue"/>
          </w:tcPr>
          <w:p>
            <w:pPr>
              <w:spacing w:after="0"/>
              <w:rPr>
                <w:sz w:val="11"/>
                <w:szCs w:val="11"/>
                <w:color w:val="auto"/>
              </w:rPr>
            </w:pPr>
          </w:p>
        </w:tc>
        <w:tc>
          <w:tcPr>
            <w:tcW w:w="50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3080" w:type="dxa"/>
            <w:vAlign w:val="bottom"/>
          </w:tcPr>
          <w:p>
            <w:pPr>
              <w:spacing w:after="0"/>
              <w:rPr>
                <w:sz w:val="2"/>
                <w:szCs w:val="2"/>
                <w:color w:val="auto"/>
              </w:rPr>
            </w:pPr>
          </w:p>
        </w:tc>
        <w:tc>
          <w:tcPr>
            <w:tcW w:w="5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280" w:type="dxa"/>
            <w:vAlign w:val="bottom"/>
          </w:tcPr>
          <w:p>
            <w:pPr>
              <w:spacing w:after="0"/>
              <w:rPr>
                <w:sz w:val="20"/>
                <w:szCs w:val="20"/>
                <w:color w:val="auto"/>
              </w:rPr>
            </w:pPr>
          </w:p>
        </w:tc>
        <w:tc>
          <w:tcPr>
            <w:tcW w:w="3080" w:type="dxa"/>
            <w:vAlign w:val="bottom"/>
          </w:tcPr>
          <w:p>
            <w:pPr>
              <w:ind w:left="2320"/>
              <w:spacing w:after="0"/>
              <w:rPr>
                <w:sz w:val="20"/>
                <w:szCs w:val="20"/>
                <w:color w:val="auto"/>
              </w:rPr>
            </w:pPr>
            <w:r>
              <w:rPr>
                <w:rFonts w:ascii="Arial" w:cs="Arial" w:eastAsia="Arial" w:hAnsi="Arial"/>
                <w:sz w:val="18"/>
                <w:szCs w:val="18"/>
                <w:color w:val="auto"/>
              </w:rPr>
              <w:t>Name:</w:t>
            </w:r>
          </w:p>
        </w:tc>
        <w:tc>
          <w:tcPr>
            <w:tcW w:w="5020" w:type="dxa"/>
            <w:vAlign w:val="bottom"/>
          </w:tcPr>
          <w:p>
            <w:pPr>
              <w:ind w:left="40"/>
              <w:spacing w:after="0"/>
              <w:rPr>
                <w:sz w:val="20"/>
                <w:szCs w:val="20"/>
                <w:color w:val="auto"/>
              </w:rPr>
            </w:pPr>
            <w:r>
              <w:rPr>
                <w:rFonts w:ascii="Arial" w:cs="Arial" w:eastAsia="Arial" w:hAnsi="Arial"/>
                <w:sz w:val="18"/>
                <w:szCs w:val="18"/>
                <w:color w:val="auto"/>
              </w:rPr>
              <w:t>Khozema Shipchandler</w:t>
            </w:r>
          </w:p>
        </w:tc>
        <w:tc>
          <w:tcPr>
            <w:tcW w:w="0" w:type="dxa"/>
            <w:vAlign w:val="bottom"/>
          </w:tcPr>
          <w:p>
            <w:pPr>
              <w:spacing w:after="0"/>
              <w:rPr>
                <w:sz w:val="1"/>
                <w:szCs w:val="1"/>
                <w:color w:val="auto"/>
              </w:rPr>
            </w:pPr>
          </w:p>
        </w:tc>
      </w:tr>
      <w:tr>
        <w:trPr>
          <w:trHeight w:val="270"/>
        </w:trPr>
        <w:tc>
          <w:tcPr>
            <w:tcW w:w="3280" w:type="dxa"/>
            <w:vAlign w:val="bottom"/>
          </w:tcPr>
          <w:p>
            <w:pPr>
              <w:spacing w:after="0"/>
              <w:rPr>
                <w:sz w:val="23"/>
                <w:szCs w:val="23"/>
                <w:color w:val="auto"/>
              </w:rPr>
            </w:pPr>
          </w:p>
        </w:tc>
        <w:tc>
          <w:tcPr>
            <w:tcW w:w="3080" w:type="dxa"/>
            <w:vAlign w:val="bottom"/>
          </w:tcPr>
          <w:p>
            <w:pPr>
              <w:ind w:left="2320"/>
              <w:spacing w:after="0"/>
              <w:rPr>
                <w:sz w:val="20"/>
                <w:szCs w:val="20"/>
                <w:color w:val="auto"/>
              </w:rPr>
            </w:pPr>
            <w:r>
              <w:rPr>
                <w:rFonts w:ascii="Arial" w:cs="Arial" w:eastAsia="Arial" w:hAnsi="Arial"/>
                <w:sz w:val="18"/>
                <w:szCs w:val="18"/>
                <w:color w:val="auto"/>
              </w:rPr>
              <w:t>Title:</w:t>
            </w:r>
          </w:p>
        </w:tc>
        <w:tc>
          <w:tcPr>
            <w:tcW w:w="5020" w:type="dxa"/>
            <w:vAlign w:val="bottom"/>
          </w:tcPr>
          <w:p>
            <w:pPr>
              <w:ind w:left="40"/>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bl>
    <w:p>
      <w:pPr>
        <w:sectPr>
          <w:pgSz w:w="11900" w:h="16838" w:orient="portrait"/>
          <w:cols w:equalWidth="0" w:num="1">
            <w:col w:w="11420"/>
          </w:cols>
          <w:pgMar w:left="240" w:top="715"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4"/>
          <w:szCs w:val="14"/>
          <w:b w:val="1"/>
          <w:bCs w:val="1"/>
          <w:color w:val="auto"/>
        </w:rPr>
        <w:t>Exhibit 99.1</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Twilio Announces Second Quarter 2019 Results</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Q2 Total Revenue of $275.0 million, up 86% year-over-year</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Q2 Base Revenue of $256.7 million, up 90% year-over-year</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Q2 Dollar-Based Net Expansion Rate of 140%</w:t>
      </w:r>
    </w:p>
    <w:p>
      <w:pPr>
        <w:spacing w:after="0" w:line="263" w:lineRule="exact"/>
        <w:rPr>
          <w:sz w:val="20"/>
          <w:szCs w:val="20"/>
          <w:color w:val="auto"/>
        </w:rPr>
      </w:pPr>
    </w:p>
    <w:p>
      <w:pPr>
        <w:ind w:right="80"/>
        <w:spacing w:after="0" w:line="273" w:lineRule="auto"/>
        <w:rPr>
          <w:sz w:val="20"/>
          <w:szCs w:val="20"/>
          <w:color w:val="auto"/>
        </w:rPr>
      </w:pPr>
      <w:r>
        <w:rPr>
          <w:rFonts w:ascii="Arial" w:cs="Arial" w:eastAsia="Arial" w:hAnsi="Arial"/>
          <w:sz w:val="14"/>
          <w:szCs w:val="14"/>
          <w:color w:val="auto"/>
        </w:rPr>
        <w:t>SAN FRANCISCO--(BUSINESS WIRE)--July 31, 2019--Twilio (NYSE: TWLO), the leading cloud communications platform, today reported financial results for its second quarter ended June 30, 2019.</w:t>
      </w:r>
    </w:p>
    <w:p>
      <w:pPr>
        <w:spacing w:after="0" w:line="228" w:lineRule="exact"/>
        <w:rPr>
          <w:sz w:val="20"/>
          <w:szCs w:val="20"/>
          <w:color w:val="auto"/>
        </w:rPr>
      </w:pPr>
    </w:p>
    <w:p>
      <w:pPr>
        <w:ind w:right="180"/>
        <w:spacing w:after="0" w:line="312" w:lineRule="auto"/>
        <w:rPr>
          <w:sz w:val="20"/>
          <w:szCs w:val="20"/>
          <w:color w:val="auto"/>
        </w:rPr>
      </w:pPr>
      <w:r>
        <w:rPr>
          <w:rFonts w:ascii="Arial" w:cs="Arial" w:eastAsia="Arial" w:hAnsi="Arial"/>
          <w:sz w:val="13"/>
          <w:szCs w:val="13"/>
          <w:color w:val="auto"/>
        </w:rPr>
        <w:t>“We celebrated a big milestone in the second quarter, crossing the $1 billion annualized revenue run rate,” said Jeff Lawson, Twilio’s Co-Founder and Chief Executive Officer. “We see this as just the beginning, as we have the opportunity to change communications and customer engagement for decades to come. This is Day One and we're just getting started.”</w:t>
      </w:r>
    </w:p>
    <w:p>
      <w:pPr>
        <w:spacing w:after="0" w:line="20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Second Quarter 2019 Financial Highlights</w:t>
      </w:r>
    </w:p>
    <w:p>
      <w:pPr>
        <w:spacing w:after="0" w:line="140" w:lineRule="exact"/>
        <w:rPr>
          <w:sz w:val="20"/>
          <w:szCs w:val="20"/>
          <w:color w:val="auto"/>
        </w:rPr>
      </w:pPr>
    </w:p>
    <w:p>
      <w:pPr>
        <w:ind w:left="660" w:right="400" w:hanging="328"/>
        <w:spacing w:after="0" w:line="273" w:lineRule="auto"/>
        <w:tabs>
          <w:tab w:leader="none" w:pos="660" w:val="left"/>
        </w:tabs>
        <w:numPr>
          <w:ilvl w:val="0"/>
          <w:numId w:val="1"/>
        </w:numPr>
        <w:rPr>
          <w:rFonts w:ascii="Arial" w:cs="Arial" w:eastAsia="Arial" w:hAnsi="Arial"/>
          <w:sz w:val="14"/>
          <w:szCs w:val="14"/>
          <w:color w:val="auto"/>
        </w:rPr>
      </w:pPr>
      <w:r>
        <w:rPr>
          <w:rFonts w:ascii="Arial" w:cs="Arial" w:eastAsia="Arial" w:hAnsi="Arial"/>
          <w:sz w:val="14"/>
          <w:szCs w:val="14"/>
          <w:color w:val="auto"/>
        </w:rPr>
        <w:t>Total revenue of $275.0 million for the second quarter of 2019, up 86% from the second quarter of 2018 and 18% sequentially from the first quarter of 2019. Total revenue includes revenue from Twilio SendGrid starting on February 1, 2019 (the date of acquisition).</w:t>
      </w:r>
    </w:p>
    <w:p>
      <w:pPr>
        <w:spacing w:after="0" w:line="119" w:lineRule="exact"/>
        <w:rPr>
          <w:rFonts w:ascii="Arial" w:cs="Arial" w:eastAsia="Arial" w:hAnsi="Arial"/>
          <w:sz w:val="14"/>
          <w:szCs w:val="14"/>
          <w:color w:val="auto"/>
        </w:rPr>
      </w:pPr>
    </w:p>
    <w:p>
      <w:pPr>
        <w:ind w:left="660" w:right="420" w:hanging="328"/>
        <w:spacing w:after="0" w:line="273" w:lineRule="auto"/>
        <w:tabs>
          <w:tab w:leader="none" w:pos="660" w:val="left"/>
        </w:tabs>
        <w:numPr>
          <w:ilvl w:val="0"/>
          <w:numId w:val="1"/>
        </w:numPr>
        <w:rPr>
          <w:rFonts w:ascii="Arial" w:cs="Arial" w:eastAsia="Arial" w:hAnsi="Arial"/>
          <w:sz w:val="14"/>
          <w:szCs w:val="14"/>
          <w:color w:val="auto"/>
        </w:rPr>
      </w:pPr>
      <w:r>
        <w:rPr>
          <w:rFonts w:ascii="Arial" w:cs="Arial" w:eastAsia="Arial" w:hAnsi="Arial"/>
          <w:sz w:val="14"/>
          <w:szCs w:val="14"/>
          <w:color w:val="auto"/>
        </w:rPr>
        <w:t>Base revenue of $256.7 million for the second quarter of 2019, up 90% from the second quarter of 2018 and 16% sequentially from the first quarter of 2019. Base revenue includes revenue from Twilio SendGrid starting on February 1, 2019 (the date of acquisition).</w:t>
      </w:r>
    </w:p>
    <w:p>
      <w:pPr>
        <w:spacing w:after="0" w:line="119" w:lineRule="exact"/>
        <w:rPr>
          <w:rFonts w:ascii="Arial" w:cs="Arial" w:eastAsia="Arial" w:hAnsi="Arial"/>
          <w:sz w:val="14"/>
          <w:szCs w:val="14"/>
          <w:color w:val="auto"/>
        </w:rPr>
      </w:pPr>
    </w:p>
    <w:p>
      <w:pPr>
        <w:ind w:left="660" w:right="340" w:hanging="328"/>
        <w:spacing w:after="0" w:line="312" w:lineRule="auto"/>
        <w:tabs>
          <w:tab w:leader="none" w:pos="660" w:val="left"/>
        </w:tabs>
        <w:numPr>
          <w:ilvl w:val="0"/>
          <w:numId w:val="1"/>
        </w:numPr>
        <w:rPr>
          <w:rFonts w:ascii="Arial" w:cs="Arial" w:eastAsia="Arial" w:hAnsi="Arial"/>
          <w:sz w:val="13"/>
          <w:szCs w:val="13"/>
          <w:color w:val="auto"/>
        </w:rPr>
      </w:pPr>
      <w:r>
        <w:rPr>
          <w:rFonts w:ascii="Arial" w:cs="Arial" w:eastAsia="Arial" w:hAnsi="Arial"/>
          <w:sz w:val="13"/>
          <w:szCs w:val="13"/>
          <w:color w:val="auto"/>
        </w:rPr>
        <w:t>GAAP loss from operations of $93.7 million for the second quarter of 2019, compared with GAAP loss from operations of $22.0 million for the second quarter of 2018. Non-GAAP income from operations of $1.5 million for the second quarter of 2019, compared with non-GAAP income from operations of $2.2 million for the second quarter of 2018.</w:t>
      </w:r>
    </w:p>
    <w:p>
      <w:pPr>
        <w:spacing w:after="0" w:line="97" w:lineRule="exact"/>
        <w:rPr>
          <w:rFonts w:ascii="Arial" w:cs="Arial" w:eastAsia="Arial" w:hAnsi="Arial"/>
          <w:sz w:val="13"/>
          <w:szCs w:val="13"/>
          <w:color w:val="auto"/>
        </w:rPr>
      </w:pPr>
    </w:p>
    <w:p>
      <w:pPr>
        <w:ind w:left="660" w:right="40" w:hanging="328"/>
        <w:spacing w:after="0" w:line="257" w:lineRule="auto"/>
        <w:tabs>
          <w:tab w:leader="none" w:pos="660" w:val="left"/>
        </w:tabs>
        <w:numPr>
          <w:ilvl w:val="0"/>
          <w:numId w:val="1"/>
        </w:numPr>
        <w:rPr>
          <w:rFonts w:ascii="Arial" w:cs="Arial" w:eastAsia="Arial" w:hAnsi="Arial"/>
          <w:sz w:val="14"/>
          <w:szCs w:val="14"/>
          <w:color w:val="auto"/>
        </w:rPr>
      </w:pPr>
      <w:r>
        <w:rPr>
          <w:rFonts w:ascii="Arial" w:cs="Arial" w:eastAsia="Arial" w:hAnsi="Arial"/>
          <w:sz w:val="14"/>
          <w:szCs w:val="14"/>
          <w:color w:val="auto"/>
        </w:rPr>
        <w:t>GAAP net loss per share attributable to common stockholders, basic and diluted, of $0.72 based on 129.3 million weighted average shares outstanding in the second quarter of 2019, compared with GAAP net loss per share attributable to common stockholders, basic and diluted, of $0.25 based on 96.3 million weighted average shares outstanding in the second quarter of 2018.</w:t>
      </w:r>
    </w:p>
    <w:p>
      <w:pPr>
        <w:spacing w:after="0" w:line="131" w:lineRule="exact"/>
        <w:rPr>
          <w:rFonts w:ascii="Arial" w:cs="Arial" w:eastAsia="Arial" w:hAnsi="Arial"/>
          <w:sz w:val="14"/>
          <w:szCs w:val="14"/>
          <w:color w:val="auto"/>
        </w:rPr>
      </w:pPr>
    </w:p>
    <w:p>
      <w:pPr>
        <w:ind w:left="660" w:right="80" w:hanging="328"/>
        <w:spacing w:after="0" w:line="257" w:lineRule="auto"/>
        <w:tabs>
          <w:tab w:leader="none" w:pos="660" w:val="left"/>
        </w:tabs>
        <w:numPr>
          <w:ilvl w:val="0"/>
          <w:numId w:val="1"/>
        </w:numPr>
        <w:rPr>
          <w:rFonts w:ascii="Arial" w:cs="Arial" w:eastAsia="Arial" w:hAnsi="Arial"/>
          <w:sz w:val="14"/>
          <w:szCs w:val="14"/>
          <w:color w:val="auto"/>
        </w:rPr>
      </w:pPr>
      <w:r>
        <w:rPr>
          <w:rFonts w:ascii="Arial" w:cs="Arial" w:eastAsia="Arial" w:hAnsi="Arial"/>
          <w:sz w:val="14"/>
          <w:szCs w:val="14"/>
          <w:color w:val="auto"/>
        </w:rPr>
        <w:t>Non-GAAP net income per share attributable to common stockholders, diluted, of $0.03 based on 143.7 million non-GAAP weighted average shares outstanding in the second quarter of 2019, compared with non-GAAP net income per share attributable to common stockholders, diluted, of $0.03 based on 106.6 million weighted average shares outstanding in the second quarter of 2018.</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Key Metrics and Recent Business Highlights</w:t>
      </w:r>
    </w:p>
    <w:p>
      <w:pPr>
        <w:spacing w:after="0" w:line="140" w:lineRule="exact"/>
        <w:rPr>
          <w:sz w:val="20"/>
          <w:szCs w:val="20"/>
          <w:color w:val="auto"/>
        </w:rPr>
      </w:pPr>
    </w:p>
    <w:p>
      <w:pPr>
        <w:ind w:left="660" w:right="80" w:hanging="328"/>
        <w:spacing w:after="0" w:line="273" w:lineRule="auto"/>
        <w:tabs>
          <w:tab w:leader="none" w:pos="660" w:val="left"/>
        </w:tabs>
        <w:numPr>
          <w:ilvl w:val="0"/>
          <w:numId w:val="2"/>
        </w:numPr>
        <w:rPr>
          <w:rFonts w:ascii="Arial" w:cs="Arial" w:eastAsia="Arial" w:hAnsi="Arial"/>
          <w:sz w:val="14"/>
          <w:szCs w:val="14"/>
          <w:color w:val="auto"/>
        </w:rPr>
      </w:pPr>
      <w:r>
        <w:rPr>
          <w:rFonts w:ascii="Arial" w:cs="Arial" w:eastAsia="Arial" w:hAnsi="Arial"/>
          <w:sz w:val="14"/>
          <w:szCs w:val="14"/>
          <w:color w:val="auto"/>
        </w:rPr>
        <w:t>161,869 Active Customer Accounts as of June 30, 2019, compared to 57,350 Active Customer Accounts as of June 30, 2018. Active Customer Accounts in the current period include the contribution from Twilio SendGrid customer accounts.</w:t>
      </w:r>
    </w:p>
    <w:p>
      <w:pPr>
        <w:spacing w:after="0" w:line="119" w:lineRule="exact"/>
        <w:rPr>
          <w:rFonts w:ascii="Arial" w:cs="Arial" w:eastAsia="Arial" w:hAnsi="Arial"/>
          <w:sz w:val="14"/>
          <w:szCs w:val="14"/>
          <w:color w:val="auto"/>
        </w:rPr>
      </w:pPr>
    </w:p>
    <w:p>
      <w:pPr>
        <w:ind w:left="660" w:right="160" w:hanging="328"/>
        <w:spacing w:after="0" w:line="273" w:lineRule="auto"/>
        <w:tabs>
          <w:tab w:leader="none" w:pos="660" w:val="left"/>
        </w:tabs>
        <w:numPr>
          <w:ilvl w:val="0"/>
          <w:numId w:val="2"/>
        </w:numPr>
        <w:rPr>
          <w:rFonts w:ascii="Arial" w:cs="Arial" w:eastAsia="Arial" w:hAnsi="Arial"/>
          <w:sz w:val="14"/>
          <w:szCs w:val="14"/>
          <w:color w:val="auto"/>
        </w:rPr>
      </w:pPr>
      <w:r>
        <w:rPr>
          <w:rFonts w:ascii="Arial" w:cs="Arial" w:eastAsia="Arial" w:hAnsi="Arial"/>
          <w:sz w:val="14"/>
          <w:szCs w:val="14"/>
          <w:color w:val="auto"/>
        </w:rPr>
        <w:t>Dollar-Based Net Expansion Rate was 140% for the second quarter of 2019, compared to 137% for the second quarter of 2018. Twilio SendGrid results do not impact the calculation of this metric in the current period.</w:t>
      </w:r>
    </w:p>
    <w:p>
      <w:pPr>
        <w:spacing w:after="0" w:line="119" w:lineRule="exact"/>
        <w:rPr>
          <w:rFonts w:ascii="Arial" w:cs="Arial" w:eastAsia="Arial" w:hAnsi="Arial"/>
          <w:sz w:val="14"/>
          <w:szCs w:val="14"/>
          <w:color w:val="auto"/>
        </w:rPr>
      </w:pPr>
    </w:p>
    <w:p>
      <w:pPr>
        <w:ind w:left="660" w:hanging="328"/>
        <w:spacing w:after="0"/>
        <w:tabs>
          <w:tab w:leader="none" w:pos="660" w:val="left"/>
        </w:tabs>
        <w:numPr>
          <w:ilvl w:val="0"/>
          <w:numId w:val="2"/>
        </w:numPr>
        <w:rPr>
          <w:rFonts w:ascii="Arial" w:cs="Arial" w:eastAsia="Arial" w:hAnsi="Arial"/>
          <w:sz w:val="14"/>
          <w:szCs w:val="14"/>
          <w:color w:val="auto"/>
        </w:rPr>
      </w:pPr>
      <w:r>
        <w:rPr>
          <w:rFonts w:ascii="Arial" w:cs="Arial" w:eastAsia="Arial" w:hAnsi="Arial"/>
          <w:sz w:val="14"/>
          <w:szCs w:val="14"/>
          <w:color w:val="auto"/>
        </w:rPr>
        <w:t>2,369 employees as of June 30, 2019.</w:t>
      </w:r>
    </w:p>
    <w:p>
      <w:pPr>
        <w:spacing w:after="0" w:line="163" w:lineRule="exact"/>
        <w:rPr>
          <w:rFonts w:ascii="Arial" w:cs="Arial" w:eastAsia="Arial" w:hAnsi="Arial"/>
          <w:sz w:val="14"/>
          <w:szCs w:val="14"/>
          <w:color w:val="auto"/>
        </w:rPr>
      </w:pPr>
    </w:p>
    <w:p>
      <w:pPr>
        <w:ind w:left="660" w:right="200" w:hanging="328"/>
        <w:spacing w:after="0" w:line="273" w:lineRule="auto"/>
        <w:tabs>
          <w:tab w:leader="none" w:pos="660" w:val="left"/>
        </w:tabs>
        <w:numPr>
          <w:ilvl w:val="0"/>
          <w:numId w:val="2"/>
        </w:numPr>
        <w:rPr>
          <w:rFonts w:ascii="Arial" w:cs="Arial" w:eastAsia="Arial" w:hAnsi="Arial"/>
          <w:sz w:val="14"/>
          <w:szCs w:val="14"/>
          <w:color w:val="auto"/>
        </w:rPr>
      </w:pPr>
      <w:r>
        <w:rPr>
          <w:rFonts w:ascii="Arial" w:cs="Arial" w:eastAsia="Arial" w:hAnsi="Arial"/>
          <w:sz w:val="14"/>
          <w:szCs w:val="14"/>
          <w:color w:val="auto"/>
        </w:rPr>
        <w:t>Introduced Automation and Email Testing within Twilio SendGrid Marketing Campaigns, with workflows and integrated tools to build effective emails across one-time campaigns and automated series, all on a single platform for marketing and transactional email, with industry-leading deliverability.</w:t>
      </w:r>
    </w:p>
    <w:p>
      <w:pPr>
        <w:spacing w:after="0" w:line="119" w:lineRule="exact"/>
        <w:rPr>
          <w:rFonts w:ascii="Arial" w:cs="Arial" w:eastAsia="Arial" w:hAnsi="Arial"/>
          <w:sz w:val="14"/>
          <w:szCs w:val="14"/>
          <w:color w:val="auto"/>
        </w:rPr>
      </w:pPr>
    </w:p>
    <w:p>
      <w:pPr>
        <w:jc w:val="both"/>
        <w:ind w:left="660" w:right="60" w:hanging="328"/>
        <w:spacing w:after="0" w:line="257" w:lineRule="auto"/>
        <w:tabs>
          <w:tab w:leader="none" w:pos="660" w:val="left"/>
        </w:tabs>
        <w:numPr>
          <w:ilvl w:val="0"/>
          <w:numId w:val="2"/>
        </w:numPr>
        <w:rPr>
          <w:rFonts w:ascii="Arial" w:cs="Arial" w:eastAsia="Arial" w:hAnsi="Arial"/>
          <w:sz w:val="14"/>
          <w:szCs w:val="14"/>
          <w:color w:val="auto"/>
        </w:rPr>
      </w:pPr>
      <w:r>
        <w:rPr>
          <w:rFonts w:ascii="Arial" w:cs="Arial" w:eastAsia="Arial" w:hAnsi="Arial"/>
          <w:sz w:val="14"/>
          <w:szCs w:val="14"/>
          <w:color w:val="auto"/>
        </w:rPr>
        <w:t>Completed a follow-on offering of Class A Common Stock at a price of $124.00 per share, which resulted in aggregate proceeds of $979.0 million after deducting underwriting discounts and offering expenses. We intend to use the net proceeds for general corporate purposes, which may include acquisitions, refinancing or repayment of debt, capital expenditures, working capital and share repurchases.</w:t>
      </w:r>
    </w:p>
    <w:p>
      <w:pPr>
        <w:spacing w:after="0" w:line="131" w:lineRule="exact"/>
        <w:rPr>
          <w:rFonts w:ascii="Arial" w:cs="Arial" w:eastAsia="Arial" w:hAnsi="Arial"/>
          <w:sz w:val="14"/>
          <w:szCs w:val="14"/>
          <w:color w:val="auto"/>
        </w:rPr>
      </w:pPr>
    </w:p>
    <w:p>
      <w:pPr>
        <w:ind w:left="660" w:right="300" w:hanging="328"/>
        <w:spacing w:after="0" w:line="312" w:lineRule="auto"/>
        <w:tabs>
          <w:tab w:leader="none" w:pos="660" w:val="left"/>
        </w:tabs>
        <w:numPr>
          <w:ilvl w:val="0"/>
          <w:numId w:val="2"/>
        </w:numPr>
        <w:rPr>
          <w:rFonts w:ascii="Arial" w:cs="Arial" w:eastAsia="Arial" w:hAnsi="Arial"/>
          <w:sz w:val="13"/>
          <w:szCs w:val="13"/>
          <w:color w:val="auto"/>
        </w:rPr>
      </w:pPr>
      <w:r>
        <w:rPr>
          <w:rFonts w:ascii="Arial" w:cs="Arial" w:eastAsia="Arial" w:hAnsi="Arial"/>
          <w:sz w:val="13"/>
          <w:szCs w:val="13"/>
          <w:color w:val="auto"/>
        </w:rPr>
        <w:t>Announced Trust Onboard, a feature for the Company's Internet of Things (IoT) SIMs that enables developers to identify and authenticate cellular connected devices against cloud services, accelerating IoT time to market. Trust Onboard also integrates with Microsoft Azure IoT, allowing developers to sync devices to their Azure cloud from the Twilio Console.</w:t>
      </w:r>
    </w:p>
    <w:p>
      <w:pPr>
        <w:spacing w:after="0" w:line="97" w:lineRule="exact"/>
        <w:rPr>
          <w:rFonts w:ascii="Arial" w:cs="Arial" w:eastAsia="Arial" w:hAnsi="Arial"/>
          <w:sz w:val="13"/>
          <w:szCs w:val="13"/>
          <w:color w:val="auto"/>
        </w:rPr>
      </w:pPr>
    </w:p>
    <w:p>
      <w:pPr>
        <w:ind w:left="660" w:hanging="328"/>
        <w:spacing w:after="0"/>
        <w:tabs>
          <w:tab w:leader="none" w:pos="660" w:val="left"/>
        </w:tabs>
        <w:numPr>
          <w:ilvl w:val="0"/>
          <w:numId w:val="2"/>
        </w:numPr>
        <w:rPr>
          <w:rFonts w:ascii="Arial" w:cs="Arial" w:eastAsia="Arial" w:hAnsi="Arial"/>
          <w:sz w:val="14"/>
          <w:szCs w:val="14"/>
          <w:color w:val="auto"/>
        </w:rPr>
      </w:pPr>
      <w:r>
        <w:rPr>
          <w:rFonts w:ascii="Arial" w:cs="Arial" w:eastAsia="Arial" w:hAnsi="Arial"/>
          <w:sz w:val="14"/>
          <w:szCs w:val="14"/>
          <w:color w:val="auto"/>
        </w:rPr>
        <w:t>Welcomed Jeff Immelt, former chairman and CEO of General Electric and current venture partner at New Enterprise Associates, to the Company's Board of Directors.</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711" w:right="239" w:bottom="1440" w:gutter="0" w:footer="0" w:header="0"/>
        </w:sectPr>
      </w:pPr>
    </w:p>
    <w:bookmarkStart w:id="4" w:name="page5"/>
    <w:bookmarkEnd w:id="4"/>
    <w:p>
      <w:pPr>
        <w:spacing w:after="0"/>
        <w:rPr>
          <w:sz w:val="20"/>
          <w:szCs w:val="20"/>
          <w:color w:val="auto"/>
        </w:rPr>
      </w:pPr>
      <w:r>
        <w:rPr>
          <w:rFonts w:ascii="Arial" w:cs="Arial" w:eastAsia="Arial" w:hAnsi="Arial"/>
          <w:sz w:val="14"/>
          <w:szCs w:val="14"/>
          <w:b w:val="1"/>
          <w:bCs w:val="1"/>
          <w:color w:val="auto"/>
        </w:rPr>
        <w:t>Outlook</w:t>
      </w:r>
    </w:p>
    <w:p>
      <w:pPr>
        <w:spacing w:after="0" w:line="275" w:lineRule="exact"/>
        <w:rPr>
          <w:sz w:val="20"/>
          <w:szCs w:val="20"/>
          <w:color w:val="auto"/>
        </w:rPr>
      </w:pPr>
    </w:p>
    <w:p>
      <w:pPr>
        <w:ind w:right="140"/>
        <w:spacing w:after="0" w:line="273" w:lineRule="auto"/>
        <w:rPr>
          <w:sz w:val="20"/>
          <w:szCs w:val="20"/>
          <w:color w:val="auto"/>
        </w:rPr>
      </w:pPr>
      <w:r>
        <w:rPr>
          <w:rFonts w:ascii="Arial" w:cs="Arial" w:eastAsia="Arial" w:hAnsi="Arial"/>
          <w:sz w:val="14"/>
          <w:szCs w:val="14"/>
          <w:color w:val="auto"/>
        </w:rPr>
        <w:t>Twilio is providing guidance for the third quarter ending September 30, 2019 and full year ending December 31, 2019 as follows (guidance includes outlook for Twilio SendGrid from February 1, 2019, the date of acquisition):</w:t>
      </w:r>
    </w:p>
    <w:p>
      <w:pPr>
        <w:spacing w:after="0" w:line="26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Quarter ending September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585724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57240" cy="8890"/>
                    </a:xfrm>
                    <a:prstGeom prst="rect">
                      <a:avLst/>
                    </a:prstGeom>
                    <a:noFill/>
                  </pic:spPr>
                </pic:pic>
              </a:graphicData>
            </a:graphic>
          </wp:anchor>
        </w:drawing>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400" w:type="dxa"/>
            <w:vAlign w:val="bottom"/>
          </w:tcPr>
          <w:p>
            <w:pPr>
              <w:ind w:left="40"/>
              <w:spacing w:after="0"/>
              <w:rPr>
                <w:sz w:val="20"/>
                <w:szCs w:val="20"/>
                <w:color w:val="auto"/>
              </w:rPr>
            </w:pPr>
            <w:r>
              <w:rPr>
                <w:rFonts w:ascii="Arial" w:cs="Arial" w:eastAsia="Arial" w:hAnsi="Arial"/>
                <w:sz w:val="16"/>
                <w:szCs w:val="16"/>
                <w:color w:val="auto"/>
              </w:rPr>
              <w:t>Total Revenue (millions)</w:t>
            </w:r>
          </w:p>
        </w:tc>
        <w:tc>
          <w:tcPr>
            <w:tcW w:w="800" w:type="dxa"/>
            <w:vAlign w:val="bottom"/>
          </w:tcPr>
          <w:p>
            <w:pPr>
              <w:jc w:val="right"/>
              <w:ind w:right="459"/>
              <w:spacing w:after="0"/>
              <w:rPr>
                <w:sz w:val="20"/>
                <w:szCs w:val="20"/>
                <w:color w:val="auto"/>
              </w:rPr>
            </w:pPr>
            <w:r>
              <w:rPr>
                <w:rFonts w:ascii="Arial" w:cs="Arial" w:eastAsia="Arial" w:hAnsi="Arial"/>
                <w:sz w:val="16"/>
                <w:szCs w:val="16"/>
                <w:color w:val="auto"/>
              </w:rPr>
              <w:t>$</w:t>
            </w:r>
          </w:p>
        </w:tc>
        <w:tc>
          <w:tcPr>
            <w:tcW w:w="1640" w:type="dxa"/>
            <w:vAlign w:val="bottom"/>
          </w:tcPr>
          <w:p>
            <w:pPr>
              <w:jc w:val="right"/>
              <w:ind w:right="539"/>
              <w:spacing w:after="0"/>
              <w:rPr>
                <w:sz w:val="20"/>
                <w:szCs w:val="20"/>
                <w:color w:val="auto"/>
              </w:rPr>
            </w:pPr>
            <w:r>
              <w:rPr>
                <w:rFonts w:ascii="Arial" w:cs="Arial" w:eastAsia="Arial" w:hAnsi="Arial"/>
                <w:sz w:val="16"/>
                <w:szCs w:val="16"/>
                <w:color w:val="auto"/>
              </w:rPr>
              <w:t>286.0</w:t>
            </w:r>
          </w:p>
        </w:tc>
        <w:tc>
          <w:tcPr>
            <w:tcW w:w="1100" w:type="dxa"/>
            <w:vAlign w:val="bottom"/>
          </w:tcPr>
          <w:p>
            <w:pPr>
              <w:ind w:left="480"/>
              <w:spacing w:after="0"/>
              <w:rPr>
                <w:sz w:val="20"/>
                <w:szCs w:val="20"/>
                <w:color w:val="auto"/>
              </w:rPr>
            </w:pPr>
            <w:r>
              <w:rPr>
                <w:rFonts w:ascii="Arial" w:cs="Arial" w:eastAsia="Arial" w:hAnsi="Arial"/>
                <w:sz w:val="16"/>
                <w:szCs w:val="16"/>
                <w:color w:val="auto"/>
              </w:rPr>
              <w:t>to</w:t>
            </w:r>
          </w:p>
        </w:tc>
        <w:tc>
          <w:tcPr>
            <w:tcW w:w="1140" w:type="dxa"/>
            <w:vAlign w:val="bottom"/>
          </w:tcPr>
          <w:p>
            <w:pPr>
              <w:jc w:val="right"/>
              <w:ind w:right="49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289.0</w:t>
            </w:r>
          </w:p>
        </w:tc>
      </w:tr>
      <w:tr>
        <w:trPr>
          <w:trHeight w:val="270"/>
        </w:trPr>
        <w:tc>
          <w:tcPr>
            <w:tcW w:w="3400" w:type="dxa"/>
            <w:vAlign w:val="bottom"/>
          </w:tcPr>
          <w:p>
            <w:pPr>
              <w:ind w:left="40"/>
              <w:spacing w:after="0"/>
              <w:rPr>
                <w:sz w:val="20"/>
                <w:szCs w:val="20"/>
                <w:color w:val="auto"/>
              </w:rPr>
            </w:pPr>
            <w:r>
              <w:rPr>
                <w:rFonts w:ascii="Arial" w:cs="Arial" w:eastAsia="Arial" w:hAnsi="Arial"/>
                <w:sz w:val="16"/>
                <w:szCs w:val="16"/>
                <w:color w:val="auto"/>
              </w:rPr>
              <w:t>Base Revenue (millions)</w:t>
            </w:r>
          </w:p>
        </w:tc>
        <w:tc>
          <w:tcPr>
            <w:tcW w:w="800" w:type="dxa"/>
            <w:vAlign w:val="bottom"/>
          </w:tcPr>
          <w:p>
            <w:pPr>
              <w:jc w:val="right"/>
              <w:ind w:right="459"/>
              <w:spacing w:after="0"/>
              <w:rPr>
                <w:sz w:val="20"/>
                <w:szCs w:val="20"/>
                <w:color w:val="auto"/>
              </w:rPr>
            </w:pPr>
            <w:r>
              <w:rPr>
                <w:rFonts w:ascii="Arial" w:cs="Arial" w:eastAsia="Arial" w:hAnsi="Arial"/>
                <w:sz w:val="16"/>
                <w:szCs w:val="16"/>
                <w:color w:val="auto"/>
              </w:rPr>
              <w:t>$</w:t>
            </w:r>
          </w:p>
        </w:tc>
        <w:tc>
          <w:tcPr>
            <w:tcW w:w="1640" w:type="dxa"/>
            <w:vAlign w:val="bottom"/>
          </w:tcPr>
          <w:p>
            <w:pPr>
              <w:jc w:val="right"/>
              <w:ind w:right="539"/>
              <w:spacing w:after="0"/>
              <w:rPr>
                <w:sz w:val="20"/>
                <w:szCs w:val="20"/>
                <w:color w:val="auto"/>
              </w:rPr>
            </w:pPr>
            <w:r>
              <w:rPr>
                <w:rFonts w:ascii="Arial" w:cs="Arial" w:eastAsia="Arial" w:hAnsi="Arial"/>
                <w:sz w:val="16"/>
                <w:szCs w:val="16"/>
                <w:color w:val="auto"/>
              </w:rPr>
              <w:t>276.0</w:t>
            </w:r>
          </w:p>
        </w:tc>
        <w:tc>
          <w:tcPr>
            <w:tcW w:w="1100" w:type="dxa"/>
            <w:vAlign w:val="bottom"/>
          </w:tcPr>
          <w:p>
            <w:pPr>
              <w:ind w:left="480"/>
              <w:spacing w:after="0"/>
              <w:rPr>
                <w:sz w:val="20"/>
                <w:szCs w:val="20"/>
                <w:color w:val="auto"/>
              </w:rPr>
            </w:pPr>
            <w:r>
              <w:rPr>
                <w:rFonts w:ascii="Arial" w:cs="Arial" w:eastAsia="Arial" w:hAnsi="Arial"/>
                <w:sz w:val="16"/>
                <w:szCs w:val="16"/>
                <w:color w:val="auto"/>
              </w:rPr>
              <w:t>to</w:t>
            </w:r>
          </w:p>
        </w:tc>
        <w:tc>
          <w:tcPr>
            <w:tcW w:w="1140" w:type="dxa"/>
            <w:vAlign w:val="bottom"/>
          </w:tcPr>
          <w:p>
            <w:pPr>
              <w:jc w:val="right"/>
              <w:ind w:right="49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278.0</w:t>
            </w:r>
          </w:p>
        </w:tc>
      </w:tr>
      <w:tr>
        <w:trPr>
          <w:trHeight w:val="270"/>
        </w:trPr>
        <w:tc>
          <w:tcPr>
            <w:tcW w:w="3400" w:type="dxa"/>
            <w:vAlign w:val="bottom"/>
          </w:tcPr>
          <w:p>
            <w:pPr>
              <w:ind w:left="40"/>
              <w:spacing w:after="0"/>
              <w:rPr>
                <w:sz w:val="20"/>
                <w:szCs w:val="20"/>
                <w:color w:val="auto"/>
              </w:rPr>
            </w:pPr>
            <w:r>
              <w:rPr>
                <w:rFonts w:ascii="Arial" w:cs="Arial" w:eastAsia="Arial" w:hAnsi="Arial"/>
                <w:sz w:val="16"/>
                <w:szCs w:val="16"/>
                <w:color w:val="auto"/>
              </w:rPr>
              <w:t>Non-GAAP loss from operations (millions)</w:t>
            </w:r>
          </w:p>
        </w:tc>
        <w:tc>
          <w:tcPr>
            <w:tcW w:w="800" w:type="dxa"/>
            <w:vAlign w:val="bottom"/>
          </w:tcPr>
          <w:p>
            <w:pPr>
              <w:jc w:val="right"/>
              <w:ind w:right="459"/>
              <w:spacing w:after="0"/>
              <w:rPr>
                <w:sz w:val="20"/>
                <w:szCs w:val="20"/>
                <w:color w:val="auto"/>
              </w:rPr>
            </w:pPr>
            <w:r>
              <w:rPr>
                <w:rFonts w:ascii="Arial" w:cs="Arial" w:eastAsia="Arial" w:hAnsi="Arial"/>
                <w:sz w:val="16"/>
                <w:szCs w:val="16"/>
                <w:color w:val="auto"/>
              </w:rPr>
              <w:t>$</w:t>
            </w:r>
          </w:p>
        </w:tc>
        <w:tc>
          <w:tcPr>
            <w:tcW w:w="1640" w:type="dxa"/>
            <w:vAlign w:val="bottom"/>
          </w:tcPr>
          <w:p>
            <w:pPr>
              <w:jc w:val="right"/>
              <w:ind w:right="479"/>
              <w:spacing w:after="0"/>
              <w:rPr>
                <w:sz w:val="20"/>
                <w:szCs w:val="20"/>
                <w:color w:val="auto"/>
              </w:rPr>
            </w:pPr>
            <w:r>
              <w:rPr>
                <w:rFonts w:ascii="Arial" w:cs="Arial" w:eastAsia="Arial" w:hAnsi="Arial"/>
                <w:sz w:val="16"/>
                <w:szCs w:val="16"/>
                <w:color w:val="auto"/>
              </w:rPr>
              <w:t>(5.0)</w:t>
            </w:r>
          </w:p>
        </w:tc>
        <w:tc>
          <w:tcPr>
            <w:tcW w:w="1100" w:type="dxa"/>
            <w:vAlign w:val="bottom"/>
          </w:tcPr>
          <w:p>
            <w:pPr>
              <w:ind w:left="480"/>
              <w:spacing w:after="0"/>
              <w:rPr>
                <w:sz w:val="20"/>
                <w:szCs w:val="20"/>
                <w:color w:val="auto"/>
              </w:rPr>
            </w:pPr>
            <w:r>
              <w:rPr>
                <w:rFonts w:ascii="Arial" w:cs="Arial" w:eastAsia="Arial" w:hAnsi="Arial"/>
                <w:sz w:val="16"/>
                <w:szCs w:val="16"/>
                <w:color w:val="auto"/>
              </w:rPr>
              <w:t>to</w:t>
            </w:r>
          </w:p>
        </w:tc>
        <w:tc>
          <w:tcPr>
            <w:tcW w:w="1140" w:type="dxa"/>
            <w:vAlign w:val="bottom"/>
          </w:tcPr>
          <w:p>
            <w:pPr>
              <w:jc w:val="right"/>
              <w:ind w:right="49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(4.0)</w:t>
            </w:r>
          </w:p>
        </w:tc>
      </w:tr>
      <w:tr>
        <w:trPr>
          <w:trHeight w:val="270"/>
        </w:trPr>
        <w:tc>
          <w:tcPr>
            <w:tcW w:w="3400" w:type="dxa"/>
            <w:vAlign w:val="bottom"/>
          </w:tcPr>
          <w:p>
            <w:pPr>
              <w:ind w:left="40"/>
              <w:spacing w:after="0"/>
              <w:rPr>
                <w:sz w:val="20"/>
                <w:szCs w:val="20"/>
                <w:color w:val="auto"/>
              </w:rPr>
            </w:pPr>
            <w:r>
              <w:rPr>
                <w:rFonts w:ascii="Arial" w:cs="Arial" w:eastAsia="Arial" w:hAnsi="Arial"/>
                <w:sz w:val="16"/>
                <w:szCs w:val="16"/>
                <w:color w:val="auto"/>
              </w:rPr>
              <w:t>Non-GAAP earnings per share</w:t>
            </w:r>
          </w:p>
        </w:tc>
        <w:tc>
          <w:tcPr>
            <w:tcW w:w="800" w:type="dxa"/>
            <w:vAlign w:val="bottom"/>
          </w:tcPr>
          <w:p>
            <w:pPr>
              <w:jc w:val="right"/>
              <w:ind w:right="459"/>
              <w:spacing w:after="0"/>
              <w:rPr>
                <w:sz w:val="20"/>
                <w:szCs w:val="20"/>
                <w:color w:val="auto"/>
              </w:rPr>
            </w:pPr>
            <w:r>
              <w:rPr>
                <w:rFonts w:ascii="Arial" w:cs="Arial" w:eastAsia="Arial" w:hAnsi="Arial"/>
                <w:sz w:val="16"/>
                <w:szCs w:val="16"/>
                <w:color w:val="auto"/>
              </w:rPr>
              <w:t>$</w:t>
            </w:r>
          </w:p>
        </w:tc>
        <w:tc>
          <w:tcPr>
            <w:tcW w:w="1640" w:type="dxa"/>
            <w:vAlign w:val="bottom"/>
          </w:tcPr>
          <w:p>
            <w:pPr>
              <w:jc w:val="right"/>
              <w:ind w:right="539"/>
              <w:spacing w:after="0"/>
              <w:rPr>
                <w:sz w:val="20"/>
                <w:szCs w:val="20"/>
                <w:color w:val="auto"/>
              </w:rPr>
            </w:pPr>
            <w:r>
              <w:rPr>
                <w:rFonts w:ascii="Arial" w:cs="Arial" w:eastAsia="Arial" w:hAnsi="Arial"/>
                <w:sz w:val="16"/>
                <w:szCs w:val="16"/>
                <w:color w:val="auto"/>
              </w:rPr>
              <w:t>0.01</w:t>
            </w:r>
          </w:p>
        </w:tc>
        <w:tc>
          <w:tcPr>
            <w:tcW w:w="1100" w:type="dxa"/>
            <w:vAlign w:val="bottom"/>
          </w:tcPr>
          <w:p>
            <w:pPr>
              <w:ind w:left="480"/>
              <w:spacing w:after="0"/>
              <w:rPr>
                <w:sz w:val="20"/>
                <w:szCs w:val="20"/>
                <w:color w:val="auto"/>
              </w:rPr>
            </w:pPr>
            <w:r>
              <w:rPr>
                <w:rFonts w:ascii="Arial" w:cs="Arial" w:eastAsia="Arial" w:hAnsi="Arial"/>
                <w:sz w:val="16"/>
                <w:szCs w:val="16"/>
                <w:color w:val="auto"/>
              </w:rPr>
              <w:t>to</w:t>
            </w:r>
          </w:p>
        </w:tc>
        <w:tc>
          <w:tcPr>
            <w:tcW w:w="1140" w:type="dxa"/>
            <w:vAlign w:val="bottom"/>
          </w:tcPr>
          <w:p>
            <w:pPr>
              <w:jc w:val="right"/>
              <w:ind w:right="49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0.02</w:t>
            </w:r>
          </w:p>
        </w:tc>
      </w:tr>
      <w:tr>
        <w:trPr>
          <w:trHeight w:val="253"/>
        </w:trPr>
        <w:tc>
          <w:tcPr>
            <w:tcW w:w="3400" w:type="dxa"/>
            <w:vAlign w:val="bottom"/>
          </w:tcPr>
          <w:p>
            <w:pPr>
              <w:ind w:left="40"/>
              <w:spacing w:after="0"/>
              <w:rPr>
                <w:sz w:val="20"/>
                <w:szCs w:val="20"/>
                <w:color w:val="auto"/>
              </w:rPr>
            </w:pPr>
            <w:r>
              <w:rPr>
                <w:rFonts w:ascii="Arial" w:cs="Arial" w:eastAsia="Arial" w:hAnsi="Arial"/>
                <w:sz w:val="16"/>
                <w:szCs w:val="16"/>
                <w:color w:val="auto"/>
                <w:w w:val="95"/>
              </w:rPr>
              <w:t>Non-GAAP weighted average shares outstanding</w:t>
            </w:r>
          </w:p>
        </w:tc>
        <w:tc>
          <w:tcPr>
            <w:tcW w:w="80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06"/>
        </w:trPr>
        <w:tc>
          <w:tcPr>
            <w:tcW w:w="3400" w:type="dxa"/>
            <w:vAlign w:val="bottom"/>
          </w:tcPr>
          <w:p>
            <w:pPr>
              <w:ind w:left="40"/>
              <w:spacing w:after="0"/>
              <w:rPr>
                <w:sz w:val="20"/>
                <w:szCs w:val="20"/>
                <w:color w:val="auto"/>
              </w:rPr>
            </w:pPr>
            <w:r>
              <w:rPr>
                <w:rFonts w:ascii="Arial" w:cs="Arial" w:eastAsia="Arial" w:hAnsi="Arial"/>
                <w:sz w:val="16"/>
                <w:szCs w:val="16"/>
                <w:color w:val="auto"/>
              </w:rPr>
              <w:t>(millions)</w:t>
            </w:r>
          </w:p>
        </w:tc>
        <w:tc>
          <w:tcPr>
            <w:tcW w:w="800" w:type="dxa"/>
            <w:vAlign w:val="bottom"/>
          </w:tcPr>
          <w:p>
            <w:pPr>
              <w:spacing w:after="0"/>
              <w:rPr>
                <w:sz w:val="17"/>
                <w:szCs w:val="17"/>
                <w:color w:val="auto"/>
              </w:rPr>
            </w:pPr>
          </w:p>
        </w:tc>
        <w:tc>
          <w:tcPr>
            <w:tcW w:w="1640" w:type="dxa"/>
            <w:vAlign w:val="bottom"/>
          </w:tcPr>
          <w:p>
            <w:pPr>
              <w:jc w:val="right"/>
              <w:ind w:right="399"/>
              <w:spacing w:after="0"/>
              <w:rPr>
                <w:sz w:val="20"/>
                <w:szCs w:val="20"/>
                <w:color w:val="auto"/>
              </w:rPr>
            </w:pPr>
            <w:r>
              <w:rPr>
                <w:rFonts w:ascii="Arial" w:cs="Arial" w:eastAsia="Arial" w:hAnsi="Arial"/>
                <w:sz w:val="16"/>
                <w:szCs w:val="16"/>
                <w:color w:val="auto"/>
              </w:rPr>
              <w:t>150</w:t>
            </w:r>
          </w:p>
        </w:tc>
        <w:tc>
          <w:tcPr>
            <w:tcW w:w="1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70"/>
        </w:trPr>
        <w:tc>
          <w:tcPr>
            <w:tcW w:w="3400" w:type="dxa"/>
            <w:vAlign w:val="bottom"/>
          </w:tcPr>
          <w:p>
            <w:pPr>
              <w:ind w:left="40"/>
              <w:spacing w:after="0"/>
              <w:rPr>
                <w:sz w:val="20"/>
                <w:szCs w:val="20"/>
                <w:color w:val="auto"/>
              </w:rPr>
            </w:pPr>
            <w:r>
              <w:rPr>
                <w:rFonts w:ascii="Arial" w:cs="Arial" w:eastAsia="Arial" w:hAnsi="Arial"/>
                <w:sz w:val="16"/>
                <w:szCs w:val="16"/>
                <w:color w:val="auto"/>
              </w:rPr>
              <w:t>Non-GAAP income tax rate</w:t>
            </w:r>
          </w:p>
        </w:tc>
        <w:tc>
          <w:tcPr>
            <w:tcW w:w="800" w:type="dxa"/>
            <w:vAlign w:val="bottom"/>
          </w:tcPr>
          <w:p>
            <w:pPr>
              <w:spacing w:after="0"/>
              <w:rPr>
                <w:sz w:val="23"/>
                <w:szCs w:val="23"/>
                <w:color w:val="auto"/>
              </w:rPr>
            </w:pPr>
          </w:p>
        </w:tc>
        <w:tc>
          <w:tcPr>
            <w:tcW w:w="1640" w:type="dxa"/>
            <w:vAlign w:val="bottom"/>
          </w:tcPr>
          <w:p>
            <w:pPr>
              <w:jc w:val="right"/>
              <w:ind w:right="399"/>
              <w:spacing w:after="0"/>
              <w:rPr>
                <w:sz w:val="20"/>
                <w:szCs w:val="20"/>
                <w:color w:val="auto"/>
              </w:rPr>
            </w:pPr>
            <w:r>
              <w:rPr>
                <w:rFonts w:ascii="Arial" w:cs="Arial" w:eastAsia="Arial" w:hAnsi="Arial"/>
                <w:sz w:val="16"/>
                <w:szCs w:val="16"/>
                <w:color w:val="auto"/>
              </w:rPr>
              <w:t>25%</w:t>
            </w:r>
          </w:p>
        </w:tc>
        <w:tc>
          <w:tcPr>
            <w:tcW w:w="11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527"/>
        </w:trPr>
        <w:tc>
          <w:tcPr>
            <w:tcW w:w="3400" w:type="dxa"/>
            <w:vAlign w:val="bottom"/>
          </w:tcPr>
          <w:p>
            <w:pPr>
              <w:ind w:left="40"/>
              <w:spacing w:after="0"/>
              <w:rPr>
                <w:sz w:val="20"/>
                <w:szCs w:val="20"/>
                <w:color w:val="auto"/>
              </w:rPr>
            </w:pPr>
            <w:r>
              <w:rPr>
                <w:rFonts w:ascii="Arial" w:cs="Arial" w:eastAsia="Arial" w:hAnsi="Arial"/>
                <w:sz w:val="16"/>
                <w:szCs w:val="16"/>
                <w:b w:val="1"/>
                <w:bCs w:val="1"/>
                <w:color w:val="auto"/>
              </w:rPr>
              <w:t>Full year ending December 31, 2019:</w:t>
            </w:r>
          </w:p>
        </w:tc>
        <w:tc>
          <w:tcPr>
            <w:tcW w:w="8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3"/>
        </w:trPr>
        <w:tc>
          <w:tcPr>
            <w:tcW w:w="3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1"/>
        </w:trPr>
        <w:tc>
          <w:tcPr>
            <w:tcW w:w="3400" w:type="dxa"/>
            <w:vAlign w:val="bottom"/>
          </w:tcPr>
          <w:p>
            <w:pPr>
              <w:ind w:left="40"/>
              <w:spacing w:after="0"/>
              <w:rPr>
                <w:sz w:val="20"/>
                <w:szCs w:val="20"/>
                <w:color w:val="auto"/>
              </w:rPr>
            </w:pPr>
            <w:r>
              <w:rPr>
                <w:rFonts w:ascii="Arial" w:cs="Arial" w:eastAsia="Arial" w:hAnsi="Arial"/>
                <w:sz w:val="16"/>
                <w:szCs w:val="16"/>
                <w:color w:val="auto"/>
              </w:rPr>
              <w:t>Total Revenue (millions)</w:t>
            </w:r>
          </w:p>
        </w:tc>
        <w:tc>
          <w:tcPr>
            <w:tcW w:w="800" w:type="dxa"/>
            <w:vAlign w:val="bottom"/>
          </w:tcPr>
          <w:p>
            <w:pPr>
              <w:jc w:val="right"/>
              <w:ind w:right="459"/>
              <w:spacing w:after="0"/>
              <w:rPr>
                <w:sz w:val="20"/>
                <w:szCs w:val="20"/>
                <w:color w:val="auto"/>
              </w:rPr>
            </w:pPr>
            <w:r>
              <w:rPr>
                <w:rFonts w:ascii="Arial" w:cs="Arial" w:eastAsia="Arial" w:hAnsi="Arial"/>
                <w:sz w:val="16"/>
                <w:szCs w:val="16"/>
                <w:color w:val="auto"/>
              </w:rPr>
              <w:t>$</w:t>
            </w:r>
          </w:p>
        </w:tc>
        <w:tc>
          <w:tcPr>
            <w:tcW w:w="1640" w:type="dxa"/>
            <w:vAlign w:val="bottom"/>
          </w:tcPr>
          <w:p>
            <w:pPr>
              <w:jc w:val="right"/>
              <w:ind w:right="539"/>
              <w:spacing w:after="0"/>
              <w:rPr>
                <w:sz w:val="20"/>
                <w:szCs w:val="20"/>
                <w:color w:val="auto"/>
              </w:rPr>
            </w:pPr>
            <w:r>
              <w:rPr>
                <w:rFonts w:ascii="Arial" w:cs="Arial" w:eastAsia="Arial" w:hAnsi="Arial"/>
                <w:sz w:val="16"/>
                <w:szCs w:val="16"/>
                <w:color w:val="auto"/>
              </w:rPr>
              <w:t>1,113.0</w:t>
            </w:r>
          </w:p>
        </w:tc>
        <w:tc>
          <w:tcPr>
            <w:tcW w:w="1100" w:type="dxa"/>
            <w:vAlign w:val="bottom"/>
          </w:tcPr>
          <w:p>
            <w:pPr>
              <w:ind w:left="480"/>
              <w:spacing w:after="0"/>
              <w:rPr>
                <w:sz w:val="20"/>
                <w:szCs w:val="20"/>
                <w:color w:val="auto"/>
              </w:rPr>
            </w:pPr>
            <w:r>
              <w:rPr>
                <w:rFonts w:ascii="Arial" w:cs="Arial" w:eastAsia="Arial" w:hAnsi="Arial"/>
                <w:sz w:val="16"/>
                <w:szCs w:val="16"/>
                <w:color w:val="auto"/>
              </w:rPr>
              <w:t>to</w:t>
            </w:r>
          </w:p>
        </w:tc>
        <w:tc>
          <w:tcPr>
            <w:tcW w:w="1140" w:type="dxa"/>
            <w:vAlign w:val="bottom"/>
          </w:tcPr>
          <w:p>
            <w:pPr>
              <w:jc w:val="right"/>
              <w:ind w:right="49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1,119.0</w:t>
            </w:r>
          </w:p>
        </w:tc>
      </w:tr>
      <w:tr>
        <w:trPr>
          <w:trHeight w:val="270"/>
        </w:trPr>
        <w:tc>
          <w:tcPr>
            <w:tcW w:w="3400" w:type="dxa"/>
            <w:vAlign w:val="bottom"/>
          </w:tcPr>
          <w:p>
            <w:pPr>
              <w:ind w:left="40"/>
              <w:spacing w:after="0"/>
              <w:rPr>
                <w:sz w:val="20"/>
                <w:szCs w:val="20"/>
                <w:color w:val="auto"/>
              </w:rPr>
            </w:pPr>
            <w:r>
              <w:rPr>
                <w:rFonts w:ascii="Arial" w:cs="Arial" w:eastAsia="Arial" w:hAnsi="Arial"/>
                <w:sz w:val="16"/>
                <w:szCs w:val="16"/>
                <w:color w:val="auto"/>
              </w:rPr>
              <w:t>Base Revenue (millions)</w:t>
            </w:r>
          </w:p>
        </w:tc>
        <w:tc>
          <w:tcPr>
            <w:tcW w:w="800" w:type="dxa"/>
            <w:vAlign w:val="bottom"/>
          </w:tcPr>
          <w:p>
            <w:pPr>
              <w:jc w:val="right"/>
              <w:ind w:right="459"/>
              <w:spacing w:after="0"/>
              <w:rPr>
                <w:sz w:val="20"/>
                <w:szCs w:val="20"/>
                <w:color w:val="auto"/>
              </w:rPr>
            </w:pPr>
            <w:r>
              <w:rPr>
                <w:rFonts w:ascii="Arial" w:cs="Arial" w:eastAsia="Arial" w:hAnsi="Arial"/>
                <w:sz w:val="16"/>
                <w:szCs w:val="16"/>
                <w:color w:val="auto"/>
              </w:rPr>
              <w:t>$</w:t>
            </w:r>
          </w:p>
        </w:tc>
        <w:tc>
          <w:tcPr>
            <w:tcW w:w="1640" w:type="dxa"/>
            <w:vAlign w:val="bottom"/>
          </w:tcPr>
          <w:p>
            <w:pPr>
              <w:jc w:val="right"/>
              <w:ind w:right="539"/>
              <w:spacing w:after="0"/>
              <w:rPr>
                <w:sz w:val="20"/>
                <w:szCs w:val="20"/>
                <w:color w:val="auto"/>
              </w:rPr>
            </w:pPr>
            <w:r>
              <w:rPr>
                <w:rFonts w:ascii="Arial" w:cs="Arial" w:eastAsia="Arial" w:hAnsi="Arial"/>
                <w:sz w:val="16"/>
                <w:szCs w:val="16"/>
                <w:color w:val="auto"/>
              </w:rPr>
              <w:t>1,064.0</w:t>
            </w:r>
          </w:p>
        </w:tc>
        <w:tc>
          <w:tcPr>
            <w:tcW w:w="1100" w:type="dxa"/>
            <w:vAlign w:val="bottom"/>
          </w:tcPr>
          <w:p>
            <w:pPr>
              <w:ind w:left="480"/>
              <w:spacing w:after="0"/>
              <w:rPr>
                <w:sz w:val="20"/>
                <w:szCs w:val="20"/>
                <w:color w:val="auto"/>
              </w:rPr>
            </w:pPr>
            <w:r>
              <w:rPr>
                <w:rFonts w:ascii="Arial" w:cs="Arial" w:eastAsia="Arial" w:hAnsi="Arial"/>
                <w:sz w:val="16"/>
                <w:szCs w:val="16"/>
                <w:color w:val="auto"/>
              </w:rPr>
              <w:t>to</w:t>
            </w:r>
          </w:p>
        </w:tc>
        <w:tc>
          <w:tcPr>
            <w:tcW w:w="1140" w:type="dxa"/>
            <w:vAlign w:val="bottom"/>
          </w:tcPr>
          <w:p>
            <w:pPr>
              <w:jc w:val="right"/>
              <w:ind w:right="49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1,068.0</w:t>
            </w:r>
          </w:p>
        </w:tc>
      </w:tr>
      <w:tr>
        <w:trPr>
          <w:trHeight w:val="270"/>
        </w:trPr>
        <w:tc>
          <w:tcPr>
            <w:tcW w:w="3400" w:type="dxa"/>
            <w:vAlign w:val="bottom"/>
          </w:tcPr>
          <w:p>
            <w:pPr>
              <w:ind w:left="40"/>
              <w:spacing w:after="0"/>
              <w:rPr>
                <w:sz w:val="20"/>
                <w:szCs w:val="20"/>
                <w:color w:val="auto"/>
              </w:rPr>
            </w:pPr>
            <w:r>
              <w:rPr>
                <w:rFonts w:ascii="Arial" w:cs="Arial" w:eastAsia="Arial" w:hAnsi="Arial"/>
                <w:sz w:val="16"/>
                <w:szCs w:val="16"/>
                <w:color w:val="auto"/>
              </w:rPr>
              <w:t>Non-GAAP income from operations (millions)</w:t>
            </w:r>
          </w:p>
        </w:tc>
        <w:tc>
          <w:tcPr>
            <w:tcW w:w="800" w:type="dxa"/>
            <w:vAlign w:val="bottom"/>
          </w:tcPr>
          <w:p>
            <w:pPr>
              <w:jc w:val="right"/>
              <w:ind w:right="459"/>
              <w:spacing w:after="0"/>
              <w:rPr>
                <w:sz w:val="20"/>
                <w:szCs w:val="20"/>
                <w:color w:val="auto"/>
              </w:rPr>
            </w:pPr>
            <w:r>
              <w:rPr>
                <w:rFonts w:ascii="Arial" w:cs="Arial" w:eastAsia="Arial" w:hAnsi="Arial"/>
                <w:sz w:val="16"/>
                <w:szCs w:val="16"/>
                <w:color w:val="auto"/>
              </w:rPr>
              <w:t>$</w:t>
            </w:r>
          </w:p>
        </w:tc>
        <w:tc>
          <w:tcPr>
            <w:tcW w:w="1640" w:type="dxa"/>
            <w:vAlign w:val="bottom"/>
          </w:tcPr>
          <w:p>
            <w:pPr>
              <w:jc w:val="right"/>
              <w:ind w:right="539"/>
              <w:spacing w:after="0"/>
              <w:rPr>
                <w:sz w:val="20"/>
                <w:szCs w:val="20"/>
                <w:color w:val="auto"/>
              </w:rPr>
            </w:pPr>
            <w:r>
              <w:rPr>
                <w:rFonts w:ascii="Arial" w:cs="Arial" w:eastAsia="Arial" w:hAnsi="Arial"/>
                <w:sz w:val="16"/>
                <w:szCs w:val="16"/>
                <w:color w:val="auto"/>
              </w:rPr>
              <w:t>5.0</w:t>
            </w:r>
          </w:p>
        </w:tc>
        <w:tc>
          <w:tcPr>
            <w:tcW w:w="1100" w:type="dxa"/>
            <w:vAlign w:val="bottom"/>
          </w:tcPr>
          <w:p>
            <w:pPr>
              <w:ind w:left="480"/>
              <w:spacing w:after="0"/>
              <w:rPr>
                <w:sz w:val="20"/>
                <w:szCs w:val="20"/>
                <w:color w:val="auto"/>
              </w:rPr>
            </w:pPr>
            <w:r>
              <w:rPr>
                <w:rFonts w:ascii="Arial" w:cs="Arial" w:eastAsia="Arial" w:hAnsi="Arial"/>
                <w:sz w:val="16"/>
                <w:szCs w:val="16"/>
                <w:color w:val="auto"/>
              </w:rPr>
              <w:t>to</w:t>
            </w:r>
          </w:p>
        </w:tc>
        <w:tc>
          <w:tcPr>
            <w:tcW w:w="1140" w:type="dxa"/>
            <w:vAlign w:val="bottom"/>
          </w:tcPr>
          <w:p>
            <w:pPr>
              <w:jc w:val="right"/>
              <w:ind w:right="49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8.0</w:t>
            </w:r>
          </w:p>
        </w:tc>
      </w:tr>
      <w:tr>
        <w:trPr>
          <w:trHeight w:val="270"/>
        </w:trPr>
        <w:tc>
          <w:tcPr>
            <w:tcW w:w="3400" w:type="dxa"/>
            <w:vAlign w:val="bottom"/>
          </w:tcPr>
          <w:p>
            <w:pPr>
              <w:ind w:left="40"/>
              <w:spacing w:after="0"/>
              <w:rPr>
                <w:sz w:val="20"/>
                <w:szCs w:val="20"/>
                <w:color w:val="auto"/>
              </w:rPr>
            </w:pPr>
            <w:r>
              <w:rPr>
                <w:rFonts w:ascii="Arial" w:cs="Arial" w:eastAsia="Arial" w:hAnsi="Arial"/>
                <w:sz w:val="16"/>
                <w:szCs w:val="16"/>
                <w:color w:val="auto"/>
              </w:rPr>
              <w:t>Non-GAAP earnings per share</w:t>
            </w:r>
          </w:p>
        </w:tc>
        <w:tc>
          <w:tcPr>
            <w:tcW w:w="800" w:type="dxa"/>
            <w:vAlign w:val="bottom"/>
          </w:tcPr>
          <w:p>
            <w:pPr>
              <w:jc w:val="right"/>
              <w:ind w:right="459"/>
              <w:spacing w:after="0"/>
              <w:rPr>
                <w:sz w:val="20"/>
                <w:szCs w:val="20"/>
                <w:color w:val="auto"/>
              </w:rPr>
            </w:pPr>
            <w:r>
              <w:rPr>
                <w:rFonts w:ascii="Arial" w:cs="Arial" w:eastAsia="Arial" w:hAnsi="Arial"/>
                <w:sz w:val="16"/>
                <w:szCs w:val="16"/>
                <w:color w:val="auto"/>
              </w:rPr>
              <w:t>$</w:t>
            </w:r>
          </w:p>
        </w:tc>
        <w:tc>
          <w:tcPr>
            <w:tcW w:w="1640" w:type="dxa"/>
            <w:vAlign w:val="bottom"/>
          </w:tcPr>
          <w:p>
            <w:pPr>
              <w:jc w:val="right"/>
              <w:ind w:right="539"/>
              <w:spacing w:after="0"/>
              <w:rPr>
                <w:sz w:val="20"/>
                <w:szCs w:val="20"/>
                <w:color w:val="auto"/>
              </w:rPr>
            </w:pPr>
            <w:r>
              <w:rPr>
                <w:rFonts w:ascii="Arial" w:cs="Arial" w:eastAsia="Arial" w:hAnsi="Arial"/>
                <w:sz w:val="16"/>
                <w:szCs w:val="16"/>
                <w:color w:val="auto"/>
              </w:rPr>
              <w:t>0.17</w:t>
            </w:r>
          </w:p>
        </w:tc>
        <w:tc>
          <w:tcPr>
            <w:tcW w:w="1100" w:type="dxa"/>
            <w:vAlign w:val="bottom"/>
          </w:tcPr>
          <w:p>
            <w:pPr>
              <w:ind w:left="480"/>
              <w:spacing w:after="0"/>
              <w:rPr>
                <w:sz w:val="20"/>
                <w:szCs w:val="20"/>
                <w:color w:val="auto"/>
              </w:rPr>
            </w:pPr>
            <w:r>
              <w:rPr>
                <w:rFonts w:ascii="Arial" w:cs="Arial" w:eastAsia="Arial" w:hAnsi="Arial"/>
                <w:sz w:val="16"/>
                <w:szCs w:val="16"/>
                <w:color w:val="auto"/>
              </w:rPr>
              <w:t>to</w:t>
            </w:r>
          </w:p>
        </w:tc>
        <w:tc>
          <w:tcPr>
            <w:tcW w:w="1140" w:type="dxa"/>
            <w:vAlign w:val="bottom"/>
          </w:tcPr>
          <w:p>
            <w:pPr>
              <w:jc w:val="right"/>
              <w:ind w:right="49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0.18</w:t>
            </w:r>
          </w:p>
        </w:tc>
      </w:tr>
      <w:tr>
        <w:trPr>
          <w:trHeight w:val="253"/>
        </w:trPr>
        <w:tc>
          <w:tcPr>
            <w:tcW w:w="3400" w:type="dxa"/>
            <w:vAlign w:val="bottom"/>
          </w:tcPr>
          <w:p>
            <w:pPr>
              <w:ind w:left="40"/>
              <w:spacing w:after="0"/>
              <w:rPr>
                <w:sz w:val="20"/>
                <w:szCs w:val="20"/>
                <w:color w:val="auto"/>
              </w:rPr>
            </w:pPr>
            <w:r>
              <w:rPr>
                <w:rFonts w:ascii="Arial" w:cs="Arial" w:eastAsia="Arial" w:hAnsi="Arial"/>
                <w:sz w:val="16"/>
                <w:szCs w:val="16"/>
                <w:color w:val="auto"/>
                <w:w w:val="95"/>
              </w:rPr>
              <w:t>Non-GAAP weighted average shares outstanding</w:t>
            </w:r>
          </w:p>
        </w:tc>
        <w:tc>
          <w:tcPr>
            <w:tcW w:w="80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06"/>
        </w:trPr>
        <w:tc>
          <w:tcPr>
            <w:tcW w:w="3400" w:type="dxa"/>
            <w:vAlign w:val="bottom"/>
          </w:tcPr>
          <w:p>
            <w:pPr>
              <w:ind w:left="40"/>
              <w:spacing w:after="0"/>
              <w:rPr>
                <w:sz w:val="20"/>
                <w:szCs w:val="20"/>
                <w:color w:val="auto"/>
              </w:rPr>
            </w:pPr>
            <w:r>
              <w:rPr>
                <w:rFonts w:ascii="Arial" w:cs="Arial" w:eastAsia="Arial" w:hAnsi="Arial"/>
                <w:sz w:val="16"/>
                <w:szCs w:val="16"/>
                <w:color w:val="auto"/>
              </w:rPr>
              <w:t>(millions)</w:t>
            </w:r>
          </w:p>
        </w:tc>
        <w:tc>
          <w:tcPr>
            <w:tcW w:w="800" w:type="dxa"/>
            <w:vAlign w:val="bottom"/>
          </w:tcPr>
          <w:p>
            <w:pPr>
              <w:spacing w:after="0"/>
              <w:rPr>
                <w:sz w:val="17"/>
                <w:szCs w:val="17"/>
                <w:color w:val="auto"/>
              </w:rPr>
            </w:pPr>
          </w:p>
        </w:tc>
        <w:tc>
          <w:tcPr>
            <w:tcW w:w="1640" w:type="dxa"/>
            <w:vAlign w:val="bottom"/>
          </w:tcPr>
          <w:p>
            <w:pPr>
              <w:jc w:val="right"/>
              <w:ind w:right="399"/>
              <w:spacing w:after="0"/>
              <w:rPr>
                <w:sz w:val="20"/>
                <w:szCs w:val="20"/>
                <w:color w:val="auto"/>
              </w:rPr>
            </w:pPr>
            <w:r>
              <w:rPr>
                <w:rFonts w:ascii="Arial" w:cs="Arial" w:eastAsia="Arial" w:hAnsi="Arial"/>
                <w:sz w:val="16"/>
                <w:szCs w:val="16"/>
                <w:color w:val="auto"/>
              </w:rPr>
              <w:t>143</w:t>
            </w:r>
          </w:p>
        </w:tc>
        <w:tc>
          <w:tcPr>
            <w:tcW w:w="1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70"/>
        </w:trPr>
        <w:tc>
          <w:tcPr>
            <w:tcW w:w="3400" w:type="dxa"/>
            <w:vAlign w:val="bottom"/>
          </w:tcPr>
          <w:p>
            <w:pPr>
              <w:ind w:left="40"/>
              <w:spacing w:after="0"/>
              <w:rPr>
                <w:sz w:val="20"/>
                <w:szCs w:val="20"/>
                <w:color w:val="auto"/>
              </w:rPr>
            </w:pPr>
            <w:r>
              <w:rPr>
                <w:rFonts w:ascii="Arial" w:cs="Arial" w:eastAsia="Arial" w:hAnsi="Arial"/>
                <w:sz w:val="16"/>
                <w:szCs w:val="16"/>
                <w:color w:val="auto"/>
              </w:rPr>
              <w:t>Non-GAAP income tax rate</w:t>
            </w:r>
          </w:p>
        </w:tc>
        <w:tc>
          <w:tcPr>
            <w:tcW w:w="800" w:type="dxa"/>
            <w:vAlign w:val="bottom"/>
          </w:tcPr>
          <w:p>
            <w:pPr>
              <w:spacing w:after="0"/>
              <w:rPr>
                <w:sz w:val="23"/>
                <w:szCs w:val="23"/>
                <w:color w:val="auto"/>
              </w:rPr>
            </w:pPr>
          </w:p>
        </w:tc>
        <w:tc>
          <w:tcPr>
            <w:tcW w:w="1640" w:type="dxa"/>
            <w:vAlign w:val="bottom"/>
          </w:tcPr>
          <w:p>
            <w:pPr>
              <w:jc w:val="right"/>
              <w:ind w:right="399"/>
              <w:spacing w:after="0"/>
              <w:rPr>
                <w:sz w:val="20"/>
                <w:szCs w:val="20"/>
                <w:color w:val="auto"/>
              </w:rPr>
            </w:pPr>
            <w:r>
              <w:rPr>
                <w:rFonts w:ascii="Arial" w:cs="Arial" w:eastAsia="Arial" w:hAnsi="Arial"/>
                <w:sz w:val="16"/>
                <w:szCs w:val="16"/>
                <w:color w:val="auto"/>
              </w:rPr>
              <w:t>25%</w:t>
            </w:r>
          </w:p>
        </w:tc>
        <w:tc>
          <w:tcPr>
            <w:tcW w:w="11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160" w:type="dxa"/>
            <w:vAlign w:val="bottom"/>
          </w:tcPr>
          <w:p>
            <w:pPr>
              <w:spacing w:after="0"/>
              <w:rPr>
                <w:sz w:val="23"/>
                <w:szCs w:val="23"/>
                <w:color w:val="auto"/>
              </w:rPr>
            </w:pPr>
          </w:p>
        </w:tc>
      </w:tr>
    </w:tbl>
    <w:p>
      <w:pPr>
        <w:spacing w:after="0" w:line="14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Conference Call Information</w:t>
      </w:r>
    </w:p>
    <w:p>
      <w:pPr>
        <w:spacing w:after="0" w:line="275" w:lineRule="exact"/>
        <w:rPr>
          <w:sz w:val="20"/>
          <w:szCs w:val="20"/>
          <w:color w:val="auto"/>
        </w:rPr>
      </w:pPr>
    </w:p>
    <w:p>
      <w:pPr>
        <w:ind w:right="140"/>
        <w:spacing w:after="0" w:line="269" w:lineRule="auto"/>
        <w:rPr>
          <w:sz w:val="20"/>
          <w:szCs w:val="20"/>
          <w:color w:val="auto"/>
        </w:rPr>
      </w:pPr>
      <w:r>
        <w:rPr>
          <w:rFonts w:ascii="Arial" w:cs="Arial" w:eastAsia="Arial" w:hAnsi="Arial"/>
          <w:sz w:val="13"/>
          <w:szCs w:val="13"/>
          <w:color w:val="auto"/>
        </w:rPr>
        <w:t xml:space="preserve">Twilio will host a conference call today, July 31, 2019, to discuss second quarter financial results, as well as the third quarter and full year 2019 outlook, at 2:00 p.m. (PT) / 5:00 p.m. (ET). A live webcast of the conference call, as well as a replay of the call, will be available at </w:t>
      </w:r>
      <w:r>
        <w:rPr>
          <w:rFonts w:ascii="Arial" w:cs="Arial" w:eastAsia="Arial" w:hAnsi="Arial"/>
          <w:sz w:val="13"/>
          <w:szCs w:val="13"/>
          <w:u w:val="single" w:color="auto"/>
          <w:color w:val="auto"/>
        </w:rPr>
        <w:t>https://investors.twilio.com</w:t>
      </w:r>
      <w:r>
        <w:rPr>
          <w:rFonts w:ascii="Arial" w:cs="Arial" w:eastAsia="Arial" w:hAnsi="Arial"/>
          <w:sz w:val="13"/>
          <w:szCs w:val="13"/>
          <w:color w:val="auto"/>
        </w:rPr>
        <w:t>. The conference call can also be accessed at (844) 453-4207 (United States) and at +1</w:t>
      </w:r>
    </w:p>
    <w:p>
      <w:pPr>
        <w:spacing w:after="0" w:line="1" w:lineRule="exact"/>
        <w:rPr>
          <w:sz w:val="20"/>
          <w:szCs w:val="20"/>
          <w:color w:val="auto"/>
        </w:rPr>
      </w:pPr>
    </w:p>
    <w:p>
      <w:pPr>
        <w:ind w:left="360" w:hanging="352"/>
        <w:spacing w:after="0"/>
        <w:tabs>
          <w:tab w:leader="none" w:pos="360" w:val="left"/>
        </w:tabs>
        <w:numPr>
          <w:ilvl w:val="0"/>
          <w:numId w:val="3"/>
        </w:numPr>
        <w:rPr>
          <w:rFonts w:ascii="Arial" w:cs="Arial" w:eastAsia="Arial" w:hAnsi="Arial"/>
          <w:sz w:val="13"/>
          <w:szCs w:val="13"/>
          <w:color w:val="auto"/>
        </w:rPr>
      </w:pPr>
      <w:r>
        <w:rPr>
          <w:rFonts w:ascii="Arial" w:cs="Arial" w:eastAsia="Arial" w:hAnsi="Arial"/>
          <w:sz w:val="13"/>
          <w:szCs w:val="13"/>
          <w:color w:val="auto"/>
        </w:rPr>
        <w:t>253-8638 (non-U.S.), entering passcode 6466404. Following the completion of the call through 11:59 p.m. (ET) on August 7, 2019, a replay will be available by dialing (800) 585-8367 or +1</w:t>
      </w:r>
    </w:p>
    <w:p>
      <w:pPr>
        <w:spacing w:after="0" w:line="12" w:lineRule="exact"/>
        <w:rPr>
          <w:rFonts w:ascii="Arial" w:cs="Arial" w:eastAsia="Arial" w:hAnsi="Arial"/>
          <w:sz w:val="13"/>
          <w:szCs w:val="13"/>
          <w:color w:val="auto"/>
        </w:rPr>
      </w:pPr>
    </w:p>
    <w:p>
      <w:pPr>
        <w:ind w:right="140" w:firstLine="8"/>
        <w:spacing w:after="0" w:line="255" w:lineRule="auto"/>
        <w:tabs>
          <w:tab w:leader="none" w:pos="348" w:val="left"/>
        </w:tabs>
        <w:numPr>
          <w:ilvl w:val="0"/>
          <w:numId w:val="4"/>
        </w:numPr>
        <w:rPr>
          <w:rFonts w:ascii="Arial" w:cs="Arial" w:eastAsia="Arial" w:hAnsi="Arial"/>
          <w:sz w:val="14"/>
          <w:szCs w:val="14"/>
          <w:color w:val="auto"/>
        </w:rPr>
      </w:pPr>
      <w:r>
        <w:rPr>
          <w:rFonts w:ascii="Arial" w:cs="Arial" w:eastAsia="Arial" w:hAnsi="Arial"/>
          <w:sz w:val="14"/>
          <w:szCs w:val="14"/>
          <w:color w:val="auto"/>
        </w:rPr>
        <w:t>621-4642 (outside the U.S. and Canada) and entering passcode 6466404. Twilio has used, and intends to continue to use, its investor relations website as a means of disclosing material non-public information and for complying with its disclosure obligations under Regulation FD.</w:t>
      </w:r>
    </w:p>
    <w:p>
      <w:pPr>
        <w:spacing w:after="0" w:line="2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About Twilio Inc.</w:t>
      </w:r>
    </w:p>
    <w:p>
      <w:pPr>
        <w:spacing w:after="0" w:line="275" w:lineRule="exact"/>
        <w:rPr>
          <w:sz w:val="20"/>
          <w:szCs w:val="20"/>
          <w:color w:val="auto"/>
        </w:rPr>
      </w:pPr>
    </w:p>
    <w:p>
      <w:pPr>
        <w:ind w:right="40"/>
        <w:spacing w:after="0" w:line="252" w:lineRule="auto"/>
        <w:rPr>
          <w:sz w:val="20"/>
          <w:szCs w:val="20"/>
          <w:color w:val="auto"/>
        </w:rPr>
      </w:pPr>
      <w:r>
        <w:rPr>
          <w:rFonts w:ascii="Arial" w:cs="Arial" w:eastAsia="Arial" w:hAnsi="Arial"/>
          <w:sz w:val="14"/>
          <w:szCs w:val="14"/>
          <w:color w:val="auto"/>
        </w:rPr>
        <w:t>Millions of developers around the world have used Twilio to unlock the magic of communications to improve any human experience. Twilio has democratized communications channels like voice, text, chat, video and email by virtualizing the world’s communications infrastructure through APIs that are simple enough for any developer to use, yet robust enough to power the world’s most demanding applications. By making communications a part of every software developer's toolkit, Twilio is enabling innovators across every industry — from emerging leaders to the world’s largest organizations — to reinvent how companies engage with their customers.</w:t>
      </w:r>
    </w:p>
    <w:p>
      <w:pPr>
        <w:spacing w:after="0" w:line="2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Forward-Looking Statements</w:t>
      </w:r>
    </w:p>
    <w:p>
      <w:pPr>
        <w:spacing w:after="0" w:line="275" w:lineRule="exact"/>
        <w:rPr>
          <w:sz w:val="20"/>
          <w:szCs w:val="20"/>
          <w:color w:val="auto"/>
        </w:rPr>
      </w:pPr>
    </w:p>
    <w:p>
      <w:pPr>
        <w:ind w:right="20"/>
        <w:spacing w:after="0" w:line="270" w:lineRule="auto"/>
        <w:rPr>
          <w:sz w:val="20"/>
          <w:szCs w:val="20"/>
          <w:color w:val="auto"/>
        </w:rPr>
      </w:pPr>
      <w:r>
        <w:rPr>
          <w:rFonts w:ascii="Arial" w:cs="Arial" w:eastAsia="Arial" w:hAnsi="Arial"/>
          <w:sz w:val="13"/>
          <w:szCs w:val="13"/>
          <w:color w:val="auto"/>
        </w:rPr>
        <w:t>This press release and the accompanying conference call contain forward-looking statements within the meaning of the federal securities laws, which statements involve substantial risks and uncertainties. Forward-looking statements generally relate to future events or our future financial or operating performance. In some cases, you can identify forward-looking statements because they contain words such as “may,” “will,” “should,” “expects,” “plans,” “anticipates,” “could,” “intends,” “target,” “projects,” “contemplates,” “believes,” “estimates,” “predicts,” “potential” or “continue” or the negative of these words or other similar terms or expressions that concern our expectations, strategy, plans or intentions. Forward-looking statements contained in this press release include, but are not limited to, statements about: Twilio’s outlook for the quarter ending September 30, 2019 and full year ending December 31, 2019, Twilio’s expectations regarding its products and solutions, and Twilio’s acquisition of SendGrid. You should not rely upon forward-looking statements as predictions of future events.</w:t>
      </w:r>
    </w:p>
    <w:p>
      <w:pPr>
        <w:spacing w:after="0" w:line="233" w:lineRule="exact"/>
        <w:rPr>
          <w:sz w:val="20"/>
          <w:szCs w:val="20"/>
          <w:color w:val="auto"/>
        </w:rPr>
      </w:pPr>
    </w:p>
    <w:p>
      <w:pPr>
        <w:spacing w:after="0" w:line="270" w:lineRule="auto"/>
        <w:rPr>
          <w:sz w:val="20"/>
          <w:szCs w:val="20"/>
          <w:color w:val="auto"/>
        </w:rPr>
      </w:pPr>
      <w:r>
        <w:rPr>
          <w:rFonts w:ascii="Arial" w:cs="Arial" w:eastAsia="Arial" w:hAnsi="Arial"/>
          <w:sz w:val="13"/>
          <w:szCs w:val="13"/>
          <w:color w:val="auto"/>
        </w:rPr>
        <w:t>The outcome of the events described in these forward-looking statements is subject to known and unknown risks, uncertainties, and other factors that may cause Twilio’s actual results, performance, or achievements to differ materially from those described in the forward-looking statements, including, among other things: adverse changes in general economic or market conditions; changes in the market for communications; Twilio’s ability to adapt its products to meet evolving market and customer demands and rapid technological change; Twilio’s ability to comply with modified or new industry standards, laws and regulations applying to its business; Twilio’s ability to generate sufficient revenues to achieve or sustain profitability; Twilio’s ability to retain customers and attract new customers; Twilio’s limited operating history, which makes it difficult to evaluate its prospects and future operating results; Twilio’s ability to effectively manage its growth; Twilio’s ability to compete effectively in an intensely competitive market, and risks that the anticipated benefits of the acquisition of SendGrid may not be fully realized or may take longer to realize than expected.</w:t>
      </w:r>
    </w:p>
    <w:p>
      <w:pPr>
        <w:spacing w:after="0" w:line="233" w:lineRule="exact"/>
        <w:rPr>
          <w:sz w:val="20"/>
          <w:szCs w:val="20"/>
          <w:color w:val="auto"/>
        </w:rPr>
      </w:pPr>
    </w:p>
    <w:p>
      <w:pPr>
        <w:ind w:right="40"/>
        <w:spacing w:after="0" w:line="277" w:lineRule="auto"/>
        <w:rPr>
          <w:sz w:val="20"/>
          <w:szCs w:val="20"/>
          <w:color w:val="auto"/>
        </w:rPr>
      </w:pPr>
      <w:r>
        <w:rPr>
          <w:rFonts w:ascii="Arial" w:cs="Arial" w:eastAsia="Arial" w:hAnsi="Arial"/>
          <w:sz w:val="13"/>
          <w:szCs w:val="13"/>
          <w:color w:val="auto"/>
        </w:rPr>
        <w:t>The forward-looking statements contained in this press release are also subject to additional risks, uncertainties, and factors, including those more fully described in Twilio’s most recent filings with the Securities and Exchange Commission, including its Form 10-Q for the quarter ended March 31, 2019 filed on May 9, 2019. Further information on potential risks that could affect actual results will be included in the subsequent periodic and current reports and other filings that Twilio makes with the Securities and Exchange Commission from time to time. Moreover, Twilio operates in a very competitive and rapidly changing environment, and new risks and uncertainties may emerge that could have an impact on the forward-looking statements contained in this press release.</w:t>
      </w:r>
    </w:p>
    <w:p>
      <w:pPr>
        <w:spacing w:after="0" w:line="3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711" w:right="279" w:bottom="1440" w:gutter="0" w:footer="0" w:header="0"/>
        </w:sectPr>
      </w:pPr>
    </w:p>
    <w:bookmarkStart w:id="5" w:name="page6"/>
    <w:bookmarkEnd w:id="5"/>
    <w:p>
      <w:pPr>
        <w:jc w:val="both"/>
        <w:ind w:right="160"/>
        <w:spacing w:after="0" w:line="257" w:lineRule="auto"/>
        <w:rPr>
          <w:sz w:val="20"/>
          <w:szCs w:val="20"/>
          <w:color w:val="auto"/>
        </w:rPr>
      </w:pPr>
      <w:r>
        <w:rPr>
          <w:rFonts w:ascii="Arial" w:cs="Arial" w:eastAsia="Arial" w:hAnsi="Arial"/>
          <w:sz w:val="14"/>
          <w:szCs w:val="14"/>
          <w:color w:val="auto"/>
        </w:rPr>
        <w:t>Forward-looking statements represent Twilio’s management’s beliefs and assumptions only as of the date such statements are made. Twilio undertakes no obligation to update any forward-looking statements made in this press release to reflect events or circumstances after the date of this press release or to reflect new information or the occurrence of unanticipated events, except as required by law.</w:t>
      </w:r>
    </w:p>
    <w:p>
      <w:pPr>
        <w:spacing w:after="0" w:line="23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Use of Non-GAAP Financial Measures</w:t>
      </w:r>
    </w:p>
    <w:p>
      <w:pPr>
        <w:spacing w:after="0" w:line="275" w:lineRule="exact"/>
        <w:rPr>
          <w:sz w:val="20"/>
          <w:szCs w:val="20"/>
          <w:color w:val="auto"/>
        </w:rPr>
      </w:pPr>
    </w:p>
    <w:p>
      <w:pPr>
        <w:ind w:right="20"/>
        <w:spacing w:after="0" w:line="257" w:lineRule="auto"/>
        <w:rPr>
          <w:sz w:val="20"/>
          <w:szCs w:val="20"/>
          <w:color w:val="auto"/>
        </w:rPr>
      </w:pPr>
      <w:r>
        <w:rPr>
          <w:rFonts w:ascii="Arial" w:cs="Arial" w:eastAsia="Arial" w:hAnsi="Arial"/>
          <w:sz w:val="14"/>
          <w:szCs w:val="14"/>
          <w:color w:val="auto"/>
        </w:rPr>
        <w:t>To provide investors and others with additional information regarding Twilio’s results, the following non-GAAP financial measures are disclosed: non-GAAP gross profit and gross margin, non-GAAP operating expenses, non-GAAP income (loss) from operations and operating margin, non-GAAP net income (loss) attributable to common stockholders, and non-GAAP net income (loss) per share attributable to common stockholders, basic and diluted.</w:t>
      </w:r>
    </w:p>
    <w:p>
      <w:pPr>
        <w:spacing w:after="0" w:line="239" w:lineRule="exact"/>
        <w:rPr>
          <w:sz w:val="20"/>
          <w:szCs w:val="20"/>
          <w:color w:val="auto"/>
        </w:rPr>
      </w:pPr>
    </w:p>
    <w:p>
      <w:pPr>
        <w:ind w:right="300"/>
        <w:spacing w:after="0" w:line="273" w:lineRule="auto"/>
        <w:rPr>
          <w:sz w:val="20"/>
          <w:szCs w:val="20"/>
          <w:color w:val="auto"/>
        </w:rPr>
      </w:pPr>
      <w:r>
        <w:rPr>
          <w:rFonts w:ascii="Arial" w:cs="Arial" w:eastAsia="Arial" w:hAnsi="Arial"/>
          <w:sz w:val="14"/>
          <w:szCs w:val="14"/>
          <w:b w:val="1"/>
          <w:bCs w:val="1"/>
          <w:i w:val="1"/>
          <w:iCs w:val="1"/>
          <w:color w:val="auto"/>
        </w:rPr>
        <w:t xml:space="preserve">Non-GAAP Gross Profit and Non-GAAP Gross Margin. </w:t>
      </w:r>
      <w:r>
        <w:rPr>
          <w:rFonts w:ascii="Arial" w:cs="Arial" w:eastAsia="Arial" w:hAnsi="Arial"/>
          <w:sz w:val="14"/>
          <w:szCs w:val="14"/>
          <w:color w:val="auto"/>
        </w:rPr>
        <w:t>For the periods presented, Twilio defines non-GAAP gross profit and non-GAAP gross margin as GAAP gross profit and GAAP gross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margin, respectively, adjusted to exclude stock-based compensation and amortization of acquired intangibles.</w:t>
      </w:r>
    </w:p>
    <w:p>
      <w:pPr>
        <w:spacing w:after="0" w:line="228" w:lineRule="exact"/>
        <w:rPr>
          <w:sz w:val="20"/>
          <w:szCs w:val="20"/>
          <w:color w:val="auto"/>
        </w:rPr>
      </w:pPr>
    </w:p>
    <w:p>
      <w:pPr>
        <w:ind w:right="20"/>
        <w:spacing w:after="0" w:line="257" w:lineRule="auto"/>
        <w:rPr>
          <w:sz w:val="20"/>
          <w:szCs w:val="20"/>
          <w:color w:val="auto"/>
        </w:rPr>
      </w:pPr>
      <w:r>
        <w:rPr>
          <w:rFonts w:ascii="Arial" w:cs="Arial" w:eastAsia="Arial" w:hAnsi="Arial"/>
          <w:sz w:val="14"/>
          <w:szCs w:val="14"/>
          <w:b w:val="1"/>
          <w:bCs w:val="1"/>
          <w:i w:val="1"/>
          <w:iCs w:val="1"/>
          <w:color w:val="auto"/>
        </w:rPr>
        <w:t xml:space="preserve">Non-GAAP Operating Expenses. </w:t>
      </w:r>
      <w:r>
        <w:rPr>
          <w:rFonts w:ascii="Arial" w:cs="Arial" w:eastAsia="Arial" w:hAnsi="Arial"/>
          <w:sz w:val="14"/>
          <w:szCs w:val="14"/>
          <w:color w:val="auto"/>
        </w:rPr>
        <w:t>For the periods presented, Twilio defines non-GAAP operating expenses (including categories of operating expenses) as GAAP operating expenses (and categories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of operating expenses) adjusted to exclude, as applicable, stock-based compensation, amortization of acquired intangibles, acquisition-related expenses, and payroll taxes related to stock-based compensation.</w:t>
      </w:r>
    </w:p>
    <w:p>
      <w:pPr>
        <w:spacing w:after="0" w:line="239" w:lineRule="exact"/>
        <w:rPr>
          <w:sz w:val="20"/>
          <w:szCs w:val="20"/>
          <w:color w:val="auto"/>
        </w:rPr>
      </w:pPr>
    </w:p>
    <w:p>
      <w:pPr>
        <w:ind w:right="140"/>
        <w:spacing w:after="0" w:line="257" w:lineRule="auto"/>
        <w:rPr>
          <w:sz w:val="20"/>
          <w:szCs w:val="20"/>
          <w:color w:val="auto"/>
        </w:rPr>
      </w:pPr>
      <w:r>
        <w:rPr>
          <w:rFonts w:ascii="Arial" w:cs="Arial" w:eastAsia="Arial" w:hAnsi="Arial"/>
          <w:sz w:val="14"/>
          <w:szCs w:val="14"/>
          <w:b w:val="1"/>
          <w:bCs w:val="1"/>
          <w:i w:val="1"/>
          <w:iCs w:val="1"/>
          <w:color w:val="auto"/>
        </w:rPr>
        <w:t xml:space="preserve">Non-GAAP Income (Loss) from Operations and Non-GAAP Operating Margin. </w:t>
      </w:r>
      <w:r>
        <w:rPr>
          <w:rFonts w:ascii="Arial" w:cs="Arial" w:eastAsia="Arial" w:hAnsi="Arial"/>
          <w:sz w:val="14"/>
          <w:szCs w:val="14"/>
          <w:color w:val="auto"/>
        </w:rPr>
        <w:t>For the periods presented, Twilio defines non-GAAP income (loss) from operations and non-GAAP operating</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margin as GAAP loss from operations and GAAP operating margin, respectively, adjusted to exclude stock-based compensation, amortization of acquired intangibles, acquisition-related expenses, and payroll taxes related to stock-based compensation.</w:t>
      </w:r>
    </w:p>
    <w:p>
      <w:pPr>
        <w:spacing w:after="0" w:line="239" w:lineRule="exact"/>
        <w:rPr>
          <w:sz w:val="20"/>
          <w:szCs w:val="20"/>
          <w:color w:val="auto"/>
        </w:rPr>
      </w:pPr>
    </w:p>
    <w:p>
      <w:pPr>
        <w:ind w:right="200"/>
        <w:spacing w:after="0" w:line="273" w:lineRule="auto"/>
        <w:rPr>
          <w:sz w:val="20"/>
          <w:szCs w:val="20"/>
          <w:color w:val="auto"/>
        </w:rPr>
      </w:pPr>
      <w:r>
        <w:rPr>
          <w:rFonts w:ascii="Arial" w:cs="Arial" w:eastAsia="Arial" w:hAnsi="Arial"/>
          <w:sz w:val="13"/>
          <w:szCs w:val="13"/>
          <w:b w:val="1"/>
          <w:bCs w:val="1"/>
          <w:i w:val="1"/>
          <w:iCs w:val="1"/>
          <w:color w:val="auto"/>
        </w:rPr>
        <w:t xml:space="preserve">Non-GAAP Net Income (Loss) Attributable to Common Stockholders and Non-GAAP Net Income (Loss) Per Share Attributable to Common Stockholders, Basic and Diluted. </w:t>
      </w:r>
      <w:r>
        <w:rPr>
          <w:rFonts w:ascii="Arial" w:cs="Arial" w:eastAsia="Arial" w:hAnsi="Arial"/>
          <w:sz w:val="13"/>
          <w:szCs w:val="13"/>
          <w:color w:val="auto"/>
        </w:rPr>
        <w:t>For the periods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presented, Twilio defines non-GAAP net income (loss) attributable to common stockholders and non-GAAP net income (loss) per share attributable to common stockholders, basic and diluted, as GAAP net loss attributable to common stockholders and GAAP net loss per share attributable to common stockholders, basic and diluted, respectively, adjusted to exclude stock-based compensation, amortization of acquired intangibles, acquisition-related expenses, payroll taxes related to stock-based compensation, amortization of debt discount and issuance costs, income tax benefit related to acquisition, provision for income tax effects related to Non-GAAP adjustments, and dilutive securities.</w:t>
      </w:r>
    </w:p>
    <w:p>
      <w:pPr>
        <w:spacing w:after="0" w:line="230" w:lineRule="exact"/>
        <w:rPr>
          <w:sz w:val="20"/>
          <w:szCs w:val="20"/>
          <w:color w:val="auto"/>
        </w:rPr>
      </w:pPr>
    </w:p>
    <w:p>
      <w:pPr>
        <w:ind w:right="40"/>
        <w:spacing w:after="0" w:line="246" w:lineRule="auto"/>
        <w:rPr>
          <w:sz w:val="20"/>
          <w:szCs w:val="20"/>
          <w:color w:val="auto"/>
        </w:rPr>
      </w:pPr>
      <w:r>
        <w:rPr>
          <w:rFonts w:ascii="Arial" w:cs="Arial" w:eastAsia="Arial" w:hAnsi="Arial"/>
          <w:sz w:val="14"/>
          <w:szCs w:val="14"/>
          <w:color w:val="auto"/>
        </w:rPr>
        <w:t>Twilio’s management uses the foregoing non-GAAP financial information, collectively, to evaluate its ongoing operations and for internal planning and forecasting purposes. Twilio’s management believes that non-GAAP financial information, when taken collectively, may be helpful to investors because it provides consistency and comparability with past financial performance, facilitates period-to-period comparisons of results of operations, and assists in comparisons with other companies, many of which use similar non-GAAP financial information to supplement their GAAP results. Non-GAAP financial information is presented for supplemental informational purposes only and should not be considered a substitute for financial information presented in accordance with GAAP, and may be different from similarly-titled non-GAAP measures used by other companies. Whenever Twilio uses a non-GAAP financial measure, a reconciliation is provided to the most directly comparable financial measure stated in accordance with GAAP. Investors are encouraged to review the related GAAP financial measures and the reconciliation of these non-GAAP financial measures to their most directly comparable GAAP financial measures.</w:t>
      </w:r>
    </w:p>
    <w:p>
      <w:pPr>
        <w:spacing w:after="0" w:line="249" w:lineRule="exact"/>
        <w:rPr>
          <w:sz w:val="20"/>
          <w:szCs w:val="20"/>
          <w:color w:val="auto"/>
        </w:rPr>
      </w:pPr>
    </w:p>
    <w:p>
      <w:pPr>
        <w:spacing w:after="0" w:line="257" w:lineRule="auto"/>
        <w:rPr>
          <w:sz w:val="20"/>
          <w:szCs w:val="20"/>
          <w:color w:val="auto"/>
        </w:rPr>
      </w:pPr>
      <w:r>
        <w:rPr>
          <w:rFonts w:ascii="Arial" w:cs="Arial" w:eastAsia="Arial" w:hAnsi="Arial"/>
          <w:sz w:val="14"/>
          <w:szCs w:val="14"/>
          <w:color w:val="auto"/>
        </w:rPr>
        <w:t>With respect to Twilio’s guidance as provided under “Outlook” above, Twilio has not reconciled its expectations as to non-GAAP income (loss) from operations to GAAP loss from operations or non-GAAP net income (loss) per share to GAAP net loss per share because stock-based compensation expense cannot be reasonably calculated or predicted at this time. Accordingly, a reconciliation is not available without unreasonable effort.</w:t>
      </w:r>
    </w:p>
    <w:p>
      <w:pPr>
        <w:spacing w:after="0" w:line="23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Operating Metrics</w:t>
      </w:r>
    </w:p>
    <w:p>
      <w:pPr>
        <w:spacing w:after="0" w:line="275" w:lineRule="exact"/>
        <w:rPr>
          <w:sz w:val="20"/>
          <w:szCs w:val="20"/>
          <w:color w:val="auto"/>
        </w:rPr>
      </w:pPr>
    </w:p>
    <w:p>
      <w:pPr>
        <w:ind w:right="260"/>
        <w:spacing w:after="0" w:line="273" w:lineRule="auto"/>
        <w:rPr>
          <w:sz w:val="20"/>
          <w:szCs w:val="20"/>
          <w:color w:val="auto"/>
        </w:rPr>
      </w:pPr>
      <w:r>
        <w:rPr>
          <w:rFonts w:ascii="Arial" w:cs="Arial" w:eastAsia="Arial" w:hAnsi="Arial"/>
          <w:sz w:val="14"/>
          <w:szCs w:val="14"/>
          <w:color w:val="auto"/>
        </w:rPr>
        <w:t>Twilio reviews a number of operating metrics to evaluate its business, measure performance, identify trends, formulate business plans, and make strategic decisions. These include the number of Active Customer Accounts, Base Revenue, and Dollar-Based Net Expansion Rate.</w:t>
      </w:r>
    </w:p>
    <w:p>
      <w:pPr>
        <w:spacing w:after="0" w:line="228" w:lineRule="exact"/>
        <w:rPr>
          <w:sz w:val="20"/>
          <w:szCs w:val="20"/>
          <w:color w:val="auto"/>
        </w:rPr>
      </w:pPr>
    </w:p>
    <w:p>
      <w:pPr>
        <w:ind w:right="40"/>
        <w:spacing w:after="0" w:line="249" w:lineRule="auto"/>
        <w:rPr>
          <w:sz w:val="20"/>
          <w:szCs w:val="20"/>
          <w:color w:val="auto"/>
        </w:rPr>
      </w:pPr>
      <w:r>
        <w:rPr>
          <w:rFonts w:ascii="Arial" w:cs="Arial" w:eastAsia="Arial" w:hAnsi="Arial"/>
          <w:sz w:val="14"/>
          <w:szCs w:val="14"/>
          <w:b w:val="1"/>
          <w:bCs w:val="1"/>
          <w:i w:val="1"/>
          <w:iCs w:val="1"/>
          <w:color w:val="auto"/>
        </w:rPr>
        <w:t xml:space="preserve">Number of Active Customer Accounts. </w:t>
      </w:r>
      <w:r>
        <w:rPr>
          <w:rFonts w:ascii="Arial" w:cs="Arial" w:eastAsia="Arial" w:hAnsi="Arial"/>
          <w:sz w:val="14"/>
          <w:szCs w:val="14"/>
          <w:color w:val="auto"/>
        </w:rPr>
        <w:t>Twilio believes that the number of Active Customer Accounts is an important indicator of the growth of its business, the market acceptance of its platform</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and future revenue trends. Twilio defines an Active Customer Account at the end of any period as an individual account, as identified by a unique account identifier, for which Twilio has recognized at least $5 of revenue in the last month of the period. Twilio believes that use of its platform by customers at or above the $5 per month threshold is a stronger indicator of potential future engagement than trial usage of its platform or usage at levels below $5 per month. A single organization may constitute multiple unique Active Customer Accounts if it has multiple account identifiers, each of which is treated as a separate Active Customer Account.</w:t>
      </w:r>
    </w:p>
    <w:p>
      <w:pPr>
        <w:spacing w:after="0" w:line="245" w:lineRule="exact"/>
        <w:rPr>
          <w:sz w:val="20"/>
          <w:szCs w:val="20"/>
          <w:color w:val="auto"/>
        </w:rPr>
      </w:pPr>
    </w:p>
    <w:p>
      <w:pPr>
        <w:ind w:right="20"/>
        <w:spacing w:after="0" w:line="268" w:lineRule="auto"/>
        <w:rPr>
          <w:sz w:val="20"/>
          <w:szCs w:val="20"/>
          <w:color w:val="auto"/>
        </w:rPr>
      </w:pPr>
      <w:r>
        <w:rPr>
          <w:rFonts w:ascii="Arial" w:cs="Arial" w:eastAsia="Arial" w:hAnsi="Arial"/>
          <w:sz w:val="13"/>
          <w:szCs w:val="13"/>
          <w:b w:val="1"/>
          <w:bCs w:val="1"/>
          <w:i w:val="1"/>
          <w:iCs w:val="1"/>
          <w:color w:val="auto"/>
        </w:rPr>
        <w:t xml:space="preserve">Base Revenue. </w:t>
      </w:r>
      <w:r>
        <w:rPr>
          <w:rFonts w:ascii="Arial" w:cs="Arial" w:eastAsia="Arial" w:hAnsi="Arial"/>
          <w:sz w:val="13"/>
          <w:szCs w:val="13"/>
          <w:color w:val="auto"/>
        </w:rPr>
        <w:t>Twilio monitors Base Revenue as one of the more reliable indicators of future revenue trends. Base Revenue consists of all revenue other than revenue from large Active Customer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Accounts that have never entered into 12-month minimum revenue commitment contracts with Twilio, which the Company refers to as Variable Customer Accounts. While almost all of Twilio’s customers exhibit some level of variability in the usage of its products, based on the experience of Twilio’s management, Twilio believes that Variable Customer Accounts are more likely to have significant fluctuations in usage of its products from period to period, and therefore that revenue from Variable Customer Accounts may also fluctuate significantly from period to period. This behavior is best evidenced by the decision of such customers not to enter into contracts with Twilio that contain minimum revenue commitments, even though they may spend significant amounts on the use of the Company’s products, and they may be foregoing more favorable terms often available to customers that enter into committed contracts with Twilio. This variability adversely affects Twilio’s ability to rely upon revenue from Variable Customer Accounts when analyzing expected trends in future revenue.</w:t>
      </w:r>
    </w:p>
    <w:p>
      <w:pPr>
        <w:spacing w:after="0" w:line="236" w:lineRule="exact"/>
        <w:rPr>
          <w:sz w:val="20"/>
          <w:szCs w:val="20"/>
          <w:color w:val="auto"/>
        </w:rPr>
      </w:pPr>
    </w:p>
    <w:p>
      <w:pPr>
        <w:ind w:right="60"/>
        <w:spacing w:after="0" w:line="246" w:lineRule="auto"/>
        <w:rPr>
          <w:sz w:val="20"/>
          <w:szCs w:val="20"/>
          <w:color w:val="auto"/>
        </w:rPr>
      </w:pPr>
      <w:r>
        <w:rPr>
          <w:rFonts w:ascii="Arial" w:cs="Arial" w:eastAsia="Arial" w:hAnsi="Arial"/>
          <w:sz w:val="14"/>
          <w:szCs w:val="14"/>
          <w:color w:val="auto"/>
        </w:rPr>
        <w:t>For historical periods through March 31, 2016, Twilio defined a Variable Customer Account as an Active Customer Account that (i) had never signed a minimum revenue commitment contract with the Company for a term of at least 12 months and (ii) has met or exceeded 1% of the Company’s revenue in any quarter in the periods presented through March 31, 2016. To allow for consistent period-to-period comparisons, in the event a customer account qualified as a Variable Customer Account as of March 31, 2016, or a previously Variable Customer Account ceased to be an Active Customer Account as of such date, Twilio included such customer account as a Variable Customer Account in all periods presented. For reporting periods starting with the three months ended June 30, 2016, Twilio defines a Variable Customer Account as a customer account that (a) has been categorized as a Variable Customer Account in any prior quarter, as well as (b) any new customer account that (i) is with a customer that has never signed a minimum revenue commitment contract with Twilio for a term of at least 12 months and (ii) meets or exceeds 1% of the Company’s revenue in a quarter. Once a customer account is deemed to be a Variable Customer Account in any period, they remain a Variable Customer Account in subsequent periods unless they enter into a minimum revenue commitment contract with Twilio for a term of at least 12 months.</w:t>
      </w: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715" w:right="239" w:bottom="1440" w:gutter="0" w:footer="0" w:header="0"/>
        </w:sectPr>
      </w:pPr>
    </w:p>
    <w:bookmarkStart w:id="6" w:name="page7"/>
    <w:bookmarkEnd w:id="6"/>
    <w:p>
      <w:pPr>
        <w:spacing w:after="0" w:line="245" w:lineRule="auto"/>
        <w:rPr>
          <w:sz w:val="20"/>
          <w:szCs w:val="20"/>
          <w:color w:val="auto"/>
        </w:rPr>
      </w:pPr>
      <w:r>
        <w:rPr>
          <w:rFonts w:ascii="Arial" w:cs="Arial" w:eastAsia="Arial" w:hAnsi="Arial"/>
          <w:sz w:val="14"/>
          <w:szCs w:val="14"/>
          <w:b w:val="1"/>
          <w:bCs w:val="1"/>
          <w:color w:val="auto"/>
        </w:rPr>
        <w:t xml:space="preserve">Dollar-Based Net Expansion Rate. </w:t>
      </w:r>
      <w:r>
        <w:rPr>
          <w:rFonts w:ascii="Arial" w:cs="Arial" w:eastAsia="Arial" w:hAnsi="Arial"/>
          <w:sz w:val="14"/>
          <w:szCs w:val="14"/>
          <w:color w:val="auto"/>
        </w:rPr>
        <w:t>Twilio’s ability to drive growth and generate incremental revenue depends, in part, on the Company’s ability to maintain and grow its relationships with existing</w:t>
      </w:r>
      <w:r>
        <w:rPr>
          <w:rFonts w:ascii="Arial" w:cs="Arial" w:eastAsia="Arial" w:hAnsi="Arial"/>
          <w:sz w:val="14"/>
          <w:szCs w:val="14"/>
          <w:b w:val="1"/>
          <w:bCs w:val="1"/>
          <w:color w:val="auto"/>
        </w:rPr>
        <w:t xml:space="preserve"> </w:t>
      </w:r>
      <w:r>
        <w:rPr>
          <w:rFonts w:ascii="Arial" w:cs="Arial" w:eastAsia="Arial" w:hAnsi="Arial"/>
          <w:sz w:val="14"/>
          <w:szCs w:val="14"/>
          <w:color w:val="auto"/>
        </w:rPr>
        <w:t>Active Customer Accounts and to increase their use of the platform. An important way in which Twilio tracks its performance in this area is by measuring the Dollar-Based Net Expansion Rate for Active Customer Accounts, other than Variable Customer Accounts. Twilio’s Dollar-Based Net Expansion Rate increases when such Active Customer Accounts increase their usage of a product, extend their usage of a product to new applications or adopt a new product. Twilio’s Dollar-Based Net Expansion Rate decreases when such Active Customer Accounts cease or reduce their usage of a product or when the Company lowers usage prices on a product. As our customers grow their businesses and extend the use of our platform, they sometimes create multiple customer accounts with us for operational or other reasons. As such, for reporting periods starting with the three months ended December 31, 2016, when we identify a significant customer organization (defined as a single customer organization generating more than 1% of revenue in a quarterly reporting period) that has created a new Active Customer Account, this new Active Customer Account is tied to, and revenue from this new Active Customer Account is included with, the original Active Customer Account for the purposes of calculating this metric. Twilio believes that measuring Dollar-Based Net Expansion Rate on revenue generated from Active Customer Accounts, other than Variable Customer Accounts, provides a more meaningful indication of the performance of the Company’s efforts to increase revenue from existing customers.</w:t>
      </w:r>
    </w:p>
    <w:p>
      <w:pPr>
        <w:spacing w:after="0" w:line="251" w:lineRule="exact"/>
        <w:rPr>
          <w:sz w:val="20"/>
          <w:szCs w:val="20"/>
          <w:color w:val="auto"/>
        </w:rPr>
      </w:pPr>
    </w:p>
    <w:p>
      <w:pPr>
        <w:ind w:right="120"/>
        <w:spacing w:after="0" w:line="249" w:lineRule="auto"/>
        <w:rPr>
          <w:sz w:val="20"/>
          <w:szCs w:val="20"/>
          <w:color w:val="auto"/>
        </w:rPr>
      </w:pPr>
      <w:r>
        <w:rPr>
          <w:rFonts w:ascii="Arial" w:cs="Arial" w:eastAsia="Arial" w:hAnsi="Arial"/>
          <w:sz w:val="14"/>
          <w:szCs w:val="14"/>
          <w:color w:val="auto"/>
        </w:rPr>
        <w:t>Twilio’s Dollar-Based Net Expansion Rate compares the revenue from Active Customer Accounts, other than Variable Customer Accounts, in a quarter to the same quarter in the prior year. To calculate the Dollar-Based Net Expansion Rate, the Company first identifies the cohort of Active Customer Accounts, other than Variable Customer Accounts, that were Active Customer Accounts in the same quarter of the prior year. The Dollar-Based Net Expansion Rate is the quotient obtained by dividing the revenue generated from that cohort in a quarter, by the revenue generated from that same cohort in the corresponding quarter in the prior year. When Twilio calculates Dollar-Based Net Expansion Rate for periods longer than one quarter, it uses the average of the applicable quarterly Dollar-Based Net Expansion Rates for each of the quarters in such period.</w:t>
      </w:r>
    </w:p>
    <w:p>
      <w:pPr>
        <w:spacing w:after="0" w:line="245" w:lineRule="exact"/>
        <w:rPr>
          <w:sz w:val="20"/>
          <w:szCs w:val="20"/>
          <w:color w:val="auto"/>
        </w:rPr>
      </w:pPr>
    </w:p>
    <w:p>
      <w:pPr>
        <w:spacing w:after="0"/>
        <w:rPr>
          <w:sz w:val="20"/>
          <w:szCs w:val="20"/>
          <w:color w:val="auto"/>
        </w:rPr>
      </w:pPr>
      <w:r>
        <w:rPr>
          <w:rFonts w:ascii="Arial" w:cs="Arial" w:eastAsia="Arial" w:hAnsi="Arial"/>
          <w:sz w:val="14"/>
          <w:szCs w:val="14"/>
          <w:color w:val="auto"/>
        </w:rPr>
        <w:t>Source: Twilio Inc.</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711" w:right="239" w:bottom="1440" w:gutter="0" w:footer="0" w:header="0"/>
        </w:sectPr>
      </w:pPr>
    </w:p>
    <w:bookmarkStart w:id="7" w:name="page8"/>
    <w:bookmarkEnd w:id="7"/>
    <w:p>
      <w:pPr>
        <w:spacing w:after="0" w:line="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TWILIO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933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93370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157" w:lineRule="exact"/>
        <w:rPr>
          <w:sz w:val="20"/>
          <w:szCs w:val="20"/>
          <w:color w:val="auto"/>
        </w:rPr>
      </w:pPr>
    </w:p>
    <w:p>
      <w:pPr>
        <w:jc w:val="center"/>
        <w:ind w:left="8620"/>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p>
      <w:pPr>
        <w:jc w:val="center"/>
        <w:ind w:left="8620"/>
        <w:spacing w:after="0"/>
        <w:rPr>
          <w:sz w:val="20"/>
          <w:szCs w:val="20"/>
          <w:color w:val="auto"/>
        </w:rPr>
      </w:pPr>
      <w:r>
        <w:rPr>
          <w:rFonts w:ascii="Arial" w:cs="Arial" w:eastAsia="Arial" w:hAnsi="Arial"/>
          <w:sz w:val="16"/>
          <w:szCs w:val="16"/>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5450840</wp:posOffset>
            </wp:positionH>
            <wp:positionV relativeFrom="paragraph">
              <wp:posOffset>33020</wp:posOffset>
            </wp:positionV>
            <wp:extent cx="18008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pacing w:after="0" w:line="72"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8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ind w:right="431"/>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ind w:right="431"/>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33"/>
        </w:trPr>
        <w:tc>
          <w:tcPr>
            <w:tcW w:w="8540" w:type="dxa"/>
            <w:vAlign w:val="bottom"/>
            <w:vMerge w:val="restart"/>
          </w:tcPr>
          <w:p>
            <w:pPr>
              <w:spacing w:after="0"/>
              <w:rPr>
                <w:sz w:val="20"/>
                <w:szCs w:val="20"/>
                <w:color w:val="auto"/>
              </w:rPr>
            </w:pPr>
            <w:r>
              <w:rPr>
                <w:rFonts w:ascii="Arial" w:cs="Arial" w:eastAsia="Arial" w:hAnsi="Arial"/>
                <w:sz w:val="18"/>
                <w:szCs w:val="18"/>
                <w:color w:val="auto"/>
              </w:rPr>
              <w:t>Revenue</w:t>
            </w: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540" w:type="dxa"/>
            <w:vAlign w:val="bottom"/>
            <w:vMerge w:val="continue"/>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275,039</w:t>
            </w:r>
          </w:p>
        </w:tc>
        <w:tc>
          <w:tcPr>
            <w:tcW w:w="12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147,754</w:t>
            </w:r>
          </w:p>
        </w:tc>
        <w:tc>
          <w:tcPr>
            <w:tcW w:w="0" w:type="dxa"/>
            <w:vAlign w:val="bottom"/>
          </w:tcPr>
          <w:p>
            <w:pPr>
              <w:spacing w:after="0"/>
              <w:rPr>
                <w:sz w:val="1"/>
                <w:szCs w:val="1"/>
                <w:color w:val="auto"/>
              </w:rPr>
            </w:pPr>
          </w:p>
        </w:tc>
      </w:tr>
      <w:tr>
        <w:trPr>
          <w:trHeight w:val="270"/>
        </w:trPr>
        <w:tc>
          <w:tcPr>
            <w:tcW w:w="8540" w:type="dxa"/>
            <w:vAlign w:val="bottom"/>
          </w:tcPr>
          <w:p>
            <w:pPr>
              <w:spacing w:after="0"/>
              <w:rPr>
                <w:sz w:val="20"/>
                <w:szCs w:val="20"/>
                <w:color w:val="auto"/>
              </w:rPr>
            </w:pPr>
            <w:r>
              <w:rPr>
                <w:rFonts w:ascii="Arial" w:cs="Arial" w:eastAsia="Arial" w:hAnsi="Arial"/>
                <w:sz w:val="18"/>
                <w:szCs w:val="18"/>
                <w:color w:val="auto"/>
              </w:rPr>
              <w:t>Cost of revenue</w:t>
            </w:r>
          </w:p>
        </w:tc>
        <w:tc>
          <w:tcPr>
            <w:tcW w:w="24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125,024</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67,940</w:t>
            </w:r>
          </w:p>
        </w:tc>
        <w:tc>
          <w:tcPr>
            <w:tcW w:w="0" w:type="dxa"/>
            <w:vAlign w:val="bottom"/>
          </w:tcPr>
          <w:p>
            <w:pPr>
              <w:spacing w:after="0"/>
              <w:rPr>
                <w:sz w:val="1"/>
                <w:szCs w:val="1"/>
                <w:color w:val="auto"/>
              </w:rPr>
            </w:pPr>
          </w:p>
        </w:tc>
      </w:tr>
      <w:tr>
        <w:trPr>
          <w:trHeight w:val="27"/>
        </w:trPr>
        <w:tc>
          <w:tcPr>
            <w:tcW w:w="8540" w:type="dxa"/>
            <w:vAlign w:val="bottom"/>
            <w:vMerge w:val="restart"/>
          </w:tcPr>
          <w:p>
            <w:pPr>
              <w:ind w:left="460"/>
              <w:spacing w:after="0"/>
              <w:rPr>
                <w:sz w:val="20"/>
                <w:szCs w:val="20"/>
                <w:color w:val="auto"/>
              </w:rPr>
            </w:pPr>
            <w:r>
              <w:rPr>
                <w:rFonts w:ascii="Arial" w:cs="Arial" w:eastAsia="Arial" w:hAnsi="Arial"/>
                <w:sz w:val="18"/>
                <w:szCs w:val="18"/>
                <w:color w:val="auto"/>
              </w:rPr>
              <w:t>Gross profit</w:t>
            </w: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54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150,015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79,814</w:t>
            </w:r>
          </w:p>
        </w:tc>
        <w:tc>
          <w:tcPr>
            <w:tcW w:w="0" w:type="dxa"/>
            <w:vAlign w:val="bottom"/>
          </w:tcPr>
          <w:p>
            <w:pPr>
              <w:spacing w:after="0"/>
              <w:rPr>
                <w:sz w:val="1"/>
                <w:szCs w:val="1"/>
                <w:color w:val="auto"/>
              </w:rPr>
            </w:pPr>
          </w:p>
        </w:tc>
      </w:tr>
      <w:tr>
        <w:trPr>
          <w:trHeight w:val="27"/>
        </w:trPr>
        <w:tc>
          <w:tcPr>
            <w:tcW w:w="8540" w:type="dxa"/>
            <w:vAlign w:val="bottom"/>
            <w:vMerge w:val="restart"/>
          </w:tcPr>
          <w:p>
            <w:pPr>
              <w:spacing w:after="0"/>
              <w:rPr>
                <w:sz w:val="20"/>
                <w:szCs w:val="20"/>
                <w:color w:val="auto"/>
              </w:rPr>
            </w:pPr>
            <w:r>
              <w:rPr>
                <w:rFonts w:ascii="Arial" w:cs="Arial" w:eastAsia="Arial" w:hAnsi="Arial"/>
                <w:sz w:val="18"/>
                <w:szCs w:val="18"/>
                <w:color w:val="auto"/>
              </w:rPr>
              <w:t>Operating expenses:</w:t>
            </w: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54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8540" w:type="dxa"/>
            <w:vAlign w:val="bottom"/>
          </w:tcPr>
          <w:p>
            <w:pPr>
              <w:ind w:left="240"/>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spacing w:after="0"/>
              <w:rPr>
                <w:sz w:val="24"/>
                <w:szCs w:val="24"/>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98,783</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39,811</w:t>
            </w:r>
          </w:p>
        </w:tc>
        <w:tc>
          <w:tcPr>
            <w:tcW w:w="0" w:type="dxa"/>
            <w:vAlign w:val="bottom"/>
          </w:tcPr>
          <w:p>
            <w:pPr>
              <w:spacing w:after="0"/>
              <w:rPr>
                <w:sz w:val="1"/>
                <w:szCs w:val="1"/>
                <w:color w:val="auto"/>
              </w:rPr>
            </w:pPr>
          </w:p>
        </w:tc>
      </w:tr>
      <w:tr>
        <w:trPr>
          <w:trHeight w:val="270"/>
        </w:trPr>
        <w:tc>
          <w:tcPr>
            <w:tcW w:w="8540" w:type="dxa"/>
            <w:vAlign w:val="bottom"/>
          </w:tcPr>
          <w:p>
            <w:pPr>
              <w:ind w:left="240"/>
              <w:spacing w:after="0"/>
              <w:rPr>
                <w:sz w:val="20"/>
                <w:szCs w:val="20"/>
                <w:color w:val="auto"/>
              </w:rPr>
            </w:pPr>
            <w:r>
              <w:rPr>
                <w:rFonts w:ascii="Arial" w:cs="Arial" w:eastAsia="Arial" w:hAnsi="Arial"/>
                <w:sz w:val="18"/>
                <w:szCs w:val="18"/>
                <w:color w:val="auto"/>
              </w:rPr>
              <w:t>Sales and marketing</w:t>
            </w:r>
          </w:p>
        </w:tc>
        <w:tc>
          <w:tcPr>
            <w:tcW w:w="24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90,421</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37,749</w:t>
            </w:r>
          </w:p>
        </w:tc>
        <w:tc>
          <w:tcPr>
            <w:tcW w:w="0" w:type="dxa"/>
            <w:vAlign w:val="bottom"/>
          </w:tcPr>
          <w:p>
            <w:pPr>
              <w:spacing w:after="0"/>
              <w:rPr>
                <w:sz w:val="1"/>
                <w:szCs w:val="1"/>
                <w:color w:val="auto"/>
              </w:rPr>
            </w:pPr>
          </w:p>
        </w:tc>
      </w:tr>
      <w:tr>
        <w:trPr>
          <w:trHeight w:val="270"/>
        </w:trPr>
        <w:tc>
          <w:tcPr>
            <w:tcW w:w="8540" w:type="dxa"/>
            <w:vAlign w:val="bottom"/>
          </w:tcPr>
          <w:p>
            <w:pPr>
              <w:ind w:left="240"/>
              <w:spacing w:after="0"/>
              <w:rPr>
                <w:sz w:val="20"/>
                <w:szCs w:val="20"/>
                <w:color w:val="auto"/>
              </w:rPr>
            </w:pPr>
            <w:r>
              <w:rPr>
                <w:rFonts w:ascii="Arial" w:cs="Arial" w:eastAsia="Arial" w:hAnsi="Arial"/>
                <w:sz w:val="18"/>
                <w:szCs w:val="18"/>
                <w:color w:val="auto"/>
              </w:rPr>
              <w:t>General and administrative</w:t>
            </w:r>
          </w:p>
        </w:tc>
        <w:tc>
          <w:tcPr>
            <w:tcW w:w="24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54,543</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24,212</w:t>
            </w:r>
          </w:p>
        </w:tc>
        <w:tc>
          <w:tcPr>
            <w:tcW w:w="0" w:type="dxa"/>
            <w:vAlign w:val="bottom"/>
          </w:tcPr>
          <w:p>
            <w:pPr>
              <w:spacing w:after="0"/>
              <w:rPr>
                <w:sz w:val="1"/>
                <w:szCs w:val="1"/>
                <w:color w:val="auto"/>
              </w:rPr>
            </w:pPr>
          </w:p>
        </w:tc>
      </w:tr>
      <w:tr>
        <w:trPr>
          <w:trHeight w:val="27"/>
        </w:trPr>
        <w:tc>
          <w:tcPr>
            <w:tcW w:w="8540" w:type="dxa"/>
            <w:vAlign w:val="bottom"/>
            <w:vMerge w:val="restart"/>
          </w:tcPr>
          <w:p>
            <w:pPr>
              <w:ind w:left="46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54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243,747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101,772</w:t>
            </w:r>
          </w:p>
        </w:tc>
        <w:tc>
          <w:tcPr>
            <w:tcW w:w="0" w:type="dxa"/>
            <w:vAlign w:val="bottom"/>
          </w:tcPr>
          <w:p>
            <w:pPr>
              <w:spacing w:after="0"/>
              <w:rPr>
                <w:sz w:val="1"/>
                <w:szCs w:val="1"/>
                <w:color w:val="auto"/>
              </w:rPr>
            </w:pPr>
          </w:p>
        </w:tc>
      </w:tr>
      <w:tr>
        <w:trPr>
          <w:trHeight w:val="27"/>
        </w:trPr>
        <w:tc>
          <w:tcPr>
            <w:tcW w:w="8540" w:type="dxa"/>
            <w:vAlign w:val="bottom"/>
            <w:vMerge w:val="restart"/>
          </w:tcPr>
          <w:p>
            <w:pPr>
              <w:spacing w:after="0"/>
              <w:rPr>
                <w:sz w:val="20"/>
                <w:szCs w:val="20"/>
                <w:color w:val="auto"/>
              </w:rPr>
            </w:pPr>
            <w:r>
              <w:rPr>
                <w:rFonts w:ascii="Arial" w:cs="Arial" w:eastAsia="Arial" w:hAnsi="Arial"/>
                <w:sz w:val="18"/>
                <w:szCs w:val="18"/>
                <w:color w:val="auto"/>
              </w:rPr>
              <w:t>Loss from operations</w:t>
            </w: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54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(93,732)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(21,958)</w:t>
            </w:r>
          </w:p>
        </w:tc>
        <w:tc>
          <w:tcPr>
            <w:tcW w:w="0" w:type="dxa"/>
            <w:vAlign w:val="bottom"/>
          </w:tcPr>
          <w:p>
            <w:pPr>
              <w:spacing w:after="0"/>
              <w:rPr>
                <w:sz w:val="1"/>
                <w:szCs w:val="1"/>
                <w:color w:val="auto"/>
              </w:rPr>
            </w:pPr>
          </w:p>
        </w:tc>
      </w:tr>
      <w:tr>
        <w:trPr>
          <w:trHeight w:val="270"/>
        </w:trPr>
        <w:tc>
          <w:tcPr>
            <w:tcW w:w="8540" w:type="dxa"/>
            <w:vAlign w:val="bottom"/>
          </w:tcPr>
          <w:p>
            <w:pPr>
              <w:spacing w:after="0"/>
              <w:rPr>
                <w:sz w:val="20"/>
                <w:szCs w:val="20"/>
                <w:color w:val="auto"/>
              </w:rPr>
            </w:pPr>
            <w:r>
              <w:rPr>
                <w:rFonts w:ascii="Arial" w:cs="Arial" w:eastAsia="Arial" w:hAnsi="Arial"/>
                <w:sz w:val="18"/>
                <w:szCs w:val="18"/>
                <w:color w:val="auto"/>
              </w:rPr>
              <w:t>Other expenses, net</w:t>
            </w:r>
          </w:p>
        </w:tc>
        <w:tc>
          <w:tcPr>
            <w:tcW w:w="2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(880)</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(1,898)</w:t>
            </w:r>
          </w:p>
        </w:tc>
        <w:tc>
          <w:tcPr>
            <w:tcW w:w="0" w:type="dxa"/>
            <w:vAlign w:val="bottom"/>
          </w:tcPr>
          <w:p>
            <w:pPr>
              <w:spacing w:after="0"/>
              <w:rPr>
                <w:sz w:val="1"/>
                <w:szCs w:val="1"/>
                <w:color w:val="auto"/>
              </w:rPr>
            </w:pPr>
          </w:p>
        </w:tc>
      </w:tr>
      <w:tr>
        <w:trPr>
          <w:trHeight w:val="27"/>
        </w:trPr>
        <w:tc>
          <w:tcPr>
            <w:tcW w:w="8540" w:type="dxa"/>
            <w:vAlign w:val="bottom"/>
            <w:vMerge w:val="restart"/>
          </w:tcPr>
          <w:p>
            <w:pPr>
              <w:ind w:left="460"/>
              <w:spacing w:after="0"/>
              <w:rPr>
                <w:sz w:val="20"/>
                <w:szCs w:val="20"/>
                <w:color w:val="auto"/>
              </w:rPr>
            </w:pPr>
            <w:r>
              <w:rPr>
                <w:rFonts w:ascii="Arial" w:cs="Arial" w:eastAsia="Arial" w:hAnsi="Arial"/>
                <w:sz w:val="18"/>
                <w:szCs w:val="18"/>
                <w:color w:val="auto"/>
              </w:rPr>
              <w:t>Loss before provision for income taxes</w:t>
            </w: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54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(94,612)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(23,856)</w:t>
            </w:r>
          </w:p>
        </w:tc>
        <w:tc>
          <w:tcPr>
            <w:tcW w:w="0" w:type="dxa"/>
            <w:vAlign w:val="bottom"/>
          </w:tcPr>
          <w:p>
            <w:pPr>
              <w:spacing w:after="0"/>
              <w:rPr>
                <w:sz w:val="1"/>
                <w:szCs w:val="1"/>
                <w:color w:val="auto"/>
              </w:rPr>
            </w:pPr>
          </w:p>
        </w:tc>
      </w:tr>
      <w:tr>
        <w:trPr>
          <w:trHeight w:val="270"/>
        </w:trPr>
        <w:tc>
          <w:tcPr>
            <w:tcW w:w="8540" w:type="dxa"/>
            <w:vAlign w:val="bottom"/>
          </w:tcPr>
          <w:p>
            <w:pPr>
              <w:spacing w:after="0"/>
              <w:rPr>
                <w:sz w:val="20"/>
                <w:szCs w:val="20"/>
                <w:color w:val="auto"/>
              </w:rPr>
            </w:pPr>
            <w:r>
              <w:rPr>
                <w:rFonts w:ascii="Arial" w:cs="Arial" w:eastAsia="Arial" w:hAnsi="Arial"/>
                <w:sz w:val="18"/>
                <w:szCs w:val="18"/>
                <w:color w:val="auto"/>
              </w:rPr>
              <w:t>Income tax benefit (provision)</w:t>
            </w:r>
          </w:p>
        </w:tc>
        <w:tc>
          <w:tcPr>
            <w:tcW w:w="24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2,033</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7"/>
        </w:trPr>
        <w:tc>
          <w:tcPr>
            <w:tcW w:w="8540" w:type="dxa"/>
            <w:vAlign w:val="bottom"/>
            <w:vMerge w:val="restart"/>
          </w:tcPr>
          <w:p>
            <w:pPr>
              <w:ind w:left="460"/>
              <w:spacing w:after="0"/>
              <w:rPr>
                <w:sz w:val="20"/>
                <w:szCs w:val="20"/>
                <w:color w:val="auto"/>
              </w:rPr>
            </w:pPr>
            <w:r>
              <w:rPr>
                <w:rFonts w:ascii="Arial" w:cs="Arial" w:eastAsia="Arial" w:hAnsi="Arial"/>
                <w:sz w:val="18"/>
                <w:szCs w:val="18"/>
                <w:color w:val="auto"/>
              </w:rPr>
              <w:t>Net loss attributable to common stockholders</w:t>
            </w: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540" w:type="dxa"/>
            <w:vAlign w:val="bottom"/>
            <w:vMerge w:val="continue"/>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(92,579)</w:t>
            </w:r>
          </w:p>
        </w:tc>
        <w:tc>
          <w:tcPr>
            <w:tcW w:w="12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(24,006)</w:t>
            </w:r>
          </w:p>
        </w:tc>
        <w:tc>
          <w:tcPr>
            <w:tcW w:w="0" w:type="dxa"/>
            <w:vAlign w:val="bottom"/>
          </w:tcPr>
          <w:p>
            <w:pPr>
              <w:spacing w:after="0"/>
              <w:rPr>
                <w:sz w:val="1"/>
                <w:szCs w:val="1"/>
                <w:color w:val="auto"/>
              </w:rPr>
            </w:pPr>
          </w:p>
        </w:tc>
      </w:tr>
      <w:tr>
        <w:trPr>
          <w:trHeight w:val="27"/>
        </w:trPr>
        <w:tc>
          <w:tcPr>
            <w:tcW w:w="85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8540" w:type="dxa"/>
            <w:vAlign w:val="bottom"/>
          </w:tcPr>
          <w:p>
            <w:pPr>
              <w:spacing w:after="0"/>
              <w:rPr>
                <w:sz w:val="20"/>
                <w:szCs w:val="20"/>
                <w:color w:val="auto"/>
              </w:rPr>
            </w:pPr>
            <w:r>
              <w:rPr>
                <w:rFonts w:ascii="Arial" w:cs="Arial" w:eastAsia="Arial" w:hAnsi="Arial"/>
                <w:sz w:val="18"/>
                <w:szCs w:val="18"/>
                <w:color w:val="auto"/>
              </w:rPr>
              <w:t>Net loss per share attributable to common stockholders, basic and diluted</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(0.72)</w:t>
            </w:r>
          </w:p>
        </w:tc>
        <w:tc>
          <w:tcPr>
            <w:tcW w:w="120" w:type="dxa"/>
            <w:vAlign w:val="bottom"/>
          </w:tcPr>
          <w:p>
            <w:pPr>
              <w:spacing w:after="0"/>
              <w:rPr>
                <w:sz w:val="24"/>
                <w:szCs w:val="24"/>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7"/>
        </w:trPr>
        <w:tc>
          <w:tcPr>
            <w:tcW w:w="8540" w:type="dxa"/>
            <w:vAlign w:val="bottom"/>
            <w:vMerge w:val="restart"/>
          </w:tcPr>
          <w:p>
            <w:pPr>
              <w:spacing w:after="0"/>
              <w:rPr>
                <w:sz w:val="20"/>
                <w:szCs w:val="20"/>
                <w:color w:val="auto"/>
              </w:rPr>
            </w:pPr>
            <w:r>
              <w:rPr>
                <w:rFonts w:ascii="Arial" w:cs="Arial" w:eastAsia="Arial" w:hAnsi="Arial"/>
                <w:sz w:val="18"/>
                <w:szCs w:val="18"/>
                <w:color w:val="auto"/>
              </w:rPr>
              <w:t>Weighted-average shares used in computing net loss per share attributable to common stockholders, basic</w:t>
            </w: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540" w:type="dxa"/>
            <w:vAlign w:val="bottom"/>
            <w:vMerge w:val="continue"/>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85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vMerge w:val="restart"/>
          </w:tcPr>
          <w:p>
            <w:pPr>
              <w:jc w:val="right"/>
              <w:ind w:right="11"/>
              <w:spacing w:after="0"/>
              <w:rPr>
                <w:sz w:val="20"/>
                <w:szCs w:val="20"/>
                <w:color w:val="auto"/>
              </w:rPr>
            </w:pPr>
            <w:r>
              <w:rPr>
                <w:rFonts w:ascii="Arial" w:cs="Arial" w:eastAsia="Arial" w:hAnsi="Arial"/>
                <w:sz w:val="18"/>
                <w:szCs w:val="18"/>
                <w:color w:val="auto"/>
                <w:w w:val="99"/>
              </w:rPr>
              <w:t>129,310,641</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vMerge w:val="restart"/>
          </w:tcPr>
          <w:p>
            <w:pPr>
              <w:jc w:val="right"/>
              <w:ind w:right="11"/>
              <w:spacing w:after="0"/>
              <w:rPr>
                <w:sz w:val="20"/>
                <w:szCs w:val="20"/>
                <w:color w:val="auto"/>
              </w:rPr>
            </w:pPr>
            <w:r>
              <w:rPr>
                <w:rFonts w:ascii="Arial" w:cs="Arial" w:eastAsia="Arial" w:hAnsi="Arial"/>
                <w:sz w:val="18"/>
                <w:szCs w:val="18"/>
                <w:color w:val="auto"/>
              </w:rPr>
              <w:t>96,348,356</w:t>
            </w:r>
          </w:p>
        </w:tc>
        <w:tc>
          <w:tcPr>
            <w:tcW w:w="0" w:type="dxa"/>
            <w:vAlign w:val="bottom"/>
          </w:tcPr>
          <w:p>
            <w:pPr>
              <w:spacing w:after="0"/>
              <w:rPr>
                <w:sz w:val="1"/>
                <w:szCs w:val="1"/>
                <w:color w:val="auto"/>
              </w:rPr>
            </w:pPr>
          </w:p>
        </w:tc>
      </w:tr>
      <w:tr>
        <w:trPr>
          <w:trHeight w:val="237"/>
        </w:trPr>
        <w:tc>
          <w:tcPr>
            <w:tcW w:w="8540" w:type="dxa"/>
            <w:vAlign w:val="bottom"/>
          </w:tcPr>
          <w:p>
            <w:pPr>
              <w:spacing w:after="0"/>
              <w:rPr>
                <w:sz w:val="20"/>
                <w:szCs w:val="20"/>
                <w:color w:val="auto"/>
              </w:rPr>
            </w:pPr>
            <w:r>
              <w:rPr>
                <w:rFonts w:ascii="Arial" w:cs="Arial" w:eastAsia="Arial" w:hAnsi="Arial"/>
                <w:sz w:val="18"/>
                <w:szCs w:val="18"/>
                <w:color w:val="auto"/>
              </w:rPr>
              <w:t>and diluted</w:t>
            </w: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440"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TWILIO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5368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3682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157"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476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9"/>
              </w:rPr>
              <w:t>As of</w:t>
            </w:r>
          </w:p>
        </w:tc>
        <w:tc>
          <w:tcPr>
            <w:tcW w:w="180" w:type="dxa"/>
            <w:vAlign w:val="bottom"/>
          </w:tcPr>
          <w:p>
            <w:pPr>
              <w:spacing w:after="0"/>
              <w:rPr>
                <w:sz w:val="17"/>
                <w:szCs w:val="17"/>
                <w:color w:val="auto"/>
              </w:rPr>
            </w:pPr>
          </w:p>
        </w:tc>
        <w:tc>
          <w:tcPr>
            <w:tcW w:w="900" w:type="dxa"/>
            <w:vAlign w:val="bottom"/>
          </w:tcPr>
          <w:p>
            <w:pPr>
              <w:jc w:val="center"/>
              <w:ind w:right="91"/>
              <w:spacing w:after="0"/>
              <w:rPr>
                <w:sz w:val="20"/>
                <w:szCs w:val="20"/>
                <w:color w:val="auto"/>
              </w:rPr>
            </w:pPr>
            <w:r>
              <w:rPr>
                <w:rFonts w:ascii="Arial" w:cs="Arial" w:eastAsia="Arial" w:hAnsi="Arial"/>
                <w:sz w:val="16"/>
                <w:szCs w:val="16"/>
                <w:b w:val="1"/>
                <w:bCs w:val="1"/>
                <w:color w:val="auto"/>
                <w:w w:val="89"/>
              </w:rPr>
              <w:t>As of</w:t>
            </w:r>
          </w:p>
        </w:tc>
        <w:tc>
          <w:tcPr>
            <w:tcW w:w="0" w:type="dxa"/>
            <w:vAlign w:val="bottom"/>
          </w:tcPr>
          <w:p>
            <w:pPr>
              <w:spacing w:after="0"/>
              <w:rPr>
                <w:sz w:val="1"/>
                <w:szCs w:val="1"/>
                <w:color w:val="auto"/>
              </w:rPr>
            </w:pPr>
          </w:p>
        </w:tc>
      </w:tr>
      <w:tr>
        <w:trPr>
          <w:trHeight w:val="203"/>
        </w:trPr>
        <w:tc>
          <w:tcPr>
            <w:tcW w:w="476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0"/>
              </w:rPr>
              <w:t>June 30,</w:t>
            </w:r>
          </w:p>
        </w:tc>
        <w:tc>
          <w:tcPr>
            <w:tcW w:w="1080" w:type="dxa"/>
            <w:vAlign w:val="bottom"/>
            <w:gridSpan w:val="2"/>
          </w:tcPr>
          <w:p>
            <w:pPr>
              <w:jc w:val="center"/>
              <w:spacing w:after="0"/>
              <w:rPr>
                <w:sz w:val="20"/>
                <w:szCs w:val="20"/>
                <w:color w:val="auto"/>
              </w:rPr>
            </w:pPr>
            <w:r>
              <w:rPr>
                <w:rFonts w:ascii="Arial" w:cs="Arial" w:eastAsia="Arial" w:hAnsi="Arial"/>
                <w:sz w:val="16"/>
                <w:szCs w:val="16"/>
                <w:b w:val="1"/>
                <w:bCs w:val="1"/>
                <w:color w:val="auto"/>
                <w:w w:val="92"/>
              </w:rPr>
              <w:t>December 31,</w:t>
            </w:r>
          </w:p>
        </w:tc>
        <w:tc>
          <w:tcPr>
            <w:tcW w:w="0" w:type="dxa"/>
            <w:vAlign w:val="bottom"/>
          </w:tcPr>
          <w:p>
            <w:pPr>
              <w:spacing w:after="0"/>
              <w:rPr>
                <w:sz w:val="1"/>
                <w:szCs w:val="1"/>
                <w:color w:val="auto"/>
              </w:rPr>
            </w:pPr>
          </w:p>
        </w:tc>
      </w:tr>
      <w:tr>
        <w:trPr>
          <w:trHeight w:val="210"/>
        </w:trPr>
        <w:tc>
          <w:tcPr>
            <w:tcW w:w="47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center"/>
              <w:ind w:right="111"/>
              <w:spacing w:after="0"/>
              <w:rPr>
                <w:sz w:val="20"/>
                <w:szCs w:val="20"/>
                <w:color w:val="auto"/>
              </w:rPr>
            </w:pPr>
            <w:r>
              <w:rPr>
                <w:rFonts w:ascii="Arial" w:cs="Arial" w:eastAsia="Arial" w:hAnsi="Arial"/>
                <w:sz w:val="16"/>
                <w:szCs w:val="16"/>
                <w:b w:val="1"/>
                <w:bCs w:val="1"/>
                <w:color w:val="auto"/>
                <w:w w:val="89"/>
              </w:rPr>
              <w:t>2019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center"/>
              <w:ind w:right="91"/>
              <w:spacing w:after="0"/>
              <w:rPr>
                <w:sz w:val="20"/>
                <w:szCs w:val="20"/>
                <w:color w:val="auto"/>
              </w:rPr>
            </w:pPr>
            <w:r>
              <w:rPr>
                <w:rFonts w:ascii="Arial" w:cs="Arial" w:eastAsia="Arial" w:hAnsi="Arial"/>
                <w:sz w:val="16"/>
                <w:szCs w:val="16"/>
                <w:b w:val="1"/>
                <w:bCs w:val="1"/>
                <w:color w:val="auto"/>
                <w:w w:val="89"/>
              </w:rPr>
              <w:t>2018</w:t>
            </w:r>
          </w:p>
        </w:tc>
        <w:tc>
          <w:tcPr>
            <w:tcW w:w="0" w:type="dxa"/>
            <w:vAlign w:val="bottom"/>
          </w:tcPr>
          <w:p>
            <w:pPr>
              <w:spacing w:after="0"/>
              <w:rPr>
                <w:sz w:val="1"/>
                <w:szCs w:val="1"/>
                <w:color w:val="auto"/>
              </w:rPr>
            </w:pPr>
          </w:p>
        </w:tc>
      </w:tr>
      <w:tr>
        <w:trPr>
          <w:trHeight w:val="33"/>
        </w:trPr>
        <w:tc>
          <w:tcPr>
            <w:tcW w:w="476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20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760" w:type="dxa"/>
            <w:vAlign w:val="bottom"/>
            <w:vMerge w:val="continue"/>
          </w:tcPr>
          <w:p>
            <w:pPr>
              <w:spacing w:after="0"/>
              <w:rPr>
                <w:sz w:val="19"/>
                <w:szCs w:val="19"/>
                <w:color w:val="auto"/>
              </w:rPr>
            </w:pPr>
          </w:p>
        </w:tc>
        <w:tc>
          <w:tcPr>
            <w:tcW w:w="2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4760" w:type="dxa"/>
            <w:vAlign w:val="bottom"/>
          </w:tcPr>
          <w:p>
            <w:pPr>
              <w:spacing w:after="0"/>
              <w:rPr>
                <w:sz w:val="20"/>
                <w:szCs w:val="20"/>
                <w:color w:val="auto"/>
              </w:rPr>
            </w:pPr>
            <w:r>
              <w:rPr>
                <w:rFonts w:ascii="Arial" w:cs="Arial" w:eastAsia="Arial" w:hAnsi="Arial"/>
                <w:sz w:val="18"/>
                <w:szCs w:val="18"/>
                <w:color w:val="auto"/>
              </w:rPr>
              <w:t>Current assets:</w:t>
            </w:r>
          </w:p>
        </w:tc>
        <w:tc>
          <w:tcPr>
            <w:tcW w:w="2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760" w:type="dxa"/>
            <w:vAlign w:val="bottom"/>
          </w:tcPr>
          <w:p>
            <w:pPr>
              <w:ind w:left="340"/>
              <w:spacing w:after="0"/>
              <w:rPr>
                <w:sz w:val="20"/>
                <w:szCs w:val="20"/>
                <w:color w:val="auto"/>
              </w:rPr>
            </w:pPr>
            <w:r>
              <w:rPr>
                <w:rFonts w:ascii="Arial" w:cs="Arial" w:eastAsia="Arial" w:hAnsi="Arial"/>
                <w:sz w:val="18"/>
                <w:szCs w:val="18"/>
                <w:color w:val="auto"/>
              </w:rPr>
              <w:t>Cash and cash equivalents</w:t>
            </w:r>
          </w:p>
        </w:tc>
        <w:tc>
          <w:tcPr>
            <w:tcW w:w="2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535,911</w:t>
            </w:r>
          </w:p>
        </w:tc>
        <w:tc>
          <w:tcPr>
            <w:tcW w:w="12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487,215</w:t>
            </w:r>
          </w:p>
        </w:tc>
        <w:tc>
          <w:tcPr>
            <w:tcW w:w="0" w:type="dxa"/>
            <w:vAlign w:val="bottom"/>
          </w:tcPr>
          <w:p>
            <w:pPr>
              <w:spacing w:after="0"/>
              <w:rPr>
                <w:sz w:val="1"/>
                <w:szCs w:val="1"/>
                <w:color w:val="auto"/>
              </w:rPr>
            </w:pPr>
          </w:p>
        </w:tc>
      </w:tr>
      <w:tr>
        <w:trPr>
          <w:trHeight w:val="270"/>
        </w:trPr>
        <w:tc>
          <w:tcPr>
            <w:tcW w:w="4760" w:type="dxa"/>
            <w:vAlign w:val="bottom"/>
          </w:tcPr>
          <w:p>
            <w:pPr>
              <w:ind w:left="340"/>
              <w:spacing w:after="0"/>
              <w:rPr>
                <w:sz w:val="20"/>
                <w:szCs w:val="20"/>
                <w:color w:val="auto"/>
              </w:rPr>
            </w:pPr>
            <w:r>
              <w:rPr>
                <w:rFonts w:ascii="Arial" w:cs="Arial" w:eastAsia="Arial" w:hAnsi="Arial"/>
                <w:sz w:val="18"/>
                <w:szCs w:val="18"/>
                <w:color w:val="auto"/>
              </w:rPr>
              <w:t>Short-term marketable securities</w:t>
            </w:r>
          </w:p>
        </w:tc>
        <w:tc>
          <w:tcPr>
            <w:tcW w:w="20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1,346,371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261,128</w:t>
            </w:r>
          </w:p>
        </w:tc>
        <w:tc>
          <w:tcPr>
            <w:tcW w:w="0" w:type="dxa"/>
            <w:vAlign w:val="bottom"/>
          </w:tcPr>
          <w:p>
            <w:pPr>
              <w:spacing w:after="0"/>
              <w:rPr>
                <w:sz w:val="1"/>
                <w:szCs w:val="1"/>
                <w:color w:val="auto"/>
              </w:rPr>
            </w:pPr>
          </w:p>
        </w:tc>
      </w:tr>
      <w:tr>
        <w:trPr>
          <w:trHeight w:val="270"/>
        </w:trPr>
        <w:tc>
          <w:tcPr>
            <w:tcW w:w="4760" w:type="dxa"/>
            <w:vAlign w:val="bottom"/>
          </w:tcPr>
          <w:p>
            <w:pPr>
              <w:ind w:left="340"/>
              <w:spacing w:after="0"/>
              <w:rPr>
                <w:sz w:val="20"/>
                <w:szCs w:val="20"/>
                <w:color w:val="auto"/>
              </w:rPr>
            </w:pPr>
            <w:r>
              <w:rPr>
                <w:rFonts w:ascii="Arial" w:cs="Arial" w:eastAsia="Arial" w:hAnsi="Arial"/>
                <w:sz w:val="18"/>
                <w:szCs w:val="18"/>
                <w:color w:val="auto"/>
              </w:rPr>
              <w:t>Accounts receivable, net</w:t>
            </w:r>
          </w:p>
        </w:tc>
        <w:tc>
          <w:tcPr>
            <w:tcW w:w="20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126,780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97,712</w:t>
            </w:r>
          </w:p>
        </w:tc>
        <w:tc>
          <w:tcPr>
            <w:tcW w:w="0" w:type="dxa"/>
            <w:vAlign w:val="bottom"/>
          </w:tcPr>
          <w:p>
            <w:pPr>
              <w:spacing w:after="0"/>
              <w:rPr>
                <w:sz w:val="1"/>
                <w:szCs w:val="1"/>
                <w:color w:val="auto"/>
              </w:rPr>
            </w:pPr>
          </w:p>
        </w:tc>
      </w:tr>
      <w:tr>
        <w:trPr>
          <w:trHeight w:val="270"/>
        </w:trPr>
        <w:tc>
          <w:tcPr>
            <w:tcW w:w="4760" w:type="dxa"/>
            <w:vAlign w:val="bottom"/>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20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50,451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26,893</w:t>
            </w:r>
          </w:p>
        </w:tc>
        <w:tc>
          <w:tcPr>
            <w:tcW w:w="0" w:type="dxa"/>
            <w:vAlign w:val="bottom"/>
          </w:tcPr>
          <w:p>
            <w:pPr>
              <w:spacing w:after="0"/>
              <w:rPr>
                <w:sz w:val="1"/>
                <w:szCs w:val="1"/>
                <w:color w:val="auto"/>
              </w:rPr>
            </w:pPr>
          </w:p>
        </w:tc>
      </w:tr>
      <w:tr>
        <w:trPr>
          <w:trHeight w:val="27"/>
        </w:trPr>
        <w:tc>
          <w:tcPr>
            <w:tcW w:w="4760" w:type="dxa"/>
            <w:vAlign w:val="bottom"/>
            <w:vMerge w:val="restart"/>
          </w:tcPr>
          <w:p>
            <w:pPr>
              <w:ind w:left="680"/>
              <w:spacing w:after="0"/>
              <w:rPr>
                <w:sz w:val="20"/>
                <w:szCs w:val="20"/>
                <w:color w:val="auto"/>
              </w:rPr>
            </w:pPr>
            <w:r>
              <w:rPr>
                <w:rFonts w:ascii="Arial" w:cs="Arial" w:eastAsia="Arial" w:hAnsi="Arial"/>
                <w:sz w:val="18"/>
                <w:szCs w:val="18"/>
                <w:color w:val="auto"/>
              </w:rPr>
              <w:t>Total current assets</w:t>
            </w:r>
          </w:p>
        </w:tc>
        <w:tc>
          <w:tcPr>
            <w:tcW w:w="20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60" w:type="dxa"/>
            <w:vAlign w:val="bottom"/>
            <w:vMerge w:val="continue"/>
          </w:tcPr>
          <w:p>
            <w:pPr>
              <w:spacing w:after="0"/>
              <w:rPr>
                <w:sz w:val="20"/>
                <w:szCs w:val="20"/>
                <w:color w:val="auto"/>
              </w:rPr>
            </w:pPr>
          </w:p>
        </w:tc>
        <w:tc>
          <w:tcPr>
            <w:tcW w:w="2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2,059,513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872,948</w:t>
            </w:r>
          </w:p>
        </w:tc>
        <w:tc>
          <w:tcPr>
            <w:tcW w:w="0" w:type="dxa"/>
            <w:vAlign w:val="bottom"/>
          </w:tcPr>
          <w:p>
            <w:pPr>
              <w:spacing w:after="0"/>
              <w:rPr>
                <w:sz w:val="1"/>
                <w:szCs w:val="1"/>
                <w:color w:val="auto"/>
              </w:rPr>
            </w:pPr>
          </w:p>
        </w:tc>
      </w:tr>
      <w:tr>
        <w:trPr>
          <w:trHeight w:val="27"/>
        </w:trPr>
        <w:tc>
          <w:tcPr>
            <w:tcW w:w="4760" w:type="dxa"/>
            <w:vAlign w:val="bottom"/>
            <w:vMerge w:val="restart"/>
          </w:tcPr>
          <w:p>
            <w:pPr>
              <w:spacing w:after="0"/>
              <w:rPr>
                <w:sz w:val="20"/>
                <w:szCs w:val="20"/>
                <w:color w:val="auto"/>
              </w:rPr>
            </w:pPr>
            <w:r>
              <w:rPr>
                <w:rFonts w:ascii="Arial" w:cs="Arial" w:eastAsia="Arial" w:hAnsi="Arial"/>
                <w:sz w:val="18"/>
                <w:szCs w:val="18"/>
                <w:color w:val="auto"/>
              </w:rPr>
              <w:t>Restricted cash</w:t>
            </w:r>
          </w:p>
        </w:tc>
        <w:tc>
          <w:tcPr>
            <w:tcW w:w="20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60" w:type="dxa"/>
            <w:vAlign w:val="bottom"/>
            <w:vMerge w:val="continue"/>
          </w:tcPr>
          <w:p>
            <w:pPr>
              <w:spacing w:after="0"/>
              <w:rPr>
                <w:sz w:val="20"/>
                <w:szCs w:val="20"/>
                <w:color w:val="auto"/>
              </w:rPr>
            </w:pPr>
          </w:p>
        </w:tc>
        <w:tc>
          <w:tcPr>
            <w:tcW w:w="2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862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18,119</w:t>
            </w:r>
          </w:p>
        </w:tc>
        <w:tc>
          <w:tcPr>
            <w:tcW w:w="0" w:type="dxa"/>
            <w:vAlign w:val="bottom"/>
          </w:tcPr>
          <w:p>
            <w:pPr>
              <w:spacing w:after="0"/>
              <w:rPr>
                <w:sz w:val="1"/>
                <w:szCs w:val="1"/>
                <w:color w:val="auto"/>
              </w:rPr>
            </w:pPr>
          </w:p>
        </w:tc>
      </w:tr>
      <w:tr>
        <w:trPr>
          <w:trHeight w:val="270"/>
        </w:trPr>
        <w:tc>
          <w:tcPr>
            <w:tcW w:w="476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0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106,480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63,534</w:t>
            </w:r>
          </w:p>
        </w:tc>
        <w:tc>
          <w:tcPr>
            <w:tcW w:w="0" w:type="dxa"/>
            <w:vAlign w:val="bottom"/>
          </w:tcPr>
          <w:p>
            <w:pPr>
              <w:spacing w:after="0"/>
              <w:rPr>
                <w:sz w:val="1"/>
                <w:szCs w:val="1"/>
                <w:color w:val="auto"/>
              </w:rPr>
            </w:pPr>
          </w:p>
        </w:tc>
      </w:tr>
      <w:tr>
        <w:trPr>
          <w:trHeight w:val="270"/>
        </w:trPr>
        <w:tc>
          <w:tcPr>
            <w:tcW w:w="4760" w:type="dxa"/>
            <w:vAlign w:val="bottom"/>
          </w:tcPr>
          <w:p>
            <w:pPr>
              <w:spacing w:after="0"/>
              <w:rPr>
                <w:sz w:val="20"/>
                <w:szCs w:val="20"/>
                <w:color w:val="auto"/>
              </w:rPr>
            </w:pPr>
            <w:r>
              <w:rPr>
                <w:rFonts w:ascii="Arial" w:cs="Arial" w:eastAsia="Arial" w:hAnsi="Arial"/>
                <w:sz w:val="18"/>
                <w:szCs w:val="18"/>
                <w:color w:val="auto"/>
              </w:rPr>
              <w:t>Operating right of use asset</w:t>
            </w:r>
          </w:p>
        </w:tc>
        <w:tc>
          <w:tcPr>
            <w:tcW w:w="20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151,946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760" w:type="dxa"/>
            <w:vAlign w:val="bottom"/>
          </w:tcPr>
          <w:p>
            <w:pPr>
              <w:spacing w:after="0"/>
              <w:rPr>
                <w:sz w:val="20"/>
                <w:szCs w:val="20"/>
                <w:color w:val="auto"/>
              </w:rPr>
            </w:pPr>
            <w:r>
              <w:rPr>
                <w:rFonts w:ascii="Arial" w:cs="Arial" w:eastAsia="Arial" w:hAnsi="Arial"/>
                <w:sz w:val="18"/>
                <w:szCs w:val="18"/>
                <w:color w:val="auto"/>
              </w:rPr>
              <w:t>Intangible assets, net</w:t>
            </w:r>
          </w:p>
        </w:tc>
        <w:tc>
          <w:tcPr>
            <w:tcW w:w="20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485,410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27,558</w:t>
            </w:r>
          </w:p>
        </w:tc>
        <w:tc>
          <w:tcPr>
            <w:tcW w:w="0" w:type="dxa"/>
            <w:vAlign w:val="bottom"/>
          </w:tcPr>
          <w:p>
            <w:pPr>
              <w:spacing w:after="0"/>
              <w:rPr>
                <w:sz w:val="1"/>
                <w:szCs w:val="1"/>
                <w:color w:val="auto"/>
              </w:rPr>
            </w:pPr>
          </w:p>
        </w:tc>
      </w:tr>
      <w:tr>
        <w:trPr>
          <w:trHeight w:val="270"/>
        </w:trPr>
        <w:tc>
          <w:tcPr>
            <w:tcW w:w="4760" w:type="dxa"/>
            <w:vAlign w:val="bottom"/>
          </w:tcPr>
          <w:p>
            <w:pPr>
              <w:spacing w:after="0"/>
              <w:rPr>
                <w:sz w:val="20"/>
                <w:szCs w:val="20"/>
                <w:color w:val="auto"/>
              </w:rPr>
            </w:pPr>
            <w:r>
              <w:rPr>
                <w:rFonts w:ascii="Arial" w:cs="Arial" w:eastAsia="Arial" w:hAnsi="Arial"/>
                <w:sz w:val="18"/>
                <w:szCs w:val="18"/>
                <w:color w:val="auto"/>
              </w:rPr>
              <w:t>Goodwill</w:t>
            </w:r>
          </w:p>
        </w:tc>
        <w:tc>
          <w:tcPr>
            <w:tcW w:w="20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2,283,578</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38,165</w:t>
            </w:r>
          </w:p>
        </w:tc>
        <w:tc>
          <w:tcPr>
            <w:tcW w:w="0" w:type="dxa"/>
            <w:vAlign w:val="bottom"/>
          </w:tcPr>
          <w:p>
            <w:pPr>
              <w:spacing w:after="0"/>
              <w:rPr>
                <w:sz w:val="1"/>
                <w:szCs w:val="1"/>
                <w:color w:val="auto"/>
              </w:rPr>
            </w:pPr>
          </w:p>
        </w:tc>
      </w:tr>
      <w:tr>
        <w:trPr>
          <w:trHeight w:val="270"/>
        </w:trPr>
        <w:tc>
          <w:tcPr>
            <w:tcW w:w="4760" w:type="dxa"/>
            <w:vAlign w:val="bottom"/>
          </w:tcPr>
          <w:p>
            <w:pPr>
              <w:spacing w:after="0"/>
              <w:rPr>
                <w:sz w:val="20"/>
                <w:szCs w:val="20"/>
                <w:color w:val="auto"/>
              </w:rPr>
            </w:pPr>
            <w:r>
              <w:rPr>
                <w:rFonts w:ascii="Arial" w:cs="Arial" w:eastAsia="Arial" w:hAnsi="Arial"/>
                <w:sz w:val="18"/>
                <w:szCs w:val="18"/>
                <w:color w:val="auto"/>
              </w:rPr>
              <w:t>Other long-term assets</w:t>
            </w:r>
          </w:p>
        </w:tc>
        <w:tc>
          <w:tcPr>
            <w:tcW w:w="20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21,316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8,386</w:t>
            </w:r>
          </w:p>
        </w:tc>
        <w:tc>
          <w:tcPr>
            <w:tcW w:w="0" w:type="dxa"/>
            <w:vAlign w:val="bottom"/>
          </w:tcPr>
          <w:p>
            <w:pPr>
              <w:spacing w:after="0"/>
              <w:rPr>
                <w:sz w:val="1"/>
                <w:szCs w:val="1"/>
                <w:color w:val="auto"/>
              </w:rPr>
            </w:pPr>
          </w:p>
        </w:tc>
      </w:tr>
      <w:tr>
        <w:trPr>
          <w:trHeight w:val="27"/>
        </w:trPr>
        <w:tc>
          <w:tcPr>
            <w:tcW w:w="4760" w:type="dxa"/>
            <w:vAlign w:val="bottom"/>
            <w:vMerge w:val="restart"/>
          </w:tcPr>
          <w:p>
            <w:pPr>
              <w:ind w:left="680"/>
              <w:spacing w:after="0"/>
              <w:rPr>
                <w:sz w:val="20"/>
                <w:szCs w:val="20"/>
                <w:color w:val="auto"/>
              </w:rPr>
            </w:pPr>
            <w:r>
              <w:rPr>
                <w:rFonts w:ascii="Arial" w:cs="Arial" w:eastAsia="Arial" w:hAnsi="Arial"/>
                <w:sz w:val="18"/>
                <w:szCs w:val="18"/>
                <w:color w:val="auto"/>
              </w:rPr>
              <w:t>Total assets</w:t>
            </w:r>
          </w:p>
        </w:tc>
        <w:tc>
          <w:tcPr>
            <w:tcW w:w="20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60" w:type="dxa"/>
            <w:vAlign w:val="bottom"/>
            <w:vMerge w:val="continue"/>
          </w:tcPr>
          <w:p>
            <w:pPr>
              <w:spacing w:after="0"/>
              <w:rPr>
                <w:sz w:val="20"/>
                <w:szCs w:val="20"/>
                <w:color w:val="auto"/>
              </w:rPr>
            </w:pPr>
          </w:p>
        </w:tc>
        <w:tc>
          <w:tcPr>
            <w:tcW w:w="2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5,109,105</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9"/>
              </w:rPr>
              <w:t>1,028,710</w:t>
            </w:r>
          </w:p>
        </w:tc>
        <w:tc>
          <w:tcPr>
            <w:tcW w:w="0" w:type="dxa"/>
            <w:vAlign w:val="bottom"/>
          </w:tcPr>
          <w:p>
            <w:pPr>
              <w:spacing w:after="0"/>
              <w:rPr>
                <w:sz w:val="1"/>
                <w:szCs w:val="1"/>
                <w:color w:val="auto"/>
              </w:rPr>
            </w:pPr>
          </w:p>
        </w:tc>
      </w:tr>
      <w:tr>
        <w:trPr>
          <w:trHeight w:val="27"/>
        </w:trPr>
        <w:tc>
          <w:tcPr>
            <w:tcW w:w="476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0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60" w:type="dxa"/>
            <w:vAlign w:val="bottom"/>
            <w:vMerge w:val="continue"/>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4760" w:type="dxa"/>
            <w:vAlign w:val="bottom"/>
            <w:vMerge w:val="continue"/>
          </w:tcPr>
          <w:p>
            <w:pPr>
              <w:spacing w:after="0"/>
              <w:rPr>
                <w:sz w:val="24"/>
                <w:szCs w:val="24"/>
                <w:color w:val="auto"/>
              </w:rPr>
            </w:pPr>
          </w:p>
        </w:tc>
        <w:tc>
          <w:tcPr>
            <w:tcW w:w="2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760" w:type="dxa"/>
            <w:vAlign w:val="bottom"/>
          </w:tcPr>
          <w:p>
            <w:pPr>
              <w:spacing w:after="0"/>
              <w:rPr>
                <w:sz w:val="20"/>
                <w:szCs w:val="20"/>
                <w:color w:val="auto"/>
              </w:rPr>
            </w:pPr>
            <w:r>
              <w:rPr>
                <w:rFonts w:ascii="Arial" w:cs="Arial" w:eastAsia="Arial" w:hAnsi="Arial"/>
                <w:sz w:val="18"/>
                <w:szCs w:val="18"/>
                <w:color w:val="auto"/>
              </w:rPr>
              <w:t>Current liabilities:</w:t>
            </w:r>
          </w:p>
        </w:tc>
        <w:tc>
          <w:tcPr>
            <w:tcW w:w="20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760" w:type="dxa"/>
            <w:vAlign w:val="bottom"/>
          </w:tcPr>
          <w:p>
            <w:pPr>
              <w:ind w:left="460"/>
              <w:spacing w:after="0"/>
              <w:rPr>
                <w:sz w:val="20"/>
                <w:szCs w:val="20"/>
                <w:color w:val="auto"/>
              </w:rPr>
            </w:pPr>
            <w:r>
              <w:rPr>
                <w:rFonts w:ascii="Arial" w:cs="Arial" w:eastAsia="Arial" w:hAnsi="Arial"/>
                <w:sz w:val="18"/>
                <w:szCs w:val="18"/>
                <w:color w:val="auto"/>
              </w:rPr>
              <w:t>Accounts payable</w:t>
            </w:r>
          </w:p>
        </w:tc>
        <w:tc>
          <w:tcPr>
            <w:tcW w:w="2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29,361</w:t>
            </w:r>
          </w:p>
        </w:tc>
        <w:tc>
          <w:tcPr>
            <w:tcW w:w="12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18,495</w:t>
            </w:r>
          </w:p>
        </w:tc>
        <w:tc>
          <w:tcPr>
            <w:tcW w:w="0" w:type="dxa"/>
            <w:vAlign w:val="bottom"/>
          </w:tcPr>
          <w:p>
            <w:pPr>
              <w:spacing w:after="0"/>
              <w:rPr>
                <w:sz w:val="1"/>
                <w:szCs w:val="1"/>
                <w:color w:val="auto"/>
              </w:rPr>
            </w:pPr>
          </w:p>
        </w:tc>
      </w:tr>
      <w:tr>
        <w:trPr>
          <w:trHeight w:val="270"/>
        </w:trPr>
        <w:tc>
          <w:tcPr>
            <w:tcW w:w="4760" w:type="dxa"/>
            <w:vAlign w:val="bottom"/>
          </w:tcPr>
          <w:p>
            <w:pPr>
              <w:ind w:left="460"/>
              <w:spacing w:after="0"/>
              <w:rPr>
                <w:sz w:val="20"/>
                <w:szCs w:val="20"/>
                <w:color w:val="auto"/>
              </w:rPr>
            </w:pPr>
            <w:r>
              <w:rPr>
                <w:rFonts w:ascii="Arial" w:cs="Arial" w:eastAsia="Arial" w:hAnsi="Arial"/>
                <w:sz w:val="18"/>
                <w:szCs w:val="18"/>
                <w:color w:val="auto"/>
              </w:rPr>
              <w:t>Accrued expenses and other current liabilities</w:t>
            </w:r>
          </w:p>
        </w:tc>
        <w:tc>
          <w:tcPr>
            <w:tcW w:w="20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117,625</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96,343</w:t>
            </w:r>
          </w:p>
        </w:tc>
        <w:tc>
          <w:tcPr>
            <w:tcW w:w="0" w:type="dxa"/>
            <w:vAlign w:val="bottom"/>
          </w:tcPr>
          <w:p>
            <w:pPr>
              <w:spacing w:after="0"/>
              <w:rPr>
                <w:sz w:val="1"/>
                <w:szCs w:val="1"/>
                <w:color w:val="auto"/>
              </w:rPr>
            </w:pPr>
          </w:p>
        </w:tc>
      </w:tr>
      <w:tr>
        <w:trPr>
          <w:trHeight w:val="270"/>
        </w:trPr>
        <w:tc>
          <w:tcPr>
            <w:tcW w:w="4760" w:type="dxa"/>
            <w:vAlign w:val="bottom"/>
          </w:tcPr>
          <w:p>
            <w:pPr>
              <w:ind w:left="460"/>
              <w:spacing w:after="0"/>
              <w:rPr>
                <w:sz w:val="20"/>
                <w:szCs w:val="20"/>
                <w:color w:val="auto"/>
              </w:rPr>
            </w:pPr>
            <w:r>
              <w:rPr>
                <w:rFonts w:ascii="Arial" w:cs="Arial" w:eastAsia="Arial" w:hAnsi="Arial"/>
                <w:sz w:val="18"/>
                <w:szCs w:val="18"/>
                <w:color w:val="auto"/>
              </w:rPr>
              <w:t>Deferred revenue and customer deposits</w:t>
            </w:r>
          </w:p>
        </w:tc>
        <w:tc>
          <w:tcPr>
            <w:tcW w:w="20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24,898</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22,972</w:t>
            </w:r>
          </w:p>
        </w:tc>
        <w:tc>
          <w:tcPr>
            <w:tcW w:w="0" w:type="dxa"/>
            <w:vAlign w:val="bottom"/>
          </w:tcPr>
          <w:p>
            <w:pPr>
              <w:spacing w:after="0"/>
              <w:rPr>
                <w:sz w:val="1"/>
                <w:szCs w:val="1"/>
                <w:color w:val="auto"/>
              </w:rPr>
            </w:pPr>
          </w:p>
        </w:tc>
      </w:tr>
      <w:tr>
        <w:trPr>
          <w:trHeight w:val="270"/>
        </w:trPr>
        <w:tc>
          <w:tcPr>
            <w:tcW w:w="4760" w:type="dxa"/>
            <w:vAlign w:val="bottom"/>
          </w:tcPr>
          <w:p>
            <w:pPr>
              <w:ind w:left="460"/>
              <w:spacing w:after="0"/>
              <w:rPr>
                <w:sz w:val="20"/>
                <w:szCs w:val="20"/>
                <w:color w:val="auto"/>
              </w:rPr>
            </w:pPr>
            <w:r>
              <w:rPr>
                <w:rFonts w:ascii="Arial" w:cs="Arial" w:eastAsia="Arial" w:hAnsi="Arial"/>
                <w:sz w:val="18"/>
                <w:szCs w:val="18"/>
                <w:color w:val="auto"/>
              </w:rPr>
              <w:t>Operating lease liability, current</w:t>
            </w:r>
          </w:p>
        </w:tc>
        <w:tc>
          <w:tcPr>
            <w:tcW w:w="20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21,858</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760" w:type="dxa"/>
            <w:vAlign w:val="bottom"/>
          </w:tcPr>
          <w:p>
            <w:pPr>
              <w:ind w:left="460"/>
              <w:spacing w:after="0"/>
              <w:rPr>
                <w:sz w:val="20"/>
                <w:szCs w:val="20"/>
                <w:color w:val="auto"/>
              </w:rPr>
            </w:pPr>
            <w:r>
              <w:rPr>
                <w:rFonts w:ascii="Arial" w:cs="Arial" w:eastAsia="Arial" w:hAnsi="Arial"/>
                <w:sz w:val="18"/>
                <w:szCs w:val="18"/>
                <w:color w:val="auto"/>
              </w:rPr>
              <w:t>Financing lease liability, current</w:t>
            </w:r>
          </w:p>
        </w:tc>
        <w:tc>
          <w:tcPr>
            <w:tcW w:w="20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5,920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760" w:type="dxa"/>
            <w:vAlign w:val="bottom"/>
          </w:tcPr>
          <w:p>
            <w:pPr>
              <w:ind w:left="460"/>
              <w:spacing w:after="0"/>
              <w:rPr>
                <w:sz w:val="20"/>
                <w:szCs w:val="20"/>
                <w:color w:val="auto"/>
              </w:rPr>
            </w:pPr>
            <w:r>
              <w:rPr>
                <w:rFonts w:ascii="Arial" w:cs="Arial" w:eastAsia="Arial" w:hAnsi="Arial"/>
                <w:sz w:val="18"/>
                <w:szCs w:val="18"/>
                <w:color w:val="auto"/>
              </w:rPr>
              <w:t>Note payable, current</w:t>
            </w:r>
          </w:p>
        </w:tc>
        <w:tc>
          <w:tcPr>
            <w:tcW w:w="20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2,119</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60" w:type="dxa"/>
            <w:vAlign w:val="bottom"/>
            <w:vMerge w:val="restart"/>
          </w:tcPr>
          <w:p>
            <w:pPr>
              <w:ind w:left="680"/>
              <w:spacing w:after="0"/>
              <w:rPr>
                <w:sz w:val="20"/>
                <w:szCs w:val="20"/>
                <w:color w:val="auto"/>
              </w:rPr>
            </w:pPr>
            <w:r>
              <w:rPr>
                <w:rFonts w:ascii="Arial" w:cs="Arial" w:eastAsia="Arial" w:hAnsi="Arial"/>
                <w:sz w:val="18"/>
                <w:szCs w:val="18"/>
                <w:color w:val="auto"/>
              </w:rPr>
              <w:t>Total current liabilities</w:t>
            </w:r>
          </w:p>
        </w:tc>
        <w:tc>
          <w:tcPr>
            <w:tcW w:w="20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60" w:type="dxa"/>
            <w:vAlign w:val="bottom"/>
            <w:vMerge w:val="continue"/>
          </w:tcPr>
          <w:p>
            <w:pPr>
              <w:spacing w:after="0"/>
              <w:rPr>
                <w:sz w:val="20"/>
                <w:szCs w:val="20"/>
                <w:color w:val="auto"/>
              </w:rPr>
            </w:pPr>
          </w:p>
        </w:tc>
        <w:tc>
          <w:tcPr>
            <w:tcW w:w="2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201,781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137,810</w:t>
            </w:r>
          </w:p>
        </w:tc>
        <w:tc>
          <w:tcPr>
            <w:tcW w:w="0" w:type="dxa"/>
            <w:vAlign w:val="bottom"/>
          </w:tcPr>
          <w:p>
            <w:pPr>
              <w:spacing w:after="0"/>
              <w:rPr>
                <w:sz w:val="1"/>
                <w:szCs w:val="1"/>
                <w:color w:val="auto"/>
              </w:rPr>
            </w:pPr>
          </w:p>
        </w:tc>
      </w:tr>
      <w:tr>
        <w:trPr>
          <w:trHeight w:val="270"/>
        </w:trPr>
        <w:tc>
          <w:tcPr>
            <w:tcW w:w="4760" w:type="dxa"/>
            <w:vAlign w:val="bottom"/>
          </w:tcPr>
          <w:p>
            <w:pPr>
              <w:spacing w:after="0"/>
              <w:rPr>
                <w:sz w:val="20"/>
                <w:szCs w:val="20"/>
                <w:color w:val="auto"/>
              </w:rPr>
            </w:pPr>
            <w:r>
              <w:rPr>
                <w:rFonts w:ascii="Arial" w:cs="Arial" w:eastAsia="Arial" w:hAnsi="Arial"/>
                <w:sz w:val="18"/>
                <w:szCs w:val="18"/>
                <w:color w:val="auto"/>
              </w:rPr>
              <w:t>Operating lease liability, noncurrent</w:t>
            </w:r>
          </w:p>
        </w:tc>
        <w:tc>
          <w:tcPr>
            <w:tcW w:w="20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138,819</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760" w:type="dxa"/>
            <w:vAlign w:val="bottom"/>
          </w:tcPr>
          <w:p>
            <w:pPr>
              <w:spacing w:after="0"/>
              <w:rPr>
                <w:sz w:val="20"/>
                <w:szCs w:val="20"/>
                <w:color w:val="auto"/>
              </w:rPr>
            </w:pPr>
            <w:r>
              <w:rPr>
                <w:rFonts w:ascii="Arial" w:cs="Arial" w:eastAsia="Arial" w:hAnsi="Arial"/>
                <w:sz w:val="18"/>
                <w:szCs w:val="18"/>
                <w:color w:val="auto"/>
              </w:rPr>
              <w:t>Financing lease liability, noncurrent</w:t>
            </w:r>
          </w:p>
        </w:tc>
        <w:tc>
          <w:tcPr>
            <w:tcW w:w="20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7,752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760" w:type="dxa"/>
            <w:vAlign w:val="bottom"/>
          </w:tcPr>
          <w:p>
            <w:pPr>
              <w:spacing w:after="0"/>
              <w:rPr>
                <w:sz w:val="20"/>
                <w:szCs w:val="20"/>
                <w:color w:val="auto"/>
              </w:rPr>
            </w:pPr>
            <w:r>
              <w:rPr>
                <w:rFonts w:ascii="Arial" w:cs="Arial" w:eastAsia="Arial" w:hAnsi="Arial"/>
                <w:sz w:val="18"/>
                <w:szCs w:val="18"/>
                <w:color w:val="auto"/>
              </w:rPr>
              <w:t>Note payable, noncurrent</w:t>
            </w:r>
          </w:p>
        </w:tc>
        <w:tc>
          <w:tcPr>
            <w:tcW w:w="20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2,237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760" w:type="dxa"/>
            <w:vAlign w:val="bottom"/>
          </w:tcPr>
          <w:p>
            <w:pPr>
              <w:spacing w:after="0"/>
              <w:rPr>
                <w:sz w:val="20"/>
                <w:szCs w:val="20"/>
                <w:color w:val="auto"/>
              </w:rPr>
            </w:pPr>
            <w:r>
              <w:rPr>
                <w:rFonts w:ascii="Arial" w:cs="Arial" w:eastAsia="Arial" w:hAnsi="Arial"/>
                <w:sz w:val="18"/>
                <w:szCs w:val="18"/>
                <w:color w:val="auto"/>
              </w:rPr>
              <w:t>Convertible senior notes, net</w:t>
            </w:r>
          </w:p>
        </w:tc>
        <w:tc>
          <w:tcPr>
            <w:tcW w:w="20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446,177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434,496</w:t>
            </w:r>
          </w:p>
        </w:tc>
        <w:tc>
          <w:tcPr>
            <w:tcW w:w="0" w:type="dxa"/>
            <w:vAlign w:val="bottom"/>
          </w:tcPr>
          <w:p>
            <w:pPr>
              <w:spacing w:after="0"/>
              <w:rPr>
                <w:sz w:val="1"/>
                <w:szCs w:val="1"/>
                <w:color w:val="auto"/>
              </w:rPr>
            </w:pPr>
          </w:p>
        </w:tc>
      </w:tr>
      <w:tr>
        <w:trPr>
          <w:trHeight w:val="270"/>
        </w:trPr>
        <w:tc>
          <w:tcPr>
            <w:tcW w:w="476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20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15,479</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18,169</w:t>
            </w:r>
          </w:p>
        </w:tc>
        <w:tc>
          <w:tcPr>
            <w:tcW w:w="0" w:type="dxa"/>
            <w:vAlign w:val="bottom"/>
          </w:tcPr>
          <w:p>
            <w:pPr>
              <w:spacing w:after="0"/>
              <w:rPr>
                <w:sz w:val="1"/>
                <w:szCs w:val="1"/>
                <w:color w:val="auto"/>
              </w:rPr>
            </w:pPr>
          </w:p>
        </w:tc>
      </w:tr>
      <w:tr>
        <w:trPr>
          <w:trHeight w:val="27"/>
        </w:trPr>
        <w:tc>
          <w:tcPr>
            <w:tcW w:w="4760" w:type="dxa"/>
            <w:vAlign w:val="bottom"/>
            <w:vMerge w:val="restart"/>
          </w:tcPr>
          <w:p>
            <w:pPr>
              <w:ind w:left="680"/>
              <w:spacing w:after="0"/>
              <w:rPr>
                <w:sz w:val="20"/>
                <w:szCs w:val="20"/>
                <w:color w:val="auto"/>
              </w:rPr>
            </w:pPr>
            <w:r>
              <w:rPr>
                <w:rFonts w:ascii="Arial" w:cs="Arial" w:eastAsia="Arial" w:hAnsi="Arial"/>
                <w:sz w:val="18"/>
                <w:szCs w:val="18"/>
                <w:color w:val="auto"/>
              </w:rPr>
              <w:t>Total liabilities</w:t>
            </w:r>
          </w:p>
        </w:tc>
        <w:tc>
          <w:tcPr>
            <w:tcW w:w="20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60" w:type="dxa"/>
            <w:vAlign w:val="bottom"/>
            <w:vMerge w:val="continue"/>
          </w:tcPr>
          <w:p>
            <w:pPr>
              <w:spacing w:after="0"/>
              <w:rPr>
                <w:sz w:val="20"/>
                <w:szCs w:val="20"/>
                <w:color w:val="auto"/>
              </w:rPr>
            </w:pPr>
          </w:p>
        </w:tc>
        <w:tc>
          <w:tcPr>
            <w:tcW w:w="2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812,245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590,475</w:t>
            </w:r>
          </w:p>
        </w:tc>
        <w:tc>
          <w:tcPr>
            <w:tcW w:w="0" w:type="dxa"/>
            <w:vAlign w:val="bottom"/>
          </w:tcPr>
          <w:p>
            <w:pPr>
              <w:spacing w:after="0"/>
              <w:rPr>
                <w:sz w:val="1"/>
                <w:szCs w:val="1"/>
                <w:color w:val="auto"/>
              </w:rPr>
            </w:pPr>
          </w:p>
        </w:tc>
      </w:tr>
      <w:tr>
        <w:trPr>
          <w:trHeight w:val="27"/>
        </w:trPr>
        <w:tc>
          <w:tcPr>
            <w:tcW w:w="4760" w:type="dxa"/>
            <w:vAlign w:val="bottom"/>
            <w:vMerge w:val="restart"/>
          </w:tcPr>
          <w:p>
            <w:pPr>
              <w:spacing w:after="0"/>
              <w:rPr>
                <w:sz w:val="20"/>
                <w:szCs w:val="20"/>
                <w:color w:val="auto"/>
              </w:rPr>
            </w:pPr>
            <w:r>
              <w:rPr>
                <w:rFonts w:ascii="Arial" w:cs="Arial" w:eastAsia="Arial" w:hAnsi="Arial"/>
                <w:sz w:val="18"/>
                <w:szCs w:val="18"/>
                <w:color w:val="auto"/>
              </w:rPr>
              <w:t>Commitments and contingencies</w:t>
            </w:r>
          </w:p>
        </w:tc>
        <w:tc>
          <w:tcPr>
            <w:tcW w:w="20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760" w:type="dxa"/>
            <w:vAlign w:val="bottom"/>
            <w:vMerge w:val="continue"/>
          </w:tcPr>
          <w:p>
            <w:pPr>
              <w:spacing w:after="0"/>
              <w:rPr>
                <w:sz w:val="19"/>
                <w:szCs w:val="19"/>
                <w:color w:val="auto"/>
              </w:rPr>
            </w:pPr>
          </w:p>
        </w:tc>
        <w:tc>
          <w:tcPr>
            <w:tcW w:w="2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4760" w:type="dxa"/>
            <w:vAlign w:val="bottom"/>
          </w:tcPr>
          <w:p>
            <w:pPr>
              <w:spacing w:after="0"/>
              <w:rPr>
                <w:sz w:val="20"/>
                <w:szCs w:val="20"/>
                <w:color w:val="auto"/>
              </w:rPr>
            </w:pPr>
            <w:r>
              <w:rPr>
                <w:rFonts w:ascii="Arial" w:cs="Arial" w:eastAsia="Arial" w:hAnsi="Arial"/>
                <w:sz w:val="18"/>
                <w:szCs w:val="18"/>
                <w:color w:val="auto"/>
              </w:rPr>
              <w:t>Stockholders’ equity:</w:t>
            </w:r>
          </w:p>
        </w:tc>
        <w:tc>
          <w:tcPr>
            <w:tcW w:w="2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760" w:type="dxa"/>
            <w:vAlign w:val="bottom"/>
          </w:tcPr>
          <w:p>
            <w:pPr>
              <w:ind w:left="460"/>
              <w:spacing w:after="0"/>
              <w:rPr>
                <w:sz w:val="20"/>
                <w:szCs w:val="20"/>
                <w:color w:val="auto"/>
              </w:rPr>
            </w:pPr>
            <w:r>
              <w:rPr>
                <w:rFonts w:ascii="Arial" w:cs="Arial" w:eastAsia="Arial" w:hAnsi="Arial"/>
                <w:sz w:val="18"/>
                <w:szCs w:val="18"/>
                <w:color w:val="auto"/>
              </w:rPr>
              <w:t>Preferred stock</w:t>
            </w:r>
          </w:p>
        </w:tc>
        <w:tc>
          <w:tcPr>
            <w:tcW w:w="20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760" w:type="dxa"/>
            <w:vAlign w:val="bottom"/>
          </w:tcPr>
          <w:p>
            <w:pPr>
              <w:ind w:left="460"/>
              <w:spacing w:after="0"/>
              <w:rPr>
                <w:sz w:val="20"/>
                <w:szCs w:val="20"/>
                <w:color w:val="auto"/>
              </w:rPr>
            </w:pPr>
            <w:r>
              <w:rPr>
                <w:rFonts w:ascii="Arial" w:cs="Arial" w:eastAsia="Arial" w:hAnsi="Arial"/>
                <w:sz w:val="18"/>
                <w:szCs w:val="18"/>
                <w:color w:val="auto"/>
              </w:rPr>
              <w:t>Class A and Class B common stock</w:t>
            </w:r>
          </w:p>
        </w:tc>
        <w:tc>
          <w:tcPr>
            <w:tcW w:w="20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0"/>
        </w:trPr>
        <w:tc>
          <w:tcPr>
            <w:tcW w:w="4760" w:type="dxa"/>
            <w:vAlign w:val="bottom"/>
          </w:tcPr>
          <w:p>
            <w:pPr>
              <w:ind w:left="460"/>
              <w:spacing w:after="0"/>
              <w:rPr>
                <w:sz w:val="20"/>
                <w:szCs w:val="20"/>
                <w:color w:val="auto"/>
              </w:rPr>
            </w:pPr>
            <w:r>
              <w:rPr>
                <w:rFonts w:ascii="Arial" w:cs="Arial" w:eastAsia="Arial" w:hAnsi="Arial"/>
                <w:sz w:val="18"/>
                <w:szCs w:val="18"/>
                <w:color w:val="auto"/>
              </w:rPr>
              <w:t>Additional paid-in capital</w:t>
            </w:r>
          </w:p>
        </w:tc>
        <w:tc>
          <w:tcPr>
            <w:tcW w:w="20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4,794,177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808,527</w:t>
            </w:r>
          </w:p>
        </w:tc>
        <w:tc>
          <w:tcPr>
            <w:tcW w:w="0" w:type="dxa"/>
            <w:vAlign w:val="bottom"/>
          </w:tcPr>
          <w:p>
            <w:pPr>
              <w:spacing w:after="0"/>
              <w:rPr>
                <w:sz w:val="1"/>
                <w:szCs w:val="1"/>
                <w:color w:val="auto"/>
              </w:rPr>
            </w:pPr>
          </w:p>
        </w:tc>
      </w:tr>
      <w:tr>
        <w:trPr>
          <w:trHeight w:val="270"/>
        </w:trPr>
        <w:tc>
          <w:tcPr>
            <w:tcW w:w="4760" w:type="dxa"/>
            <w:vAlign w:val="bottom"/>
          </w:tcPr>
          <w:p>
            <w:pPr>
              <w:ind w:left="460"/>
              <w:spacing w:after="0"/>
              <w:rPr>
                <w:sz w:val="20"/>
                <w:szCs w:val="20"/>
                <w:color w:val="auto"/>
              </w:rPr>
            </w:pPr>
            <w:r>
              <w:rPr>
                <w:rFonts w:ascii="Arial" w:cs="Arial" w:eastAsia="Arial" w:hAnsi="Arial"/>
                <w:sz w:val="18"/>
                <w:szCs w:val="18"/>
                <w:color w:val="auto"/>
              </w:rPr>
              <w:t>Accumulated other comprehensive income</w:t>
            </w:r>
          </w:p>
        </w:tc>
        <w:tc>
          <w:tcPr>
            <w:tcW w:w="20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3,303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1,282</w:t>
            </w:r>
          </w:p>
        </w:tc>
        <w:tc>
          <w:tcPr>
            <w:tcW w:w="0" w:type="dxa"/>
            <w:vAlign w:val="bottom"/>
          </w:tcPr>
          <w:p>
            <w:pPr>
              <w:spacing w:after="0"/>
              <w:rPr>
                <w:sz w:val="1"/>
                <w:szCs w:val="1"/>
                <w:color w:val="auto"/>
              </w:rPr>
            </w:pPr>
          </w:p>
        </w:tc>
      </w:tr>
      <w:tr>
        <w:trPr>
          <w:trHeight w:val="270"/>
        </w:trPr>
        <w:tc>
          <w:tcPr>
            <w:tcW w:w="4760" w:type="dxa"/>
            <w:vAlign w:val="bottom"/>
          </w:tcPr>
          <w:p>
            <w:pPr>
              <w:ind w:left="460"/>
              <w:spacing w:after="0"/>
              <w:rPr>
                <w:sz w:val="20"/>
                <w:szCs w:val="20"/>
                <w:color w:val="auto"/>
              </w:rPr>
            </w:pPr>
            <w:r>
              <w:rPr>
                <w:rFonts w:ascii="Arial" w:cs="Arial" w:eastAsia="Arial" w:hAnsi="Arial"/>
                <w:sz w:val="18"/>
                <w:szCs w:val="18"/>
                <w:color w:val="auto"/>
              </w:rPr>
              <w:t>Accumulated deficit</w:t>
            </w:r>
          </w:p>
        </w:tc>
        <w:tc>
          <w:tcPr>
            <w:tcW w:w="20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(500,756)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(371,674)</w:t>
            </w:r>
          </w:p>
        </w:tc>
        <w:tc>
          <w:tcPr>
            <w:tcW w:w="0" w:type="dxa"/>
            <w:vAlign w:val="bottom"/>
          </w:tcPr>
          <w:p>
            <w:pPr>
              <w:spacing w:after="0"/>
              <w:rPr>
                <w:sz w:val="1"/>
                <w:szCs w:val="1"/>
                <w:color w:val="auto"/>
              </w:rPr>
            </w:pPr>
          </w:p>
        </w:tc>
      </w:tr>
      <w:tr>
        <w:trPr>
          <w:trHeight w:val="27"/>
        </w:trPr>
        <w:tc>
          <w:tcPr>
            <w:tcW w:w="4760" w:type="dxa"/>
            <w:vAlign w:val="bottom"/>
            <w:vMerge w:val="restart"/>
          </w:tcPr>
          <w:p>
            <w:pPr>
              <w:ind w:left="680"/>
              <w:spacing w:after="0"/>
              <w:rPr>
                <w:sz w:val="20"/>
                <w:szCs w:val="20"/>
                <w:color w:val="auto"/>
              </w:rPr>
            </w:pPr>
            <w:r>
              <w:rPr>
                <w:rFonts w:ascii="Arial" w:cs="Arial" w:eastAsia="Arial" w:hAnsi="Arial"/>
                <w:sz w:val="18"/>
                <w:szCs w:val="18"/>
                <w:color w:val="auto"/>
              </w:rPr>
              <w:t>Total stockholders’ equity</w:t>
            </w:r>
          </w:p>
        </w:tc>
        <w:tc>
          <w:tcPr>
            <w:tcW w:w="20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60" w:type="dxa"/>
            <w:vAlign w:val="bottom"/>
            <w:vMerge w:val="continue"/>
          </w:tcPr>
          <w:p>
            <w:pPr>
              <w:spacing w:after="0"/>
              <w:rPr>
                <w:sz w:val="20"/>
                <w:szCs w:val="20"/>
                <w:color w:val="auto"/>
              </w:rPr>
            </w:pPr>
          </w:p>
        </w:tc>
        <w:tc>
          <w:tcPr>
            <w:tcW w:w="2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4,296,860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438,235</w:t>
            </w:r>
          </w:p>
        </w:tc>
        <w:tc>
          <w:tcPr>
            <w:tcW w:w="0" w:type="dxa"/>
            <w:vAlign w:val="bottom"/>
          </w:tcPr>
          <w:p>
            <w:pPr>
              <w:spacing w:after="0"/>
              <w:rPr>
                <w:sz w:val="1"/>
                <w:szCs w:val="1"/>
                <w:color w:val="auto"/>
              </w:rPr>
            </w:pPr>
          </w:p>
        </w:tc>
      </w:tr>
      <w:tr>
        <w:trPr>
          <w:trHeight w:val="27"/>
        </w:trPr>
        <w:tc>
          <w:tcPr>
            <w:tcW w:w="4760" w:type="dxa"/>
            <w:vAlign w:val="bottom"/>
            <w:vMerge w:val="restart"/>
          </w:tcPr>
          <w:p>
            <w:pPr>
              <w:ind w:left="680"/>
              <w:spacing w:after="0"/>
              <w:rPr>
                <w:sz w:val="20"/>
                <w:szCs w:val="20"/>
                <w:color w:val="auto"/>
              </w:rPr>
            </w:pPr>
            <w:r>
              <w:rPr>
                <w:rFonts w:ascii="Arial" w:cs="Arial" w:eastAsia="Arial" w:hAnsi="Arial"/>
                <w:sz w:val="18"/>
                <w:szCs w:val="18"/>
                <w:color w:val="auto"/>
              </w:rPr>
              <w:t>Total liabilities and stockholders’ equity</w:t>
            </w:r>
          </w:p>
        </w:tc>
        <w:tc>
          <w:tcPr>
            <w:tcW w:w="20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60" w:type="dxa"/>
            <w:vAlign w:val="bottom"/>
            <w:vMerge w:val="continue"/>
          </w:tcPr>
          <w:p>
            <w:pPr>
              <w:spacing w:after="0"/>
              <w:rPr>
                <w:sz w:val="20"/>
                <w:szCs w:val="20"/>
                <w:color w:val="auto"/>
              </w:rPr>
            </w:pPr>
          </w:p>
        </w:tc>
        <w:tc>
          <w:tcPr>
            <w:tcW w:w="2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5,109,105</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9"/>
              </w:rPr>
              <w:t>1,028,710</w:t>
            </w: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2040" w:type="dxa"/>
            <w:vAlign w:val="bottom"/>
            <w:vMerge w:val="restart"/>
          </w:tcPr>
          <w:p>
            <w:pPr>
              <w:jc w:val="right"/>
              <w:ind w:right="990"/>
              <w:spacing w:after="0"/>
              <w:rPr>
                <w:sz w:val="20"/>
                <w:szCs w:val="20"/>
                <w:color w:val="auto"/>
              </w:rPr>
            </w:pPr>
            <w:r>
              <w:rPr>
                <w:rFonts w:ascii="Arial" w:cs="Arial" w:eastAsia="Arial" w:hAnsi="Arial"/>
                <w:sz w:val="18"/>
                <w:szCs w:val="18"/>
                <w:color w:val="auto"/>
              </w:rPr>
              <w:t>6</w:t>
            </w: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2040" w:type="dxa"/>
            <w:vAlign w:val="bottom"/>
            <w:vMerge w:val="continue"/>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760" w:type="dxa"/>
            <w:vAlign w:val="bottom"/>
          </w:tcPr>
          <w:p>
            <w:pPr>
              <w:spacing w:after="0"/>
              <w:rPr>
                <w:sz w:val="24"/>
                <w:szCs w:val="24"/>
                <w:color w:val="auto"/>
              </w:rPr>
            </w:pPr>
          </w:p>
        </w:tc>
        <w:tc>
          <w:tcPr>
            <w:tcW w:w="20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580" w:right="1440" w:bottom="1440" w:gutter="0" w:footer="0" w:header="0"/>
        </w:sectPr>
      </w:pPr>
    </w:p>
    <w:bookmarkStart w:id="9" w:name="page10"/>
    <w:bookmarkEnd w:id="9"/>
    <w:p>
      <w:pPr>
        <w:spacing w:after="0"/>
        <w:rPr>
          <w:sz w:val="20"/>
          <w:szCs w:val="20"/>
          <w:color w:val="auto"/>
        </w:rPr>
      </w:pPr>
      <w:r>
        <w:rPr>
          <w:rFonts w:ascii="Arial" w:cs="Arial" w:eastAsia="Arial" w:hAnsi="Arial"/>
          <w:sz w:val="16"/>
          <w:szCs w:val="16"/>
          <w:b w:val="1"/>
          <w:bCs w:val="1"/>
          <w:color w:val="auto"/>
        </w:rPr>
        <w:t>TWILIO INC.</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27584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758440" cy="889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auto"/>
        </w:rPr>
        <w:t>(In thousands)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(Unaudited)</w:t>
      </w:r>
    </w:p>
    <w:p>
      <w:pPr>
        <w:spacing w:after="0" w:line="150" w:lineRule="exact"/>
        <w:rPr>
          <w:sz w:val="20"/>
          <w:szCs w:val="20"/>
          <w:color w:val="auto"/>
        </w:rPr>
      </w:pPr>
    </w:p>
    <w:p>
      <w:pPr>
        <w:jc w:val="center"/>
        <w:ind w:left="8620"/>
        <w:spacing w:after="0"/>
        <w:rPr>
          <w:sz w:val="20"/>
          <w:szCs w:val="20"/>
          <w:color w:val="auto"/>
        </w:rPr>
      </w:pPr>
      <w:r>
        <w:rPr>
          <w:rFonts w:ascii="Arial" w:cs="Arial" w:eastAsia="Arial" w:hAnsi="Arial"/>
          <w:sz w:val="14"/>
          <w:szCs w:val="14"/>
          <w:b w:val="1"/>
          <w:bCs w:val="1"/>
          <w:color w:val="auto"/>
        </w:rPr>
        <w:t>Six Months Ended</w:t>
      </w:r>
    </w:p>
    <w:p>
      <w:pPr>
        <w:spacing w:after="0" w:line="1" w:lineRule="exact"/>
        <w:rPr>
          <w:sz w:val="20"/>
          <w:szCs w:val="20"/>
          <w:color w:val="auto"/>
        </w:rPr>
      </w:pPr>
    </w:p>
    <w:p>
      <w:pPr>
        <w:jc w:val="center"/>
        <w:ind w:left="862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5450840</wp:posOffset>
            </wp:positionH>
            <wp:positionV relativeFrom="paragraph">
              <wp:posOffset>8890</wp:posOffset>
            </wp:positionV>
            <wp:extent cx="18008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pacing w:after="0" w:line="89" w:lineRule="exact"/>
        <w:rPr>
          <w:sz w:val="20"/>
          <w:szCs w:val="20"/>
          <w:color w:val="auto"/>
        </w:rPr>
      </w:pPr>
    </w:p>
    <w:tbl>
      <w:tblPr>
        <w:tblLayout w:type="fixed"/>
        <w:tblInd w:w="40" w:type="dxa"/>
        <w:tblCellMar>
          <w:top w:w="0" w:type="dxa"/>
          <w:left w:w="0" w:type="dxa"/>
          <w:bottom w:w="0" w:type="dxa"/>
          <w:right w:w="0" w:type="dxa"/>
        </w:tblCellMar>
      </w:tblPr>
      <w:tr>
        <w:trPr>
          <w:trHeight w:val="182"/>
        </w:trPr>
        <w:tc>
          <w:tcPr>
            <w:tcW w:w="85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2018</w:t>
            </w:r>
          </w:p>
        </w:tc>
      </w:tr>
      <w:tr>
        <w:trPr>
          <w:trHeight w:val="256"/>
        </w:trPr>
        <w:tc>
          <w:tcPr>
            <w:tcW w:w="8540" w:type="dxa"/>
            <w:vAlign w:val="bottom"/>
          </w:tcPr>
          <w:p>
            <w:pPr>
              <w:spacing w:after="0"/>
              <w:rPr>
                <w:sz w:val="20"/>
                <w:szCs w:val="20"/>
                <w:color w:val="auto"/>
              </w:rPr>
            </w:pPr>
            <w:r>
              <w:rPr>
                <w:rFonts w:ascii="Arial" w:cs="Arial" w:eastAsia="Arial" w:hAnsi="Arial"/>
                <w:sz w:val="14"/>
                <w:szCs w:val="14"/>
                <w:color w:val="auto"/>
              </w:rPr>
              <w:t>CASH FLOWS FROM OPERATING ACTIVITIES:</w:t>
            </w: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70"/>
        </w:trPr>
        <w:tc>
          <w:tcPr>
            <w:tcW w:w="8540" w:type="dxa"/>
            <w:vAlign w:val="bottom"/>
          </w:tcPr>
          <w:p>
            <w:pPr>
              <w:spacing w:after="0"/>
              <w:rPr>
                <w:sz w:val="20"/>
                <w:szCs w:val="20"/>
                <w:color w:val="auto"/>
              </w:rPr>
            </w:pPr>
            <w:r>
              <w:rPr>
                <w:rFonts w:ascii="Arial" w:cs="Arial" w:eastAsia="Arial" w:hAnsi="Arial"/>
                <w:sz w:val="14"/>
                <w:szCs w:val="14"/>
                <w:color w:val="auto"/>
              </w:rPr>
              <w:t>Net loss</w:t>
            </w:r>
          </w:p>
        </w:tc>
        <w:tc>
          <w:tcPr>
            <w:tcW w:w="32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(129,082)</w:t>
            </w:r>
          </w:p>
        </w:tc>
        <w:tc>
          <w:tcPr>
            <w:tcW w:w="100" w:type="dxa"/>
            <w:vAlign w:val="bottom"/>
          </w:tcPr>
          <w:p>
            <w:pPr>
              <w:spacing w:after="0"/>
              <w:rPr>
                <w:sz w:val="23"/>
                <w:szCs w:val="23"/>
                <w:color w:val="auto"/>
              </w:rPr>
            </w:pPr>
          </w:p>
        </w:tc>
        <w:tc>
          <w:tcPr>
            <w:tcW w:w="32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(47,735)</w:t>
            </w:r>
          </w:p>
        </w:tc>
      </w:tr>
      <w:tr>
        <w:trPr>
          <w:trHeight w:val="270"/>
        </w:trPr>
        <w:tc>
          <w:tcPr>
            <w:tcW w:w="8540" w:type="dxa"/>
            <w:vAlign w:val="bottom"/>
          </w:tcPr>
          <w:p>
            <w:pPr>
              <w:spacing w:after="0"/>
              <w:rPr>
                <w:sz w:val="20"/>
                <w:szCs w:val="20"/>
                <w:color w:val="auto"/>
              </w:rPr>
            </w:pPr>
            <w:r>
              <w:rPr>
                <w:rFonts w:ascii="Arial" w:cs="Arial" w:eastAsia="Arial" w:hAnsi="Arial"/>
                <w:sz w:val="14"/>
                <w:szCs w:val="14"/>
                <w:color w:val="auto"/>
              </w:rPr>
              <w:t>Adjustments to reconcile net loss to net cash (used in) provided by operating activities:</w:t>
            </w:r>
          </w:p>
        </w:tc>
        <w:tc>
          <w:tcPr>
            <w:tcW w:w="3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70"/>
        </w:trPr>
        <w:tc>
          <w:tcPr>
            <w:tcW w:w="8540" w:type="dxa"/>
            <w:vAlign w:val="bottom"/>
          </w:tcPr>
          <w:p>
            <w:pPr>
              <w:ind w:left="140"/>
              <w:spacing w:after="0"/>
              <w:rPr>
                <w:sz w:val="20"/>
                <w:szCs w:val="20"/>
                <w:color w:val="auto"/>
              </w:rPr>
            </w:pPr>
            <w:r>
              <w:rPr>
                <w:rFonts w:ascii="Arial" w:cs="Arial" w:eastAsia="Arial" w:hAnsi="Arial"/>
                <w:sz w:val="14"/>
                <w:szCs w:val="14"/>
                <w:color w:val="auto"/>
              </w:rPr>
              <w:t>Depreciation and amortization</w:t>
            </w:r>
          </w:p>
        </w:tc>
        <w:tc>
          <w:tcPr>
            <w:tcW w:w="320" w:type="dxa"/>
            <w:vAlign w:val="bottom"/>
          </w:tcPr>
          <w:p>
            <w:pPr>
              <w:spacing w:after="0"/>
              <w:rPr>
                <w:sz w:val="23"/>
                <w:szCs w:val="23"/>
                <w:color w:val="auto"/>
              </w:rPr>
            </w:pPr>
          </w:p>
        </w:tc>
        <w:tc>
          <w:tcPr>
            <w:tcW w:w="1060" w:type="dxa"/>
            <w:vAlign w:val="bottom"/>
          </w:tcPr>
          <w:p>
            <w:pPr>
              <w:jc w:val="right"/>
              <w:ind w:right="32"/>
              <w:spacing w:after="0"/>
              <w:rPr>
                <w:sz w:val="20"/>
                <w:szCs w:val="20"/>
                <w:color w:val="auto"/>
              </w:rPr>
            </w:pPr>
            <w:r>
              <w:rPr>
                <w:rFonts w:ascii="Arial" w:cs="Arial" w:eastAsia="Arial" w:hAnsi="Arial"/>
                <w:sz w:val="14"/>
                <w:szCs w:val="14"/>
                <w:color w:val="auto"/>
              </w:rPr>
              <w:t>49,610</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32"/>
              <w:spacing w:after="0"/>
              <w:rPr>
                <w:sz w:val="20"/>
                <w:szCs w:val="20"/>
                <w:color w:val="auto"/>
              </w:rPr>
            </w:pPr>
            <w:r>
              <w:rPr>
                <w:rFonts w:ascii="Arial" w:cs="Arial" w:eastAsia="Arial" w:hAnsi="Arial"/>
                <w:sz w:val="14"/>
                <w:szCs w:val="14"/>
                <w:color w:val="auto"/>
              </w:rPr>
              <w:t>11,392</w:t>
            </w:r>
          </w:p>
        </w:tc>
      </w:tr>
      <w:tr>
        <w:trPr>
          <w:trHeight w:val="270"/>
        </w:trPr>
        <w:tc>
          <w:tcPr>
            <w:tcW w:w="8540" w:type="dxa"/>
            <w:vAlign w:val="bottom"/>
          </w:tcPr>
          <w:p>
            <w:pPr>
              <w:ind w:left="140"/>
              <w:spacing w:after="0"/>
              <w:rPr>
                <w:sz w:val="20"/>
                <w:szCs w:val="20"/>
                <w:color w:val="auto"/>
              </w:rPr>
            </w:pPr>
            <w:r>
              <w:rPr>
                <w:rFonts w:ascii="Arial" w:cs="Arial" w:eastAsia="Arial" w:hAnsi="Arial"/>
                <w:sz w:val="14"/>
                <w:szCs w:val="14"/>
                <w:color w:val="auto"/>
              </w:rPr>
              <w:t>Right-of-use asset amortization</w:t>
            </w:r>
          </w:p>
        </w:tc>
        <w:tc>
          <w:tcPr>
            <w:tcW w:w="320" w:type="dxa"/>
            <w:vAlign w:val="bottom"/>
          </w:tcPr>
          <w:p>
            <w:pPr>
              <w:spacing w:after="0"/>
              <w:rPr>
                <w:sz w:val="23"/>
                <w:szCs w:val="23"/>
                <w:color w:val="auto"/>
              </w:rPr>
            </w:pPr>
          </w:p>
        </w:tc>
        <w:tc>
          <w:tcPr>
            <w:tcW w:w="1060" w:type="dxa"/>
            <w:vAlign w:val="bottom"/>
          </w:tcPr>
          <w:p>
            <w:pPr>
              <w:jc w:val="right"/>
              <w:ind w:right="32"/>
              <w:spacing w:after="0"/>
              <w:rPr>
                <w:sz w:val="20"/>
                <w:szCs w:val="20"/>
                <w:color w:val="auto"/>
              </w:rPr>
            </w:pPr>
            <w:r>
              <w:rPr>
                <w:rFonts w:ascii="Arial" w:cs="Arial" w:eastAsia="Arial" w:hAnsi="Arial"/>
                <w:sz w:val="14"/>
                <w:szCs w:val="14"/>
                <w:color w:val="auto"/>
              </w:rPr>
              <w:t>10,707</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32"/>
              <w:spacing w:after="0"/>
              <w:rPr>
                <w:sz w:val="20"/>
                <w:szCs w:val="20"/>
                <w:color w:val="auto"/>
              </w:rPr>
            </w:pPr>
            <w:r>
              <w:rPr>
                <w:rFonts w:ascii="Arial" w:cs="Arial" w:eastAsia="Arial" w:hAnsi="Arial"/>
                <w:sz w:val="14"/>
                <w:szCs w:val="14"/>
                <w:color w:val="auto"/>
              </w:rPr>
              <w:t>—</w:t>
            </w:r>
          </w:p>
        </w:tc>
      </w:tr>
      <w:tr>
        <w:trPr>
          <w:trHeight w:val="270"/>
        </w:trPr>
        <w:tc>
          <w:tcPr>
            <w:tcW w:w="8540" w:type="dxa"/>
            <w:vAlign w:val="bottom"/>
          </w:tcPr>
          <w:p>
            <w:pPr>
              <w:ind w:left="140"/>
              <w:spacing w:after="0"/>
              <w:rPr>
                <w:sz w:val="20"/>
                <w:szCs w:val="20"/>
                <w:color w:val="auto"/>
              </w:rPr>
            </w:pPr>
            <w:r>
              <w:rPr>
                <w:rFonts w:ascii="Arial" w:cs="Arial" w:eastAsia="Arial" w:hAnsi="Arial"/>
                <w:sz w:val="14"/>
                <w:szCs w:val="14"/>
                <w:color w:val="auto"/>
              </w:rPr>
              <w:t>Net amortization of investment premium and discount</w:t>
            </w:r>
          </w:p>
        </w:tc>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(2,948)</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(237)</w:t>
            </w:r>
          </w:p>
        </w:tc>
      </w:tr>
      <w:tr>
        <w:trPr>
          <w:trHeight w:val="270"/>
        </w:trPr>
        <w:tc>
          <w:tcPr>
            <w:tcW w:w="8540" w:type="dxa"/>
            <w:vAlign w:val="bottom"/>
          </w:tcPr>
          <w:p>
            <w:pPr>
              <w:ind w:left="140"/>
              <w:spacing w:after="0"/>
              <w:rPr>
                <w:sz w:val="20"/>
                <w:szCs w:val="20"/>
                <w:color w:val="auto"/>
              </w:rPr>
            </w:pPr>
            <w:r>
              <w:rPr>
                <w:rFonts w:ascii="Arial" w:cs="Arial" w:eastAsia="Arial" w:hAnsi="Arial"/>
                <w:sz w:val="14"/>
                <w:szCs w:val="14"/>
                <w:color w:val="auto"/>
              </w:rPr>
              <w:t>Amortization of debt discount and issuance costs</w:t>
            </w:r>
          </w:p>
        </w:tc>
        <w:tc>
          <w:tcPr>
            <w:tcW w:w="320" w:type="dxa"/>
            <w:vAlign w:val="bottom"/>
          </w:tcPr>
          <w:p>
            <w:pPr>
              <w:spacing w:after="0"/>
              <w:rPr>
                <w:sz w:val="23"/>
                <w:szCs w:val="23"/>
                <w:color w:val="auto"/>
              </w:rPr>
            </w:pPr>
          </w:p>
        </w:tc>
        <w:tc>
          <w:tcPr>
            <w:tcW w:w="1060" w:type="dxa"/>
            <w:vAlign w:val="bottom"/>
          </w:tcPr>
          <w:p>
            <w:pPr>
              <w:jc w:val="right"/>
              <w:ind w:right="32"/>
              <w:spacing w:after="0"/>
              <w:rPr>
                <w:sz w:val="20"/>
                <w:szCs w:val="20"/>
                <w:color w:val="auto"/>
              </w:rPr>
            </w:pPr>
            <w:r>
              <w:rPr>
                <w:rFonts w:ascii="Arial" w:cs="Arial" w:eastAsia="Arial" w:hAnsi="Arial"/>
                <w:sz w:val="14"/>
                <w:szCs w:val="14"/>
                <w:color w:val="auto"/>
              </w:rPr>
              <w:t>11,682</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32"/>
              <w:spacing w:after="0"/>
              <w:rPr>
                <w:sz w:val="20"/>
                <w:szCs w:val="20"/>
                <w:color w:val="auto"/>
              </w:rPr>
            </w:pPr>
            <w:r>
              <w:rPr>
                <w:rFonts w:ascii="Arial" w:cs="Arial" w:eastAsia="Arial" w:hAnsi="Arial"/>
                <w:sz w:val="14"/>
                <w:szCs w:val="14"/>
                <w:color w:val="auto"/>
              </w:rPr>
              <w:t>2,695</w:t>
            </w:r>
          </w:p>
        </w:tc>
      </w:tr>
      <w:tr>
        <w:trPr>
          <w:trHeight w:val="270"/>
        </w:trPr>
        <w:tc>
          <w:tcPr>
            <w:tcW w:w="8540" w:type="dxa"/>
            <w:vAlign w:val="bottom"/>
          </w:tcPr>
          <w:p>
            <w:pPr>
              <w:ind w:left="140"/>
              <w:spacing w:after="0"/>
              <w:rPr>
                <w:sz w:val="20"/>
                <w:szCs w:val="20"/>
                <w:color w:val="auto"/>
              </w:rPr>
            </w:pPr>
            <w:r>
              <w:rPr>
                <w:rFonts w:ascii="Arial" w:cs="Arial" w:eastAsia="Arial" w:hAnsi="Arial"/>
                <w:sz w:val="14"/>
                <w:szCs w:val="14"/>
                <w:color w:val="auto"/>
              </w:rPr>
              <w:t>Stock-based compensation</w:t>
            </w:r>
          </w:p>
        </w:tc>
        <w:tc>
          <w:tcPr>
            <w:tcW w:w="320" w:type="dxa"/>
            <w:vAlign w:val="bottom"/>
          </w:tcPr>
          <w:p>
            <w:pPr>
              <w:spacing w:after="0"/>
              <w:rPr>
                <w:sz w:val="23"/>
                <w:szCs w:val="23"/>
                <w:color w:val="auto"/>
              </w:rPr>
            </w:pPr>
          </w:p>
        </w:tc>
        <w:tc>
          <w:tcPr>
            <w:tcW w:w="1060" w:type="dxa"/>
            <w:vAlign w:val="bottom"/>
          </w:tcPr>
          <w:p>
            <w:pPr>
              <w:jc w:val="right"/>
              <w:ind w:right="32"/>
              <w:spacing w:after="0"/>
              <w:rPr>
                <w:sz w:val="20"/>
                <w:szCs w:val="20"/>
                <w:color w:val="auto"/>
              </w:rPr>
            </w:pPr>
            <w:r>
              <w:rPr>
                <w:rFonts w:ascii="Arial" w:cs="Arial" w:eastAsia="Arial" w:hAnsi="Arial"/>
                <w:sz w:val="14"/>
                <w:szCs w:val="14"/>
                <w:color w:val="auto"/>
              </w:rPr>
              <w:t>129,064</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32"/>
              <w:spacing w:after="0"/>
              <w:rPr>
                <w:sz w:val="20"/>
                <w:szCs w:val="20"/>
                <w:color w:val="auto"/>
              </w:rPr>
            </w:pPr>
            <w:r>
              <w:rPr>
                <w:rFonts w:ascii="Arial" w:cs="Arial" w:eastAsia="Arial" w:hAnsi="Arial"/>
                <w:sz w:val="14"/>
                <w:szCs w:val="14"/>
                <w:color w:val="auto"/>
              </w:rPr>
              <w:t>38,546</w:t>
            </w:r>
          </w:p>
        </w:tc>
      </w:tr>
      <w:tr>
        <w:trPr>
          <w:trHeight w:val="270"/>
        </w:trPr>
        <w:tc>
          <w:tcPr>
            <w:tcW w:w="8540" w:type="dxa"/>
            <w:vAlign w:val="bottom"/>
          </w:tcPr>
          <w:p>
            <w:pPr>
              <w:ind w:left="140"/>
              <w:spacing w:after="0"/>
              <w:rPr>
                <w:sz w:val="20"/>
                <w:szCs w:val="20"/>
                <w:color w:val="auto"/>
              </w:rPr>
            </w:pPr>
            <w:r>
              <w:rPr>
                <w:rFonts w:ascii="Arial" w:cs="Arial" w:eastAsia="Arial" w:hAnsi="Arial"/>
                <w:sz w:val="14"/>
                <w:szCs w:val="14"/>
                <w:color w:val="auto"/>
              </w:rPr>
              <w:t>Amortization of deferred commissions</w:t>
            </w:r>
          </w:p>
        </w:tc>
        <w:tc>
          <w:tcPr>
            <w:tcW w:w="320" w:type="dxa"/>
            <w:vAlign w:val="bottom"/>
          </w:tcPr>
          <w:p>
            <w:pPr>
              <w:spacing w:after="0"/>
              <w:rPr>
                <w:sz w:val="23"/>
                <w:szCs w:val="23"/>
                <w:color w:val="auto"/>
              </w:rPr>
            </w:pPr>
          </w:p>
        </w:tc>
        <w:tc>
          <w:tcPr>
            <w:tcW w:w="1060" w:type="dxa"/>
            <w:vAlign w:val="bottom"/>
          </w:tcPr>
          <w:p>
            <w:pPr>
              <w:jc w:val="right"/>
              <w:ind w:right="32"/>
              <w:spacing w:after="0"/>
              <w:rPr>
                <w:sz w:val="20"/>
                <w:szCs w:val="20"/>
                <w:color w:val="auto"/>
              </w:rPr>
            </w:pPr>
            <w:r>
              <w:rPr>
                <w:rFonts w:ascii="Arial" w:cs="Arial" w:eastAsia="Arial" w:hAnsi="Arial"/>
                <w:sz w:val="14"/>
                <w:szCs w:val="14"/>
                <w:color w:val="auto"/>
              </w:rPr>
              <w:t>1,585</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32"/>
              <w:spacing w:after="0"/>
              <w:rPr>
                <w:sz w:val="20"/>
                <w:szCs w:val="20"/>
                <w:color w:val="auto"/>
              </w:rPr>
            </w:pPr>
            <w:r>
              <w:rPr>
                <w:rFonts w:ascii="Arial" w:cs="Arial" w:eastAsia="Arial" w:hAnsi="Arial"/>
                <w:sz w:val="14"/>
                <w:szCs w:val="14"/>
                <w:color w:val="auto"/>
              </w:rPr>
              <w:t>478</w:t>
            </w:r>
          </w:p>
        </w:tc>
      </w:tr>
      <w:tr>
        <w:trPr>
          <w:trHeight w:val="270"/>
        </w:trPr>
        <w:tc>
          <w:tcPr>
            <w:tcW w:w="8540" w:type="dxa"/>
            <w:vAlign w:val="bottom"/>
          </w:tcPr>
          <w:p>
            <w:pPr>
              <w:ind w:left="140"/>
              <w:spacing w:after="0"/>
              <w:rPr>
                <w:sz w:val="20"/>
                <w:szCs w:val="20"/>
                <w:color w:val="auto"/>
              </w:rPr>
            </w:pPr>
            <w:r>
              <w:rPr>
                <w:rFonts w:ascii="Arial" w:cs="Arial" w:eastAsia="Arial" w:hAnsi="Arial"/>
                <w:sz w:val="14"/>
                <w:szCs w:val="14"/>
                <w:color w:val="auto"/>
              </w:rPr>
              <w:t>Provision for doubtful accounts</w:t>
            </w:r>
          </w:p>
        </w:tc>
        <w:tc>
          <w:tcPr>
            <w:tcW w:w="320" w:type="dxa"/>
            <w:vAlign w:val="bottom"/>
          </w:tcPr>
          <w:p>
            <w:pPr>
              <w:spacing w:after="0"/>
              <w:rPr>
                <w:sz w:val="23"/>
                <w:szCs w:val="23"/>
                <w:color w:val="auto"/>
              </w:rPr>
            </w:pPr>
          </w:p>
        </w:tc>
        <w:tc>
          <w:tcPr>
            <w:tcW w:w="1060" w:type="dxa"/>
            <w:vAlign w:val="bottom"/>
          </w:tcPr>
          <w:p>
            <w:pPr>
              <w:jc w:val="right"/>
              <w:ind w:right="32"/>
              <w:spacing w:after="0"/>
              <w:rPr>
                <w:sz w:val="20"/>
                <w:szCs w:val="20"/>
                <w:color w:val="auto"/>
              </w:rPr>
            </w:pPr>
            <w:r>
              <w:rPr>
                <w:rFonts w:ascii="Arial" w:cs="Arial" w:eastAsia="Arial" w:hAnsi="Arial"/>
                <w:sz w:val="14"/>
                <w:szCs w:val="14"/>
                <w:color w:val="auto"/>
              </w:rPr>
              <w:t>697</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32"/>
              <w:spacing w:after="0"/>
              <w:rPr>
                <w:sz w:val="20"/>
                <w:szCs w:val="20"/>
                <w:color w:val="auto"/>
              </w:rPr>
            </w:pPr>
            <w:r>
              <w:rPr>
                <w:rFonts w:ascii="Arial" w:cs="Arial" w:eastAsia="Arial" w:hAnsi="Arial"/>
                <w:sz w:val="14"/>
                <w:szCs w:val="14"/>
                <w:color w:val="auto"/>
              </w:rPr>
              <w:t>1,515</w:t>
            </w:r>
          </w:p>
        </w:tc>
      </w:tr>
      <w:tr>
        <w:trPr>
          <w:trHeight w:val="270"/>
        </w:trPr>
        <w:tc>
          <w:tcPr>
            <w:tcW w:w="8540" w:type="dxa"/>
            <w:vAlign w:val="bottom"/>
          </w:tcPr>
          <w:p>
            <w:pPr>
              <w:ind w:left="140"/>
              <w:spacing w:after="0"/>
              <w:rPr>
                <w:sz w:val="20"/>
                <w:szCs w:val="20"/>
                <w:color w:val="auto"/>
              </w:rPr>
            </w:pPr>
            <w:r>
              <w:rPr>
                <w:rFonts w:ascii="Arial" w:cs="Arial" w:eastAsia="Arial" w:hAnsi="Arial"/>
                <w:sz w:val="14"/>
                <w:szCs w:val="14"/>
                <w:color w:val="auto"/>
              </w:rPr>
              <w:t>Tax benefit related to release of valuation allowance</w:t>
            </w:r>
          </w:p>
        </w:tc>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(53,502)</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32"/>
              <w:spacing w:after="0"/>
              <w:rPr>
                <w:sz w:val="20"/>
                <w:szCs w:val="20"/>
                <w:color w:val="auto"/>
              </w:rPr>
            </w:pPr>
            <w:r>
              <w:rPr>
                <w:rFonts w:ascii="Arial" w:cs="Arial" w:eastAsia="Arial" w:hAnsi="Arial"/>
                <w:sz w:val="14"/>
                <w:szCs w:val="14"/>
                <w:color w:val="auto"/>
              </w:rPr>
              <w:t>—</w:t>
            </w:r>
          </w:p>
        </w:tc>
      </w:tr>
      <w:tr>
        <w:trPr>
          <w:trHeight w:val="270"/>
        </w:trPr>
        <w:tc>
          <w:tcPr>
            <w:tcW w:w="8540" w:type="dxa"/>
            <w:vAlign w:val="bottom"/>
          </w:tcPr>
          <w:p>
            <w:pPr>
              <w:ind w:left="140"/>
              <w:spacing w:after="0"/>
              <w:rPr>
                <w:sz w:val="20"/>
                <w:szCs w:val="20"/>
                <w:color w:val="auto"/>
              </w:rPr>
            </w:pPr>
            <w:r>
              <w:rPr>
                <w:rFonts w:ascii="Arial" w:cs="Arial" w:eastAsia="Arial" w:hAnsi="Arial"/>
                <w:sz w:val="14"/>
                <w:szCs w:val="14"/>
                <w:color w:val="auto"/>
              </w:rPr>
              <w:t>Write-off of long lived assets</w:t>
            </w:r>
          </w:p>
        </w:tc>
        <w:tc>
          <w:tcPr>
            <w:tcW w:w="320" w:type="dxa"/>
            <w:vAlign w:val="bottom"/>
          </w:tcPr>
          <w:p>
            <w:pPr>
              <w:spacing w:after="0"/>
              <w:rPr>
                <w:sz w:val="23"/>
                <w:szCs w:val="23"/>
                <w:color w:val="auto"/>
              </w:rPr>
            </w:pPr>
          </w:p>
        </w:tc>
        <w:tc>
          <w:tcPr>
            <w:tcW w:w="1060" w:type="dxa"/>
            <w:vAlign w:val="bottom"/>
          </w:tcPr>
          <w:p>
            <w:pPr>
              <w:jc w:val="right"/>
              <w:ind w:right="32"/>
              <w:spacing w:after="0"/>
              <w:rPr>
                <w:sz w:val="20"/>
                <w:szCs w:val="20"/>
                <w:color w:val="auto"/>
              </w:rPr>
            </w:pPr>
            <w:r>
              <w:rPr>
                <w:rFonts w:ascii="Arial" w:cs="Arial" w:eastAsia="Arial" w:hAnsi="Arial"/>
                <w:sz w:val="14"/>
                <w:szCs w:val="14"/>
                <w:color w:val="auto"/>
              </w:rPr>
              <w:t>769</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32"/>
              <w:spacing w:after="0"/>
              <w:rPr>
                <w:sz w:val="20"/>
                <w:szCs w:val="20"/>
                <w:color w:val="auto"/>
              </w:rPr>
            </w:pPr>
            <w:r>
              <w:rPr>
                <w:rFonts w:ascii="Arial" w:cs="Arial" w:eastAsia="Arial" w:hAnsi="Arial"/>
                <w:sz w:val="14"/>
                <w:szCs w:val="14"/>
                <w:color w:val="auto"/>
              </w:rPr>
              <w:t>515</w:t>
            </w:r>
          </w:p>
        </w:tc>
      </w:tr>
      <w:tr>
        <w:trPr>
          <w:trHeight w:val="270"/>
        </w:trPr>
        <w:tc>
          <w:tcPr>
            <w:tcW w:w="8540" w:type="dxa"/>
            <w:vAlign w:val="bottom"/>
          </w:tcPr>
          <w:p>
            <w:pPr>
              <w:ind w:left="140"/>
              <w:spacing w:after="0"/>
              <w:rPr>
                <w:sz w:val="20"/>
                <w:szCs w:val="20"/>
                <w:color w:val="auto"/>
              </w:rPr>
            </w:pPr>
            <w:r>
              <w:rPr>
                <w:rFonts w:ascii="Arial" w:cs="Arial" w:eastAsia="Arial" w:hAnsi="Arial"/>
                <w:sz w:val="14"/>
                <w:szCs w:val="14"/>
                <w:color w:val="auto"/>
              </w:rPr>
              <w:t>Other tax benefit realized in the period</w:t>
            </w:r>
          </w:p>
        </w:tc>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(692)</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32"/>
              <w:spacing w:after="0"/>
              <w:rPr>
                <w:sz w:val="20"/>
                <w:szCs w:val="20"/>
                <w:color w:val="auto"/>
              </w:rPr>
            </w:pPr>
            <w:r>
              <w:rPr>
                <w:rFonts w:ascii="Arial" w:cs="Arial" w:eastAsia="Arial" w:hAnsi="Arial"/>
                <w:sz w:val="14"/>
                <w:szCs w:val="14"/>
                <w:color w:val="auto"/>
              </w:rPr>
              <w:t>—</w:t>
            </w:r>
          </w:p>
        </w:tc>
      </w:tr>
      <w:tr>
        <w:trPr>
          <w:trHeight w:val="270"/>
        </w:trPr>
        <w:tc>
          <w:tcPr>
            <w:tcW w:w="8540" w:type="dxa"/>
            <w:vAlign w:val="bottom"/>
          </w:tcPr>
          <w:p>
            <w:pPr>
              <w:ind w:left="140"/>
              <w:spacing w:after="0"/>
              <w:rPr>
                <w:sz w:val="20"/>
                <w:szCs w:val="20"/>
                <w:color w:val="auto"/>
              </w:rPr>
            </w:pPr>
            <w:r>
              <w:rPr>
                <w:rFonts w:ascii="Arial" w:cs="Arial" w:eastAsia="Arial" w:hAnsi="Arial"/>
                <w:sz w:val="14"/>
                <w:szCs w:val="14"/>
                <w:color w:val="auto"/>
              </w:rPr>
              <w:t>Changes in operating assets and liabilities:</w:t>
            </w:r>
          </w:p>
        </w:tc>
        <w:tc>
          <w:tcPr>
            <w:tcW w:w="3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70"/>
        </w:trPr>
        <w:tc>
          <w:tcPr>
            <w:tcW w:w="8540" w:type="dxa"/>
            <w:vAlign w:val="bottom"/>
          </w:tcPr>
          <w:p>
            <w:pPr>
              <w:ind w:left="340"/>
              <w:spacing w:after="0"/>
              <w:rPr>
                <w:sz w:val="20"/>
                <w:szCs w:val="20"/>
                <w:color w:val="auto"/>
              </w:rPr>
            </w:pPr>
            <w:r>
              <w:rPr>
                <w:rFonts w:ascii="Arial" w:cs="Arial" w:eastAsia="Arial" w:hAnsi="Arial"/>
                <w:sz w:val="14"/>
                <w:szCs w:val="14"/>
                <w:color w:val="auto"/>
              </w:rPr>
              <w:t>Accounts receivable</w:t>
            </w:r>
          </w:p>
        </w:tc>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(22,523)</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(26,048)</w:t>
            </w:r>
          </w:p>
        </w:tc>
      </w:tr>
      <w:tr>
        <w:trPr>
          <w:trHeight w:val="270"/>
        </w:trPr>
        <w:tc>
          <w:tcPr>
            <w:tcW w:w="8540" w:type="dxa"/>
            <w:vAlign w:val="bottom"/>
          </w:tcPr>
          <w:p>
            <w:pPr>
              <w:ind w:left="340"/>
              <w:spacing w:after="0"/>
              <w:rPr>
                <w:sz w:val="20"/>
                <w:szCs w:val="20"/>
                <w:color w:val="auto"/>
              </w:rPr>
            </w:pPr>
            <w:r>
              <w:rPr>
                <w:rFonts w:ascii="Arial" w:cs="Arial" w:eastAsia="Arial" w:hAnsi="Arial"/>
                <w:sz w:val="14"/>
                <w:szCs w:val="14"/>
                <w:color w:val="auto"/>
              </w:rPr>
              <w:t>Prepaid expenses and other current assets</w:t>
            </w:r>
          </w:p>
        </w:tc>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(15,688)</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(2,847)</w:t>
            </w:r>
          </w:p>
        </w:tc>
      </w:tr>
      <w:tr>
        <w:trPr>
          <w:trHeight w:val="270"/>
        </w:trPr>
        <w:tc>
          <w:tcPr>
            <w:tcW w:w="8540" w:type="dxa"/>
            <w:vAlign w:val="bottom"/>
          </w:tcPr>
          <w:p>
            <w:pPr>
              <w:ind w:left="340"/>
              <w:spacing w:after="0"/>
              <w:rPr>
                <w:sz w:val="20"/>
                <w:szCs w:val="20"/>
                <w:color w:val="auto"/>
              </w:rPr>
            </w:pPr>
            <w:r>
              <w:rPr>
                <w:rFonts w:ascii="Arial" w:cs="Arial" w:eastAsia="Arial" w:hAnsi="Arial"/>
                <w:sz w:val="14"/>
                <w:szCs w:val="14"/>
                <w:color w:val="auto"/>
              </w:rPr>
              <w:t>Other long-term assets</w:t>
            </w:r>
          </w:p>
        </w:tc>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(5,969)</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(1,908)</w:t>
            </w:r>
          </w:p>
        </w:tc>
      </w:tr>
      <w:tr>
        <w:trPr>
          <w:trHeight w:val="270"/>
        </w:trPr>
        <w:tc>
          <w:tcPr>
            <w:tcW w:w="8540" w:type="dxa"/>
            <w:vAlign w:val="bottom"/>
          </w:tcPr>
          <w:p>
            <w:pPr>
              <w:ind w:left="340"/>
              <w:spacing w:after="0"/>
              <w:rPr>
                <w:sz w:val="20"/>
                <w:szCs w:val="20"/>
                <w:color w:val="auto"/>
              </w:rPr>
            </w:pPr>
            <w:r>
              <w:rPr>
                <w:rFonts w:ascii="Arial" w:cs="Arial" w:eastAsia="Arial" w:hAnsi="Arial"/>
                <w:sz w:val="14"/>
                <w:szCs w:val="14"/>
                <w:color w:val="auto"/>
              </w:rPr>
              <w:t>Accounts payable</w:t>
            </w:r>
          </w:p>
        </w:tc>
        <w:tc>
          <w:tcPr>
            <w:tcW w:w="320" w:type="dxa"/>
            <w:vAlign w:val="bottom"/>
          </w:tcPr>
          <w:p>
            <w:pPr>
              <w:spacing w:after="0"/>
              <w:rPr>
                <w:sz w:val="23"/>
                <w:szCs w:val="23"/>
                <w:color w:val="auto"/>
              </w:rPr>
            </w:pPr>
          </w:p>
        </w:tc>
        <w:tc>
          <w:tcPr>
            <w:tcW w:w="1060" w:type="dxa"/>
            <w:vAlign w:val="bottom"/>
          </w:tcPr>
          <w:p>
            <w:pPr>
              <w:jc w:val="right"/>
              <w:ind w:right="32"/>
              <w:spacing w:after="0"/>
              <w:rPr>
                <w:sz w:val="20"/>
                <w:szCs w:val="20"/>
                <w:color w:val="auto"/>
              </w:rPr>
            </w:pPr>
            <w:r>
              <w:rPr>
                <w:rFonts w:ascii="Arial" w:cs="Arial" w:eastAsia="Arial" w:hAnsi="Arial"/>
                <w:sz w:val="14"/>
                <w:szCs w:val="14"/>
                <w:color w:val="auto"/>
              </w:rPr>
              <w:t>8,306</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32"/>
              <w:spacing w:after="0"/>
              <w:rPr>
                <w:sz w:val="20"/>
                <w:szCs w:val="20"/>
                <w:color w:val="auto"/>
              </w:rPr>
            </w:pPr>
            <w:r>
              <w:rPr>
                <w:rFonts w:ascii="Arial" w:cs="Arial" w:eastAsia="Arial" w:hAnsi="Arial"/>
                <w:sz w:val="14"/>
                <w:szCs w:val="14"/>
                <w:color w:val="auto"/>
              </w:rPr>
              <w:t>12,566</w:t>
            </w:r>
          </w:p>
        </w:tc>
      </w:tr>
      <w:tr>
        <w:trPr>
          <w:trHeight w:val="270"/>
        </w:trPr>
        <w:tc>
          <w:tcPr>
            <w:tcW w:w="8540" w:type="dxa"/>
            <w:vAlign w:val="bottom"/>
          </w:tcPr>
          <w:p>
            <w:pPr>
              <w:ind w:left="340"/>
              <w:spacing w:after="0"/>
              <w:rPr>
                <w:sz w:val="20"/>
                <w:szCs w:val="20"/>
                <w:color w:val="auto"/>
              </w:rPr>
            </w:pPr>
            <w:r>
              <w:rPr>
                <w:rFonts w:ascii="Arial" w:cs="Arial" w:eastAsia="Arial" w:hAnsi="Arial"/>
                <w:sz w:val="14"/>
                <w:szCs w:val="14"/>
                <w:color w:val="auto"/>
              </w:rPr>
              <w:t>Accrued expenses and other current liabilities</w:t>
            </w:r>
          </w:p>
        </w:tc>
        <w:tc>
          <w:tcPr>
            <w:tcW w:w="320" w:type="dxa"/>
            <w:vAlign w:val="bottom"/>
          </w:tcPr>
          <w:p>
            <w:pPr>
              <w:spacing w:after="0"/>
              <w:rPr>
                <w:sz w:val="23"/>
                <w:szCs w:val="23"/>
                <w:color w:val="auto"/>
              </w:rPr>
            </w:pPr>
          </w:p>
        </w:tc>
        <w:tc>
          <w:tcPr>
            <w:tcW w:w="1060" w:type="dxa"/>
            <w:vAlign w:val="bottom"/>
          </w:tcPr>
          <w:p>
            <w:pPr>
              <w:jc w:val="right"/>
              <w:ind w:right="32"/>
              <w:spacing w:after="0"/>
              <w:rPr>
                <w:sz w:val="20"/>
                <w:szCs w:val="20"/>
                <w:color w:val="auto"/>
              </w:rPr>
            </w:pPr>
            <w:r>
              <w:rPr>
                <w:rFonts w:ascii="Arial" w:cs="Arial" w:eastAsia="Arial" w:hAnsi="Arial"/>
                <w:sz w:val="14"/>
                <w:szCs w:val="14"/>
                <w:color w:val="auto"/>
              </w:rPr>
              <w:t>13,976</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32"/>
              <w:spacing w:after="0"/>
              <w:rPr>
                <w:sz w:val="20"/>
                <w:szCs w:val="20"/>
                <w:color w:val="auto"/>
              </w:rPr>
            </w:pPr>
            <w:r>
              <w:rPr>
                <w:rFonts w:ascii="Arial" w:cs="Arial" w:eastAsia="Arial" w:hAnsi="Arial"/>
                <w:sz w:val="14"/>
                <w:szCs w:val="14"/>
                <w:color w:val="auto"/>
              </w:rPr>
              <w:t>28,040</w:t>
            </w:r>
          </w:p>
        </w:tc>
      </w:tr>
      <w:tr>
        <w:trPr>
          <w:trHeight w:val="270"/>
        </w:trPr>
        <w:tc>
          <w:tcPr>
            <w:tcW w:w="8540" w:type="dxa"/>
            <w:vAlign w:val="bottom"/>
          </w:tcPr>
          <w:p>
            <w:pPr>
              <w:ind w:left="340"/>
              <w:spacing w:after="0"/>
              <w:rPr>
                <w:sz w:val="20"/>
                <w:szCs w:val="20"/>
                <w:color w:val="auto"/>
              </w:rPr>
            </w:pPr>
            <w:r>
              <w:rPr>
                <w:rFonts w:ascii="Arial" w:cs="Arial" w:eastAsia="Arial" w:hAnsi="Arial"/>
                <w:sz w:val="14"/>
                <w:szCs w:val="14"/>
                <w:color w:val="auto"/>
              </w:rPr>
              <w:t>Deferred revenue and customer deposits</w:t>
            </w:r>
          </w:p>
        </w:tc>
        <w:tc>
          <w:tcPr>
            <w:tcW w:w="320" w:type="dxa"/>
            <w:vAlign w:val="bottom"/>
          </w:tcPr>
          <w:p>
            <w:pPr>
              <w:spacing w:after="0"/>
              <w:rPr>
                <w:sz w:val="23"/>
                <w:szCs w:val="23"/>
                <w:color w:val="auto"/>
              </w:rPr>
            </w:pPr>
          </w:p>
        </w:tc>
        <w:tc>
          <w:tcPr>
            <w:tcW w:w="1060" w:type="dxa"/>
            <w:vAlign w:val="bottom"/>
          </w:tcPr>
          <w:p>
            <w:pPr>
              <w:jc w:val="right"/>
              <w:ind w:right="32"/>
              <w:spacing w:after="0"/>
              <w:rPr>
                <w:sz w:val="20"/>
                <w:szCs w:val="20"/>
                <w:color w:val="auto"/>
              </w:rPr>
            </w:pPr>
            <w:r>
              <w:rPr>
                <w:rFonts w:ascii="Arial" w:cs="Arial" w:eastAsia="Arial" w:hAnsi="Arial"/>
                <w:sz w:val="14"/>
                <w:szCs w:val="14"/>
                <w:color w:val="auto"/>
              </w:rPr>
              <w:t>1,927</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32"/>
              <w:spacing w:after="0"/>
              <w:rPr>
                <w:sz w:val="20"/>
                <w:szCs w:val="20"/>
                <w:color w:val="auto"/>
              </w:rPr>
            </w:pPr>
            <w:r>
              <w:rPr>
                <w:rFonts w:ascii="Arial" w:cs="Arial" w:eastAsia="Arial" w:hAnsi="Arial"/>
                <w:sz w:val="14"/>
                <w:szCs w:val="14"/>
                <w:color w:val="auto"/>
              </w:rPr>
              <w:t>3,300</w:t>
            </w:r>
          </w:p>
        </w:tc>
      </w:tr>
      <w:tr>
        <w:trPr>
          <w:trHeight w:val="270"/>
        </w:trPr>
        <w:tc>
          <w:tcPr>
            <w:tcW w:w="8540" w:type="dxa"/>
            <w:vAlign w:val="bottom"/>
          </w:tcPr>
          <w:p>
            <w:pPr>
              <w:ind w:left="340"/>
              <w:spacing w:after="0"/>
              <w:rPr>
                <w:sz w:val="20"/>
                <w:szCs w:val="20"/>
                <w:color w:val="auto"/>
              </w:rPr>
            </w:pPr>
            <w:r>
              <w:rPr>
                <w:rFonts w:ascii="Arial" w:cs="Arial" w:eastAsia="Arial" w:hAnsi="Arial"/>
                <w:sz w:val="14"/>
                <w:szCs w:val="14"/>
                <w:color w:val="auto"/>
              </w:rPr>
              <w:t>Operating right of use liability</w:t>
            </w:r>
          </w:p>
        </w:tc>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(9,367)</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32"/>
              <w:spacing w:after="0"/>
              <w:rPr>
                <w:sz w:val="20"/>
                <w:szCs w:val="20"/>
                <w:color w:val="auto"/>
              </w:rPr>
            </w:pPr>
            <w:r>
              <w:rPr>
                <w:rFonts w:ascii="Arial" w:cs="Arial" w:eastAsia="Arial" w:hAnsi="Arial"/>
                <w:sz w:val="14"/>
                <w:szCs w:val="14"/>
                <w:color w:val="auto"/>
              </w:rPr>
              <w:t>—</w:t>
            </w:r>
          </w:p>
        </w:tc>
      </w:tr>
      <w:tr>
        <w:trPr>
          <w:trHeight w:val="278"/>
        </w:trPr>
        <w:tc>
          <w:tcPr>
            <w:tcW w:w="8540" w:type="dxa"/>
            <w:vAlign w:val="bottom"/>
          </w:tcPr>
          <w:p>
            <w:pPr>
              <w:ind w:left="340"/>
              <w:spacing w:after="0"/>
              <w:rPr>
                <w:sz w:val="20"/>
                <w:szCs w:val="20"/>
                <w:color w:val="auto"/>
              </w:rPr>
            </w:pPr>
            <w:r>
              <w:rPr>
                <w:rFonts w:ascii="Arial" w:cs="Arial" w:eastAsia="Arial" w:hAnsi="Arial"/>
                <w:sz w:val="14"/>
                <w:szCs w:val="14"/>
                <w:color w:val="auto"/>
              </w:rPr>
              <w:t>Long-term liabilities</w:t>
            </w: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(2,371)</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(1,047)</w:t>
            </w:r>
          </w:p>
        </w:tc>
      </w:tr>
      <w:tr>
        <w:trPr>
          <w:trHeight w:val="250"/>
        </w:trPr>
        <w:tc>
          <w:tcPr>
            <w:tcW w:w="8540" w:type="dxa"/>
            <w:vAlign w:val="bottom"/>
          </w:tcPr>
          <w:p>
            <w:pPr>
              <w:ind w:left="560"/>
              <w:spacing w:after="0"/>
              <w:rPr>
                <w:sz w:val="20"/>
                <w:szCs w:val="20"/>
                <w:color w:val="auto"/>
              </w:rPr>
            </w:pPr>
            <w:r>
              <w:rPr>
                <w:rFonts w:ascii="Arial" w:cs="Arial" w:eastAsia="Arial" w:hAnsi="Arial"/>
                <w:sz w:val="14"/>
                <w:szCs w:val="14"/>
                <w:color w:val="auto"/>
              </w:rPr>
              <w:t>Net cash (used in) provided by operating activities</w:t>
            </w: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(13,819)</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19,225</w:t>
            </w:r>
          </w:p>
        </w:tc>
      </w:tr>
      <w:tr>
        <w:trPr>
          <w:trHeight w:val="391"/>
        </w:trPr>
        <w:tc>
          <w:tcPr>
            <w:tcW w:w="8540" w:type="dxa"/>
            <w:vAlign w:val="bottom"/>
          </w:tcPr>
          <w:p>
            <w:pPr>
              <w:spacing w:after="0"/>
              <w:rPr>
                <w:sz w:val="20"/>
                <w:szCs w:val="20"/>
                <w:color w:val="auto"/>
              </w:rPr>
            </w:pPr>
            <w:r>
              <w:rPr>
                <w:rFonts w:ascii="Arial" w:cs="Arial" w:eastAsia="Arial" w:hAnsi="Arial"/>
                <w:sz w:val="14"/>
                <w:szCs w:val="14"/>
                <w:color w:val="auto"/>
              </w:rPr>
              <w:t>CASH FLOWS FROM INVESTING ACTIVITIES:</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70"/>
        </w:trPr>
        <w:tc>
          <w:tcPr>
            <w:tcW w:w="8540" w:type="dxa"/>
            <w:vAlign w:val="bottom"/>
          </w:tcPr>
          <w:p>
            <w:pPr>
              <w:ind w:left="140"/>
              <w:spacing w:after="0"/>
              <w:rPr>
                <w:sz w:val="20"/>
                <w:szCs w:val="20"/>
                <w:color w:val="auto"/>
              </w:rPr>
            </w:pPr>
            <w:r>
              <w:rPr>
                <w:rFonts w:ascii="Arial" w:cs="Arial" w:eastAsia="Arial" w:hAnsi="Arial"/>
                <w:sz w:val="14"/>
                <w:szCs w:val="14"/>
                <w:color w:val="auto"/>
              </w:rPr>
              <w:t>Acquisitions, net of cash acquired</w:t>
            </w:r>
          </w:p>
        </w:tc>
        <w:tc>
          <w:tcPr>
            <w:tcW w:w="320" w:type="dxa"/>
            <w:vAlign w:val="bottom"/>
          </w:tcPr>
          <w:p>
            <w:pPr>
              <w:spacing w:after="0"/>
              <w:rPr>
                <w:sz w:val="23"/>
                <w:szCs w:val="23"/>
                <w:color w:val="auto"/>
              </w:rPr>
            </w:pPr>
          </w:p>
        </w:tc>
        <w:tc>
          <w:tcPr>
            <w:tcW w:w="1060" w:type="dxa"/>
            <w:vAlign w:val="bottom"/>
          </w:tcPr>
          <w:p>
            <w:pPr>
              <w:jc w:val="right"/>
              <w:ind w:right="32"/>
              <w:spacing w:after="0"/>
              <w:rPr>
                <w:sz w:val="20"/>
                <w:szCs w:val="20"/>
                <w:color w:val="auto"/>
              </w:rPr>
            </w:pPr>
            <w:r>
              <w:rPr>
                <w:rFonts w:ascii="Arial" w:cs="Arial" w:eastAsia="Arial" w:hAnsi="Arial"/>
                <w:sz w:val="14"/>
                <w:szCs w:val="14"/>
                <w:color w:val="auto"/>
              </w:rPr>
              <w:t>146,957</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32"/>
              <w:spacing w:after="0"/>
              <w:rPr>
                <w:sz w:val="20"/>
                <w:szCs w:val="20"/>
                <w:color w:val="auto"/>
              </w:rPr>
            </w:pPr>
            <w:r>
              <w:rPr>
                <w:rFonts w:ascii="Arial" w:cs="Arial" w:eastAsia="Arial" w:hAnsi="Arial"/>
                <w:sz w:val="14"/>
                <w:szCs w:val="14"/>
                <w:color w:val="auto"/>
              </w:rPr>
              <w:t>—</w:t>
            </w:r>
          </w:p>
        </w:tc>
      </w:tr>
      <w:tr>
        <w:trPr>
          <w:trHeight w:val="270"/>
        </w:trPr>
        <w:tc>
          <w:tcPr>
            <w:tcW w:w="8540" w:type="dxa"/>
            <w:vAlign w:val="bottom"/>
          </w:tcPr>
          <w:p>
            <w:pPr>
              <w:ind w:left="140"/>
              <w:spacing w:after="0"/>
              <w:rPr>
                <w:sz w:val="20"/>
                <w:szCs w:val="20"/>
                <w:color w:val="auto"/>
              </w:rPr>
            </w:pPr>
            <w:r>
              <w:rPr>
                <w:rFonts w:ascii="Arial" w:cs="Arial" w:eastAsia="Arial" w:hAnsi="Arial"/>
                <w:sz w:val="14"/>
                <w:szCs w:val="14"/>
                <w:color w:val="auto"/>
              </w:rPr>
              <w:t>Purchases of marketable securities and other investments</w:t>
            </w:r>
          </w:p>
        </w:tc>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(1,377,072)</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(184,364)</w:t>
            </w:r>
          </w:p>
        </w:tc>
      </w:tr>
      <w:tr>
        <w:trPr>
          <w:trHeight w:val="270"/>
        </w:trPr>
        <w:tc>
          <w:tcPr>
            <w:tcW w:w="8540" w:type="dxa"/>
            <w:vAlign w:val="bottom"/>
          </w:tcPr>
          <w:p>
            <w:pPr>
              <w:ind w:left="140"/>
              <w:spacing w:after="0"/>
              <w:rPr>
                <w:sz w:val="20"/>
                <w:szCs w:val="20"/>
                <w:color w:val="auto"/>
              </w:rPr>
            </w:pPr>
            <w:r>
              <w:rPr>
                <w:rFonts w:ascii="Arial" w:cs="Arial" w:eastAsia="Arial" w:hAnsi="Arial"/>
                <w:sz w:val="14"/>
                <w:szCs w:val="14"/>
                <w:color w:val="auto"/>
              </w:rPr>
              <w:t>Proceeds from sales and maturities of marketable securities</w:t>
            </w:r>
          </w:p>
        </w:tc>
        <w:tc>
          <w:tcPr>
            <w:tcW w:w="320" w:type="dxa"/>
            <w:vAlign w:val="bottom"/>
          </w:tcPr>
          <w:p>
            <w:pPr>
              <w:spacing w:after="0"/>
              <w:rPr>
                <w:sz w:val="23"/>
                <w:szCs w:val="23"/>
                <w:color w:val="auto"/>
              </w:rPr>
            </w:pPr>
          </w:p>
        </w:tc>
        <w:tc>
          <w:tcPr>
            <w:tcW w:w="1060" w:type="dxa"/>
            <w:vAlign w:val="bottom"/>
          </w:tcPr>
          <w:p>
            <w:pPr>
              <w:jc w:val="right"/>
              <w:ind w:right="32"/>
              <w:spacing w:after="0"/>
              <w:rPr>
                <w:sz w:val="20"/>
                <w:szCs w:val="20"/>
                <w:color w:val="auto"/>
              </w:rPr>
            </w:pPr>
            <w:r>
              <w:rPr>
                <w:rFonts w:ascii="Arial" w:cs="Arial" w:eastAsia="Arial" w:hAnsi="Arial"/>
                <w:sz w:val="14"/>
                <w:szCs w:val="14"/>
                <w:color w:val="auto"/>
              </w:rPr>
              <w:t>286,653</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32"/>
              <w:spacing w:after="0"/>
              <w:rPr>
                <w:sz w:val="20"/>
                <w:szCs w:val="20"/>
                <w:color w:val="auto"/>
              </w:rPr>
            </w:pPr>
            <w:r>
              <w:rPr>
                <w:rFonts w:ascii="Arial" w:cs="Arial" w:eastAsia="Arial" w:hAnsi="Arial"/>
                <w:sz w:val="14"/>
                <w:szCs w:val="14"/>
                <w:color w:val="auto"/>
              </w:rPr>
              <w:t>58,520</w:t>
            </w:r>
          </w:p>
        </w:tc>
      </w:tr>
      <w:tr>
        <w:trPr>
          <w:trHeight w:val="270"/>
        </w:trPr>
        <w:tc>
          <w:tcPr>
            <w:tcW w:w="8540" w:type="dxa"/>
            <w:vAlign w:val="bottom"/>
          </w:tcPr>
          <w:p>
            <w:pPr>
              <w:ind w:left="140"/>
              <w:spacing w:after="0"/>
              <w:rPr>
                <w:sz w:val="20"/>
                <w:szCs w:val="20"/>
                <w:color w:val="auto"/>
              </w:rPr>
            </w:pPr>
            <w:r>
              <w:rPr>
                <w:rFonts w:ascii="Arial" w:cs="Arial" w:eastAsia="Arial" w:hAnsi="Arial"/>
                <w:sz w:val="14"/>
                <w:szCs w:val="14"/>
                <w:color w:val="auto"/>
              </w:rPr>
              <w:t>Capitalized software development costs</w:t>
            </w:r>
          </w:p>
        </w:tc>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(10,520)</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(9,958)</w:t>
            </w:r>
          </w:p>
        </w:tc>
      </w:tr>
      <w:tr>
        <w:trPr>
          <w:trHeight w:val="278"/>
        </w:trPr>
        <w:tc>
          <w:tcPr>
            <w:tcW w:w="8540" w:type="dxa"/>
            <w:vAlign w:val="bottom"/>
          </w:tcPr>
          <w:p>
            <w:pPr>
              <w:ind w:left="140"/>
              <w:spacing w:after="0"/>
              <w:rPr>
                <w:sz w:val="20"/>
                <w:szCs w:val="20"/>
                <w:color w:val="auto"/>
              </w:rPr>
            </w:pPr>
            <w:r>
              <w:rPr>
                <w:rFonts w:ascii="Arial" w:cs="Arial" w:eastAsia="Arial" w:hAnsi="Arial"/>
                <w:sz w:val="14"/>
                <w:szCs w:val="14"/>
                <w:color w:val="auto"/>
              </w:rPr>
              <w:t>Purchases of long-lived assets</w:t>
            </w: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(7,882)</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(2,315)</w:t>
            </w:r>
          </w:p>
        </w:tc>
      </w:tr>
      <w:tr>
        <w:trPr>
          <w:trHeight w:val="250"/>
        </w:trPr>
        <w:tc>
          <w:tcPr>
            <w:tcW w:w="8540" w:type="dxa"/>
            <w:vAlign w:val="bottom"/>
          </w:tcPr>
          <w:p>
            <w:pPr>
              <w:ind w:left="340"/>
              <w:spacing w:after="0"/>
              <w:rPr>
                <w:sz w:val="20"/>
                <w:szCs w:val="20"/>
                <w:color w:val="auto"/>
              </w:rPr>
            </w:pPr>
            <w:r>
              <w:rPr>
                <w:rFonts w:ascii="Arial" w:cs="Arial" w:eastAsia="Arial" w:hAnsi="Arial"/>
                <w:sz w:val="14"/>
                <w:szCs w:val="14"/>
                <w:color w:val="auto"/>
              </w:rPr>
              <w:t>Net cash used in investing activities</w:t>
            </w: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(961,864)</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(138,117)</w:t>
            </w:r>
          </w:p>
        </w:tc>
      </w:tr>
      <w:tr>
        <w:trPr>
          <w:trHeight w:val="391"/>
        </w:trPr>
        <w:tc>
          <w:tcPr>
            <w:tcW w:w="8540" w:type="dxa"/>
            <w:vAlign w:val="bottom"/>
          </w:tcPr>
          <w:p>
            <w:pPr>
              <w:spacing w:after="0"/>
              <w:rPr>
                <w:sz w:val="20"/>
                <w:szCs w:val="20"/>
                <w:color w:val="auto"/>
              </w:rPr>
            </w:pPr>
            <w:r>
              <w:rPr>
                <w:rFonts w:ascii="Arial" w:cs="Arial" w:eastAsia="Arial" w:hAnsi="Arial"/>
                <w:sz w:val="14"/>
                <w:szCs w:val="14"/>
                <w:color w:val="auto"/>
              </w:rPr>
              <w:t>CASH FLOWS FROM FINANCING ACTIVITIES:</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70"/>
        </w:trPr>
        <w:tc>
          <w:tcPr>
            <w:tcW w:w="8540" w:type="dxa"/>
            <w:vAlign w:val="bottom"/>
          </w:tcPr>
          <w:p>
            <w:pPr>
              <w:ind w:left="140"/>
              <w:spacing w:after="0"/>
              <w:rPr>
                <w:sz w:val="20"/>
                <w:szCs w:val="20"/>
                <w:color w:val="auto"/>
              </w:rPr>
            </w:pPr>
            <w:r>
              <w:rPr>
                <w:rFonts w:ascii="Arial" w:cs="Arial" w:eastAsia="Arial" w:hAnsi="Arial"/>
                <w:sz w:val="14"/>
                <w:szCs w:val="14"/>
                <w:color w:val="auto"/>
              </w:rPr>
              <w:t>Proceeds from a public offering, net of underwriting discount</w:t>
            </w:r>
          </w:p>
        </w:tc>
        <w:tc>
          <w:tcPr>
            <w:tcW w:w="320" w:type="dxa"/>
            <w:vAlign w:val="bottom"/>
          </w:tcPr>
          <w:p>
            <w:pPr>
              <w:spacing w:after="0"/>
              <w:rPr>
                <w:sz w:val="23"/>
                <w:szCs w:val="23"/>
                <w:color w:val="auto"/>
              </w:rPr>
            </w:pPr>
          </w:p>
        </w:tc>
        <w:tc>
          <w:tcPr>
            <w:tcW w:w="1060" w:type="dxa"/>
            <w:vAlign w:val="bottom"/>
          </w:tcPr>
          <w:p>
            <w:pPr>
              <w:jc w:val="right"/>
              <w:ind w:right="32"/>
              <w:spacing w:after="0"/>
              <w:rPr>
                <w:sz w:val="20"/>
                <w:szCs w:val="20"/>
                <w:color w:val="auto"/>
              </w:rPr>
            </w:pPr>
            <w:r>
              <w:rPr>
                <w:rFonts w:ascii="Arial" w:cs="Arial" w:eastAsia="Arial" w:hAnsi="Arial"/>
                <w:sz w:val="14"/>
                <w:szCs w:val="14"/>
                <w:color w:val="auto"/>
              </w:rPr>
              <w:t>980,000</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32"/>
              <w:spacing w:after="0"/>
              <w:rPr>
                <w:sz w:val="20"/>
                <w:szCs w:val="20"/>
                <w:color w:val="auto"/>
              </w:rPr>
            </w:pPr>
            <w:r>
              <w:rPr>
                <w:rFonts w:ascii="Arial" w:cs="Arial" w:eastAsia="Arial" w:hAnsi="Arial"/>
                <w:sz w:val="14"/>
                <w:szCs w:val="14"/>
                <w:color w:val="auto"/>
              </w:rPr>
              <w:t>—</w:t>
            </w:r>
          </w:p>
        </w:tc>
      </w:tr>
      <w:tr>
        <w:trPr>
          <w:trHeight w:val="270"/>
        </w:trPr>
        <w:tc>
          <w:tcPr>
            <w:tcW w:w="8540" w:type="dxa"/>
            <w:vAlign w:val="bottom"/>
          </w:tcPr>
          <w:p>
            <w:pPr>
              <w:ind w:left="140"/>
              <w:spacing w:after="0"/>
              <w:rPr>
                <w:sz w:val="20"/>
                <w:szCs w:val="20"/>
                <w:color w:val="auto"/>
              </w:rPr>
            </w:pPr>
            <w:r>
              <w:rPr>
                <w:rFonts w:ascii="Arial" w:cs="Arial" w:eastAsia="Arial" w:hAnsi="Arial"/>
                <w:sz w:val="14"/>
                <w:szCs w:val="14"/>
                <w:color w:val="auto"/>
              </w:rPr>
              <w:t>Payments of costs related to the public offering</w:t>
            </w:r>
          </w:p>
        </w:tc>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(347)</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32"/>
              <w:spacing w:after="0"/>
              <w:rPr>
                <w:sz w:val="20"/>
                <w:szCs w:val="20"/>
                <w:color w:val="auto"/>
              </w:rPr>
            </w:pPr>
            <w:r>
              <w:rPr>
                <w:rFonts w:ascii="Arial" w:cs="Arial" w:eastAsia="Arial" w:hAnsi="Arial"/>
                <w:sz w:val="14"/>
                <w:szCs w:val="14"/>
                <w:color w:val="auto"/>
              </w:rPr>
              <w:t>—</w:t>
            </w:r>
          </w:p>
        </w:tc>
      </w:tr>
      <w:tr>
        <w:trPr>
          <w:trHeight w:val="270"/>
        </w:trPr>
        <w:tc>
          <w:tcPr>
            <w:tcW w:w="8540" w:type="dxa"/>
            <w:vAlign w:val="bottom"/>
          </w:tcPr>
          <w:p>
            <w:pPr>
              <w:ind w:left="140"/>
              <w:spacing w:after="0"/>
              <w:rPr>
                <w:sz w:val="20"/>
                <w:szCs w:val="20"/>
                <w:color w:val="auto"/>
              </w:rPr>
            </w:pPr>
            <w:r>
              <w:rPr>
                <w:rFonts w:ascii="Arial" w:cs="Arial" w:eastAsia="Arial" w:hAnsi="Arial"/>
                <w:sz w:val="14"/>
                <w:szCs w:val="14"/>
                <w:color w:val="auto"/>
              </w:rPr>
              <w:t>Proceeds from issuance of convertible senior notes</w:t>
            </w:r>
          </w:p>
        </w:tc>
        <w:tc>
          <w:tcPr>
            <w:tcW w:w="320" w:type="dxa"/>
            <w:vAlign w:val="bottom"/>
          </w:tcPr>
          <w:p>
            <w:pPr>
              <w:spacing w:after="0"/>
              <w:rPr>
                <w:sz w:val="23"/>
                <w:szCs w:val="23"/>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1040" w:type="dxa"/>
            <w:vAlign w:val="bottom"/>
          </w:tcPr>
          <w:p>
            <w:pPr>
              <w:jc w:val="right"/>
              <w:ind w:right="32"/>
              <w:spacing w:after="0"/>
              <w:rPr>
                <w:sz w:val="20"/>
                <w:szCs w:val="20"/>
                <w:color w:val="auto"/>
              </w:rPr>
            </w:pPr>
            <w:r>
              <w:rPr>
                <w:rFonts w:ascii="Arial" w:cs="Arial" w:eastAsia="Arial" w:hAnsi="Arial"/>
                <w:sz w:val="14"/>
                <w:szCs w:val="14"/>
                <w:color w:val="auto"/>
              </w:rPr>
              <w:t>550,000</w:t>
            </w:r>
          </w:p>
        </w:tc>
      </w:tr>
      <w:tr>
        <w:trPr>
          <w:trHeight w:val="270"/>
        </w:trPr>
        <w:tc>
          <w:tcPr>
            <w:tcW w:w="8540" w:type="dxa"/>
            <w:vAlign w:val="bottom"/>
          </w:tcPr>
          <w:p>
            <w:pPr>
              <w:ind w:left="140"/>
              <w:spacing w:after="0"/>
              <w:rPr>
                <w:sz w:val="20"/>
                <w:szCs w:val="20"/>
                <w:color w:val="auto"/>
              </w:rPr>
            </w:pPr>
            <w:r>
              <w:rPr>
                <w:rFonts w:ascii="Arial" w:cs="Arial" w:eastAsia="Arial" w:hAnsi="Arial"/>
                <w:sz w:val="14"/>
                <w:szCs w:val="14"/>
                <w:color w:val="auto"/>
              </w:rPr>
              <w:t>Payment of debt issuance costs</w:t>
            </w:r>
          </w:p>
        </w:tc>
        <w:tc>
          <w:tcPr>
            <w:tcW w:w="320" w:type="dxa"/>
            <w:vAlign w:val="bottom"/>
          </w:tcPr>
          <w:p>
            <w:pPr>
              <w:spacing w:after="0"/>
              <w:rPr>
                <w:sz w:val="23"/>
                <w:szCs w:val="23"/>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(12,513)</w:t>
            </w:r>
          </w:p>
        </w:tc>
      </w:tr>
      <w:tr>
        <w:trPr>
          <w:trHeight w:val="270"/>
        </w:trPr>
        <w:tc>
          <w:tcPr>
            <w:tcW w:w="8540" w:type="dxa"/>
            <w:vAlign w:val="bottom"/>
          </w:tcPr>
          <w:p>
            <w:pPr>
              <w:ind w:left="140"/>
              <w:spacing w:after="0"/>
              <w:rPr>
                <w:sz w:val="20"/>
                <w:szCs w:val="20"/>
                <w:color w:val="auto"/>
              </w:rPr>
            </w:pPr>
            <w:r>
              <w:rPr>
                <w:rFonts w:ascii="Arial" w:cs="Arial" w:eastAsia="Arial" w:hAnsi="Arial"/>
                <w:sz w:val="14"/>
                <w:szCs w:val="14"/>
                <w:color w:val="auto"/>
              </w:rPr>
              <w:t>Purchase of capped call</w:t>
            </w:r>
          </w:p>
        </w:tc>
        <w:tc>
          <w:tcPr>
            <w:tcW w:w="320" w:type="dxa"/>
            <w:vAlign w:val="bottom"/>
          </w:tcPr>
          <w:p>
            <w:pPr>
              <w:spacing w:after="0"/>
              <w:rPr>
                <w:sz w:val="23"/>
                <w:szCs w:val="23"/>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(58,465)</w:t>
            </w:r>
          </w:p>
        </w:tc>
      </w:tr>
      <w:tr>
        <w:trPr>
          <w:trHeight w:val="270"/>
        </w:trPr>
        <w:tc>
          <w:tcPr>
            <w:tcW w:w="8540" w:type="dxa"/>
            <w:vAlign w:val="bottom"/>
          </w:tcPr>
          <w:p>
            <w:pPr>
              <w:ind w:left="140"/>
              <w:spacing w:after="0"/>
              <w:rPr>
                <w:sz w:val="20"/>
                <w:szCs w:val="20"/>
                <w:color w:val="auto"/>
              </w:rPr>
            </w:pPr>
            <w:r>
              <w:rPr>
                <w:rFonts w:ascii="Arial" w:cs="Arial" w:eastAsia="Arial" w:hAnsi="Arial"/>
                <w:sz w:val="14"/>
                <w:szCs w:val="14"/>
                <w:color w:val="auto"/>
              </w:rPr>
              <w:t>Principal payments on notes payable</w:t>
            </w:r>
          </w:p>
        </w:tc>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(997)</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32"/>
              <w:spacing w:after="0"/>
              <w:rPr>
                <w:sz w:val="20"/>
                <w:szCs w:val="20"/>
                <w:color w:val="auto"/>
              </w:rPr>
            </w:pPr>
            <w:r>
              <w:rPr>
                <w:rFonts w:ascii="Arial" w:cs="Arial" w:eastAsia="Arial" w:hAnsi="Arial"/>
                <w:sz w:val="14"/>
                <w:szCs w:val="14"/>
                <w:color w:val="auto"/>
              </w:rPr>
              <w:t>—</w:t>
            </w:r>
          </w:p>
        </w:tc>
      </w:tr>
      <w:tr>
        <w:trPr>
          <w:trHeight w:val="270"/>
        </w:trPr>
        <w:tc>
          <w:tcPr>
            <w:tcW w:w="8540" w:type="dxa"/>
            <w:vAlign w:val="bottom"/>
          </w:tcPr>
          <w:p>
            <w:pPr>
              <w:ind w:left="140"/>
              <w:spacing w:after="0"/>
              <w:rPr>
                <w:sz w:val="20"/>
                <w:szCs w:val="20"/>
                <w:color w:val="auto"/>
              </w:rPr>
            </w:pPr>
            <w:r>
              <w:rPr>
                <w:rFonts w:ascii="Arial" w:cs="Arial" w:eastAsia="Arial" w:hAnsi="Arial"/>
                <w:sz w:val="14"/>
                <w:szCs w:val="14"/>
                <w:color w:val="auto"/>
              </w:rPr>
              <w:t>Principal payments on financing leases</w:t>
            </w:r>
          </w:p>
        </w:tc>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(2,463)</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32"/>
              <w:spacing w:after="0"/>
              <w:rPr>
                <w:sz w:val="20"/>
                <w:szCs w:val="20"/>
                <w:color w:val="auto"/>
              </w:rPr>
            </w:pPr>
            <w:r>
              <w:rPr>
                <w:rFonts w:ascii="Arial" w:cs="Arial" w:eastAsia="Arial" w:hAnsi="Arial"/>
                <w:sz w:val="14"/>
                <w:szCs w:val="14"/>
                <w:color w:val="auto"/>
              </w:rPr>
              <w:t>—</w:t>
            </w:r>
          </w:p>
        </w:tc>
      </w:tr>
      <w:tr>
        <w:trPr>
          <w:trHeight w:val="270"/>
        </w:trPr>
        <w:tc>
          <w:tcPr>
            <w:tcW w:w="8540" w:type="dxa"/>
            <w:vAlign w:val="bottom"/>
          </w:tcPr>
          <w:p>
            <w:pPr>
              <w:ind w:left="140"/>
              <w:spacing w:after="0"/>
              <w:rPr>
                <w:sz w:val="20"/>
                <w:szCs w:val="20"/>
                <w:color w:val="auto"/>
              </w:rPr>
            </w:pPr>
            <w:r>
              <w:rPr>
                <w:rFonts w:ascii="Arial" w:cs="Arial" w:eastAsia="Arial" w:hAnsi="Arial"/>
                <w:sz w:val="14"/>
                <w:szCs w:val="14"/>
                <w:color w:val="auto"/>
              </w:rPr>
              <w:t>Proceeds from exercises of stock options</w:t>
            </w:r>
          </w:p>
        </w:tc>
        <w:tc>
          <w:tcPr>
            <w:tcW w:w="320" w:type="dxa"/>
            <w:vAlign w:val="bottom"/>
          </w:tcPr>
          <w:p>
            <w:pPr>
              <w:spacing w:after="0"/>
              <w:rPr>
                <w:sz w:val="23"/>
                <w:szCs w:val="23"/>
                <w:color w:val="auto"/>
              </w:rPr>
            </w:pPr>
          </w:p>
        </w:tc>
        <w:tc>
          <w:tcPr>
            <w:tcW w:w="1060" w:type="dxa"/>
            <w:vAlign w:val="bottom"/>
          </w:tcPr>
          <w:p>
            <w:pPr>
              <w:jc w:val="right"/>
              <w:ind w:right="32"/>
              <w:spacing w:after="0"/>
              <w:rPr>
                <w:sz w:val="20"/>
                <w:szCs w:val="20"/>
                <w:color w:val="auto"/>
              </w:rPr>
            </w:pPr>
            <w:r>
              <w:rPr>
                <w:rFonts w:ascii="Arial" w:cs="Arial" w:eastAsia="Arial" w:hAnsi="Arial"/>
                <w:sz w:val="14"/>
                <w:szCs w:val="14"/>
                <w:color w:val="auto"/>
              </w:rPr>
              <w:t>25,255</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32"/>
              <w:spacing w:after="0"/>
              <w:rPr>
                <w:sz w:val="20"/>
                <w:szCs w:val="20"/>
                <w:color w:val="auto"/>
              </w:rPr>
            </w:pPr>
            <w:r>
              <w:rPr>
                <w:rFonts w:ascii="Arial" w:cs="Arial" w:eastAsia="Arial" w:hAnsi="Arial"/>
                <w:sz w:val="14"/>
                <w:szCs w:val="14"/>
                <w:color w:val="auto"/>
              </w:rPr>
              <w:t>13,715</w:t>
            </w:r>
          </w:p>
        </w:tc>
      </w:tr>
      <w:tr>
        <w:trPr>
          <w:trHeight w:val="270"/>
        </w:trPr>
        <w:tc>
          <w:tcPr>
            <w:tcW w:w="8540" w:type="dxa"/>
            <w:vAlign w:val="bottom"/>
          </w:tcPr>
          <w:p>
            <w:pPr>
              <w:ind w:left="140"/>
              <w:spacing w:after="0"/>
              <w:rPr>
                <w:sz w:val="20"/>
                <w:szCs w:val="20"/>
                <w:color w:val="auto"/>
              </w:rPr>
            </w:pPr>
            <w:r>
              <w:rPr>
                <w:rFonts w:ascii="Arial" w:cs="Arial" w:eastAsia="Arial" w:hAnsi="Arial"/>
                <w:sz w:val="14"/>
                <w:szCs w:val="14"/>
                <w:color w:val="auto"/>
              </w:rPr>
              <w:t>Proceeds from shares issued under ESPP</w:t>
            </w:r>
          </w:p>
        </w:tc>
        <w:tc>
          <w:tcPr>
            <w:tcW w:w="320" w:type="dxa"/>
            <w:vAlign w:val="bottom"/>
          </w:tcPr>
          <w:p>
            <w:pPr>
              <w:spacing w:after="0"/>
              <w:rPr>
                <w:sz w:val="23"/>
                <w:szCs w:val="23"/>
                <w:color w:val="auto"/>
              </w:rPr>
            </w:pPr>
          </w:p>
        </w:tc>
        <w:tc>
          <w:tcPr>
            <w:tcW w:w="1060" w:type="dxa"/>
            <w:vAlign w:val="bottom"/>
          </w:tcPr>
          <w:p>
            <w:pPr>
              <w:jc w:val="right"/>
              <w:ind w:right="32"/>
              <w:spacing w:after="0"/>
              <w:rPr>
                <w:sz w:val="20"/>
                <w:szCs w:val="20"/>
                <w:color w:val="auto"/>
              </w:rPr>
            </w:pPr>
            <w:r>
              <w:rPr>
                <w:rFonts w:ascii="Arial" w:cs="Arial" w:eastAsia="Arial" w:hAnsi="Arial"/>
                <w:sz w:val="14"/>
                <w:szCs w:val="14"/>
                <w:color w:val="auto"/>
              </w:rPr>
              <w:t>8,254</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32"/>
              <w:spacing w:after="0"/>
              <w:rPr>
                <w:sz w:val="20"/>
                <w:szCs w:val="20"/>
                <w:color w:val="auto"/>
              </w:rPr>
            </w:pPr>
            <w:r>
              <w:rPr>
                <w:rFonts w:ascii="Arial" w:cs="Arial" w:eastAsia="Arial" w:hAnsi="Arial"/>
                <w:sz w:val="14"/>
                <w:szCs w:val="14"/>
                <w:color w:val="auto"/>
              </w:rPr>
              <w:t>4,474</w:t>
            </w:r>
          </w:p>
        </w:tc>
      </w:tr>
      <w:tr>
        <w:trPr>
          <w:trHeight w:val="278"/>
        </w:trPr>
        <w:tc>
          <w:tcPr>
            <w:tcW w:w="8540" w:type="dxa"/>
            <w:vAlign w:val="bottom"/>
          </w:tcPr>
          <w:p>
            <w:pPr>
              <w:ind w:left="140"/>
              <w:spacing w:after="0"/>
              <w:rPr>
                <w:sz w:val="20"/>
                <w:szCs w:val="20"/>
                <w:color w:val="auto"/>
              </w:rPr>
            </w:pPr>
            <w:r>
              <w:rPr>
                <w:rFonts w:ascii="Arial" w:cs="Arial" w:eastAsia="Arial" w:hAnsi="Arial"/>
                <w:sz w:val="14"/>
                <w:szCs w:val="14"/>
                <w:color w:val="auto"/>
              </w:rPr>
              <w:t>Value of equity awards withheld for tax liabilities</w:t>
            </w: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(2,580)</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(910)</w:t>
            </w:r>
          </w:p>
        </w:tc>
      </w:tr>
      <w:tr>
        <w:trPr>
          <w:trHeight w:val="250"/>
        </w:trPr>
        <w:tc>
          <w:tcPr>
            <w:tcW w:w="8540" w:type="dxa"/>
            <w:vAlign w:val="bottom"/>
          </w:tcPr>
          <w:p>
            <w:pPr>
              <w:ind w:left="340"/>
              <w:spacing w:after="0"/>
              <w:rPr>
                <w:sz w:val="20"/>
                <w:szCs w:val="20"/>
                <w:color w:val="auto"/>
              </w:rPr>
            </w:pPr>
            <w:r>
              <w:rPr>
                <w:rFonts w:ascii="Arial" w:cs="Arial" w:eastAsia="Arial" w:hAnsi="Arial"/>
                <w:sz w:val="14"/>
                <w:szCs w:val="14"/>
                <w:color w:val="auto"/>
              </w:rPr>
              <w:t>Net cash provided by financing activities</w:t>
            </w: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1,007,122</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496,301</w:t>
            </w:r>
          </w:p>
        </w:tc>
      </w:tr>
      <w:tr>
        <w:trPr>
          <w:trHeight w:val="391"/>
        </w:trPr>
        <w:tc>
          <w:tcPr>
            <w:tcW w:w="8540" w:type="dxa"/>
            <w:vAlign w:val="bottom"/>
          </w:tcPr>
          <w:p>
            <w:pPr>
              <w:ind w:left="140"/>
              <w:spacing w:after="0"/>
              <w:rPr>
                <w:sz w:val="20"/>
                <w:szCs w:val="20"/>
                <w:color w:val="auto"/>
              </w:rPr>
            </w:pPr>
            <w:r>
              <w:rPr>
                <w:rFonts w:ascii="Arial" w:cs="Arial" w:eastAsia="Arial" w:hAnsi="Arial"/>
                <w:sz w:val="14"/>
                <w:szCs w:val="14"/>
                <w:color w:val="auto"/>
              </w:rPr>
              <w:t>Effect of exchange rate changes on cash, cash equivalents and restricted cash</w:t>
            </w:r>
          </w:p>
        </w:tc>
        <w:tc>
          <w:tcPr>
            <w:tcW w:w="320" w:type="dxa"/>
            <w:vAlign w:val="bottom"/>
          </w:tcPr>
          <w:p>
            <w:pPr>
              <w:spacing w:after="0"/>
              <w:rPr>
                <w:sz w:val="24"/>
                <w:szCs w:val="24"/>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4"/>
                <w:szCs w:val="24"/>
                <w:color w:val="auto"/>
              </w:rPr>
            </w:pPr>
          </w:p>
        </w:tc>
        <w:tc>
          <w:tcPr>
            <w:tcW w:w="1040" w:type="dxa"/>
            <w:vAlign w:val="bottom"/>
          </w:tcPr>
          <w:p>
            <w:pPr>
              <w:jc w:val="right"/>
              <w:ind w:right="32"/>
              <w:spacing w:after="0"/>
              <w:rPr>
                <w:sz w:val="20"/>
                <w:szCs w:val="20"/>
                <w:color w:val="auto"/>
              </w:rPr>
            </w:pPr>
            <w:r>
              <w:rPr>
                <w:rFonts w:ascii="Arial" w:cs="Arial" w:eastAsia="Arial" w:hAnsi="Arial"/>
                <w:sz w:val="14"/>
                <w:szCs w:val="14"/>
                <w:color w:val="auto"/>
              </w:rPr>
              <w:t>818</w:t>
            </w:r>
          </w:p>
        </w:tc>
      </w:tr>
      <w:tr>
        <w:trPr>
          <w:trHeight w:val="405"/>
        </w:trPr>
        <w:tc>
          <w:tcPr>
            <w:tcW w:w="8540" w:type="dxa"/>
            <w:vAlign w:val="bottom"/>
          </w:tcPr>
          <w:p>
            <w:pPr>
              <w:spacing w:after="0"/>
              <w:rPr>
                <w:sz w:val="20"/>
                <w:szCs w:val="20"/>
                <w:color w:val="auto"/>
              </w:rPr>
            </w:pPr>
            <w:r>
              <w:rPr>
                <w:rFonts w:ascii="Arial" w:cs="Arial" w:eastAsia="Arial" w:hAnsi="Arial"/>
                <w:sz w:val="14"/>
                <w:szCs w:val="14"/>
                <w:color w:val="auto"/>
              </w:rPr>
              <w:t>NET INCREASE IN CASH, CASH EQUIVALENTS AND RESTRICTED CASH</w:t>
            </w:r>
          </w:p>
        </w:tc>
        <w:tc>
          <w:tcPr>
            <w:tcW w:w="320" w:type="dxa"/>
            <w:vAlign w:val="bottom"/>
          </w:tcPr>
          <w:p>
            <w:pPr>
              <w:spacing w:after="0"/>
              <w:rPr>
                <w:sz w:val="24"/>
                <w:szCs w:val="24"/>
                <w:color w:val="auto"/>
              </w:rPr>
            </w:pPr>
          </w:p>
        </w:tc>
        <w:tc>
          <w:tcPr>
            <w:tcW w:w="1060" w:type="dxa"/>
            <w:vAlign w:val="bottom"/>
          </w:tcPr>
          <w:p>
            <w:pPr>
              <w:jc w:val="right"/>
              <w:ind w:right="32"/>
              <w:spacing w:after="0"/>
              <w:rPr>
                <w:sz w:val="20"/>
                <w:szCs w:val="20"/>
                <w:color w:val="auto"/>
              </w:rPr>
            </w:pPr>
            <w:r>
              <w:rPr>
                <w:rFonts w:ascii="Arial" w:cs="Arial" w:eastAsia="Arial" w:hAnsi="Arial"/>
                <w:sz w:val="14"/>
                <w:szCs w:val="14"/>
                <w:color w:val="auto"/>
              </w:rPr>
              <w:t>31,439</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ind w:right="32"/>
              <w:spacing w:after="0"/>
              <w:rPr>
                <w:sz w:val="20"/>
                <w:szCs w:val="20"/>
                <w:color w:val="auto"/>
              </w:rPr>
            </w:pPr>
            <w:r>
              <w:rPr>
                <w:rFonts w:ascii="Arial" w:cs="Arial" w:eastAsia="Arial" w:hAnsi="Arial"/>
                <w:sz w:val="14"/>
                <w:szCs w:val="14"/>
                <w:color w:val="auto"/>
              </w:rPr>
              <w:t>378,227</w:t>
            </w:r>
          </w:p>
        </w:tc>
      </w:tr>
      <w:tr>
        <w:trPr>
          <w:trHeight w:val="278"/>
        </w:trPr>
        <w:tc>
          <w:tcPr>
            <w:tcW w:w="8540" w:type="dxa"/>
            <w:vAlign w:val="bottom"/>
          </w:tcPr>
          <w:p>
            <w:pPr>
              <w:spacing w:after="0"/>
              <w:rPr>
                <w:sz w:val="20"/>
                <w:szCs w:val="20"/>
                <w:color w:val="auto"/>
              </w:rPr>
            </w:pPr>
            <w:r>
              <w:rPr>
                <w:rFonts w:ascii="Arial" w:cs="Arial" w:eastAsia="Arial" w:hAnsi="Arial"/>
                <w:sz w:val="14"/>
                <w:szCs w:val="14"/>
                <w:color w:val="auto"/>
              </w:rPr>
              <w:t>CASH, CASH EQUIVALENTS AND RESTRICTED CASH—Beginning of period</w:t>
            </w: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505,334</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120,788</w:t>
            </w:r>
          </w:p>
        </w:tc>
      </w:tr>
      <w:tr>
        <w:trPr>
          <w:trHeight w:val="243"/>
        </w:trPr>
        <w:tc>
          <w:tcPr>
            <w:tcW w:w="8540" w:type="dxa"/>
            <w:vAlign w:val="bottom"/>
          </w:tcPr>
          <w:p>
            <w:pPr>
              <w:spacing w:after="0"/>
              <w:rPr>
                <w:sz w:val="20"/>
                <w:szCs w:val="20"/>
                <w:color w:val="auto"/>
              </w:rPr>
            </w:pPr>
            <w:r>
              <w:rPr>
                <w:rFonts w:ascii="Arial" w:cs="Arial" w:eastAsia="Arial" w:hAnsi="Arial"/>
                <w:sz w:val="14"/>
                <w:szCs w:val="14"/>
                <w:color w:val="auto"/>
              </w:rPr>
              <w:t>CASH, CASH EQUIVALENTS AND RESTRICTED CASH —End of period</w:t>
            </w:r>
          </w:p>
        </w:tc>
        <w:tc>
          <w:tcPr>
            <w:tcW w:w="32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536,773</w:t>
            </w:r>
          </w:p>
        </w:tc>
        <w:tc>
          <w:tcPr>
            <w:tcW w:w="100" w:type="dxa"/>
            <w:vAlign w:val="bottom"/>
          </w:tcPr>
          <w:p>
            <w:pPr>
              <w:spacing w:after="0"/>
              <w:rPr>
                <w:sz w:val="21"/>
                <w:szCs w:val="21"/>
                <w:color w:val="auto"/>
              </w:rPr>
            </w:pPr>
          </w:p>
        </w:tc>
        <w:tc>
          <w:tcPr>
            <w:tcW w:w="32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499,015</w:t>
            </w:r>
          </w:p>
        </w:tc>
      </w:tr>
      <w:tr>
        <w:trPr>
          <w:trHeight w:val="20"/>
        </w:trPr>
        <w:tc>
          <w:tcPr>
            <w:tcW w:w="85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85" w:right="239" w:bottom="489" w:gutter="0" w:footer="0" w:header="0"/>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585" w:right="239" w:bottom="489" w:gutter="0" w:footer="0" w:header="0"/>
          <w:type w:val="continuous"/>
        </w:sectPr>
      </w:pPr>
    </w:p>
    <w:bookmarkStart w:id="10" w:name="page11"/>
    <w:bookmarkEnd w:id="10"/>
    <w:p>
      <w:pPr>
        <w:spacing w:after="0"/>
        <w:rPr>
          <w:sz w:val="20"/>
          <w:szCs w:val="20"/>
          <w:color w:val="auto"/>
        </w:rPr>
      </w:pPr>
      <w:r>
        <w:rPr>
          <w:rFonts w:ascii="Arial" w:cs="Arial" w:eastAsia="Arial" w:hAnsi="Arial"/>
          <w:sz w:val="16"/>
          <w:szCs w:val="16"/>
          <w:b w:val="1"/>
          <w:bCs w:val="1"/>
          <w:color w:val="auto"/>
        </w:rPr>
        <w:t>TWILIO INC.</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Reconciliation to Non-GAAP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26733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673350" cy="889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auto"/>
        </w:rPr>
        <w:t>(In thousands, except shares, per share amounts and percentages)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(Unaudited)</w:t>
      </w:r>
    </w:p>
    <w:p>
      <w:pPr>
        <w:spacing w:after="0" w:line="149" w:lineRule="exact"/>
        <w:rPr>
          <w:sz w:val="20"/>
          <w:szCs w:val="20"/>
          <w:color w:val="auto"/>
        </w:rPr>
      </w:pPr>
    </w:p>
    <w:p>
      <w:pPr>
        <w:jc w:val="center"/>
        <w:ind w:left="6700"/>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p>
      <w:pPr>
        <w:jc w:val="center"/>
        <w:ind w:left="6700"/>
        <w:spacing w:after="0"/>
        <w:rPr>
          <w:sz w:val="20"/>
          <w:szCs w:val="20"/>
          <w:color w:val="auto"/>
        </w:rPr>
      </w:pPr>
      <w:r>
        <w:rPr>
          <w:rFonts w:ascii="Arial" w:cs="Arial" w:eastAsia="Arial" w:hAnsi="Arial"/>
          <w:sz w:val="16"/>
          <w:szCs w:val="16"/>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4241800</wp:posOffset>
            </wp:positionH>
            <wp:positionV relativeFrom="paragraph">
              <wp:posOffset>33020</wp:posOffset>
            </wp:positionV>
            <wp:extent cx="30099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009900" cy="8890"/>
                    </a:xfrm>
                    <a:prstGeom prst="rect">
                      <a:avLst/>
                    </a:prstGeom>
                    <a:noFill/>
                  </pic:spPr>
                </pic:pic>
              </a:graphicData>
            </a:graphic>
          </wp:anchor>
        </w:drawing>
      </w:r>
    </w:p>
    <w:p>
      <w:pPr>
        <w:spacing w:after="0" w:line="72"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6640" w:type="dxa"/>
            <w:vAlign w:val="bottom"/>
          </w:tcPr>
          <w:p>
            <w:pPr>
              <w:spacing w:after="0"/>
              <w:rPr>
                <w:sz w:val="18"/>
                <w:szCs w:val="18"/>
                <w:color w:val="auto"/>
              </w:rPr>
            </w:pPr>
          </w:p>
        </w:tc>
        <w:tc>
          <w:tcPr>
            <w:tcW w:w="1460" w:type="dxa"/>
            <w:vAlign w:val="bottom"/>
          </w:tcPr>
          <w:p>
            <w:pPr>
              <w:jc w:val="right"/>
              <w:ind w:right="59"/>
              <w:spacing w:after="0"/>
              <w:rPr>
                <w:sz w:val="20"/>
                <w:szCs w:val="20"/>
                <w:color w:val="auto"/>
              </w:rPr>
            </w:pPr>
            <w:r>
              <w:rPr>
                <w:rFonts w:ascii="Arial" w:cs="Arial" w:eastAsia="Arial" w:hAnsi="Arial"/>
                <w:sz w:val="16"/>
                <w:szCs w:val="16"/>
                <w:b w:val="1"/>
                <w:bCs w:val="1"/>
                <w:color w:val="auto"/>
              </w:rPr>
              <w:t>2019</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60" w:type="dxa"/>
            <w:vAlign w:val="bottom"/>
          </w:tcPr>
          <w:p>
            <w:pPr>
              <w:jc w:val="right"/>
              <w:ind w:right="919"/>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33"/>
        </w:trPr>
        <w:tc>
          <w:tcPr>
            <w:tcW w:w="6640" w:type="dxa"/>
            <w:vAlign w:val="bottom"/>
            <w:vMerge w:val="restart"/>
          </w:tcPr>
          <w:p>
            <w:pPr>
              <w:spacing w:after="0"/>
              <w:rPr>
                <w:sz w:val="20"/>
                <w:szCs w:val="20"/>
                <w:color w:val="auto"/>
              </w:rPr>
            </w:pPr>
            <w:r>
              <w:rPr>
                <w:rFonts w:ascii="Arial" w:cs="Arial" w:eastAsia="Arial" w:hAnsi="Arial"/>
                <w:sz w:val="16"/>
                <w:szCs w:val="16"/>
                <w:b w:val="1"/>
                <w:bCs w:val="1"/>
                <w:color w:val="auto"/>
              </w:rPr>
              <w:t>Gross profit</w:t>
            </w:r>
          </w:p>
        </w:tc>
        <w:tc>
          <w:tcPr>
            <w:tcW w:w="14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640" w:type="dxa"/>
            <w:vAlign w:val="bottom"/>
            <w:vMerge w:val="continue"/>
          </w:tcPr>
          <w:p>
            <w:pPr>
              <w:spacing w:after="0"/>
              <w:rPr>
                <w:sz w:val="18"/>
                <w:szCs w:val="18"/>
                <w:color w:val="auto"/>
              </w:rPr>
            </w:pPr>
          </w:p>
        </w:tc>
        <w:tc>
          <w:tcPr>
            <w:tcW w:w="1460" w:type="dxa"/>
            <w:vAlign w:val="bottom"/>
          </w:tcPr>
          <w:p>
            <w:pPr>
              <w:jc w:val="right"/>
              <w:ind w:right="127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150,015</w:t>
            </w:r>
          </w:p>
        </w:tc>
        <w:tc>
          <w:tcPr>
            <w:tcW w:w="120" w:type="dxa"/>
            <w:vAlign w:val="bottom"/>
          </w:tcPr>
          <w:p>
            <w:pPr>
              <w:spacing w:after="0"/>
              <w:rPr>
                <w:sz w:val="18"/>
                <w:szCs w:val="18"/>
                <w:color w:val="auto"/>
              </w:rPr>
            </w:pPr>
          </w:p>
        </w:tc>
        <w:tc>
          <w:tcPr>
            <w:tcW w:w="560" w:type="dxa"/>
            <w:vAlign w:val="bottom"/>
          </w:tcPr>
          <w:p>
            <w:pPr>
              <w:jc w:val="right"/>
              <w:ind w:right="379"/>
              <w:spacing w:after="0"/>
              <w:rPr>
                <w:sz w:val="20"/>
                <w:szCs w:val="20"/>
                <w:color w:val="auto"/>
              </w:rPr>
            </w:pPr>
            <w:r>
              <w:rPr>
                <w:rFonts w:ascii="Arial" w:cs="Arial" w:eastAsia="Arial" w:hAnsi="Arial"/>
                <w:sz w:val="16"/>
                <w:szCs w:val="16"/>
                <w:color w:val="auto"/>
                <w:w w:val="89"/>
              </w:rPr>
              <w:t>$</w:t>
            </w:r>
          </w:p>
        </w:tc>
        <w:tc>
          <w:tcPr>
            <w:tcW w:w="1760" w:type="dxa"/>
            <w:vAlign w:val="bottom"/>
          </w:tcPr>
          <w:p>
            <w:pPr>
              <w:jc w:val="right"/>
              <w:ind w:right="79"/>
              <w:spacing w:after="0"/>
              <w:rPr>
                <w:sz w:val="20"/>
                <w:szCs w:val="20"/>
                <w:color w:val="auto"/>
              </w:rPr>
            </w:pPr>
            <w:r>
              <w:rPr>
                <w:rFonts w:ascii="Arial" w:cs="Arial" w:eastAsia="Arial" w:hAnsi="Arial"/>
                <w:sz w:val="16"/>
                <w:szCs w:val="16"/>
                <w:color w:val="auto"/>
              </w:rPr>
              <w:t>79,814</w:t>
            </w:r>
          </w:p>
        </w:tc>
        <w:tc>
          <w:tcPr>
            <w:tcW w:w="0" w:type="dxa"/>
            <w:vAlign w:val="bottom"/>
          </w:tcPr>
          <w:p>
            <w:pPr>
              <w:spacing w:after="0"/>
              <w:rPr>
                <w:sz w:val="1"/>
                <w:szCs w:val="1"/>
                <w:color w:val="auto"/>
              </w:rPr>
            </w:pPr>
          </w:p>
        </w:tc>
      </w:tr>
      <w:tr>
        <w:trPr>
          <w:trHeight w:val="270"/>
        </w:trPr>
        <w:tc>
          <w:tcPr>
            <w:tcW w:w="6640" w:type="dxa"/>
            <w:vAlign w:val="bottom"/>
          </w:tcPr>
          <w:p>
            <w:pPr>
              <w:jc w:val="center"/>
              <w:ind w:right="4659"/>
              <w:spacing w:after="0"/>
              <w:rPr>
                <w:sz w:val="20"/>
                <w:szCs w:val="20"/>
                <w:color w:val="auto"/>
              </w:rPr>
            </w:pPr>
            <w:r>
              <w:rPr>
                <w:rFonts w:ascii="Arial" w:cs="Arial" w:eastAsia="Arial" w:hAnsi="Arial"/>
                <w:sz w:val="16"/>
                <w:szCs w:val="16"/>
                <w:color w:val="auto"/>
                <w:w w:val="92"/>
              </w:rPr>
              <w:t>Non-GAAP adjustments:</w:t>
            </w:r>
          </w:p>
        </w:tc>
        <w:tc>
          <w:tcPr>
            <w:tcW w:w="14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640" w:type="dxa"/>
            <w:vAlign w:val="bottom"/>
          </w:tcPr>
          <w:p>
            <w:pPr>
              <w:ind w:left="240"/>
              <w:spacing w:after="0"/>
              <w:rPr>
                <w:sz w:val="20"/>
                <w:szCs w:val="20"/>
                <w:color w:val="auto"/>
              </w:rPr>
            </w:pPr>
            <w:r>
              <w:rPr>
                <w:rFonts w:ascii="Arial" w:cs="Arial" w:eastAsia="Arial" w:hAnsi="Arial"/>
                <w:sz w:val="16"/>
                <w:szCs w:val="16"/>
                <w:color w:val="auto"/>
              </w:rPr>
              <w:t>Stock-based compensation</w:t>
            </w:r>
          </w:p>
        </w:tc>
        <w:tc>
          <w:tcPr>
            <w:tcW w:w="1460" w:type="dxa"/>
            <w:vAlign w:val="bottom"/>
          </w:tcPr>
          <w:p>
            <w:pPr>
              <w:spacing w:after="0"/>
              <w:rPr>
                <w:sz w:val="23"/>
                <w:szCs w:val="23"/>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1,623</w:t>
            </w: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760" w:type="dxa"/>
            <w:vAlign w:val="bottom"/>
          </w:tcPr>
          <w:p>
            <w:pPr>
              <w:jc w:val="right"/>
              <w:ind w:right="79"/>
              <w:spacing w:after="0"/>
              <w:rPr>
                <w:sz w:val="20"/>
                <w:szCs w:val="20"/>
                <w:color w:val="auto"/>
              </w:rPr>
            </w:pPr>
            <w:r>
              <w:rPr>
                <w:rFonts w:ascii="Arial" w:cs="Arial" w:eastAsia="Arial" w:hAnsi="Arial"/>
                <w:sz w:val="16"/>
                <w:szCs w:val="16"/>
                <w:color w:val="auto"/>
              </w:rPr>
              <w:t>266</w:t>
            </w:r>
          </w:p>
        </w:tc>
        <w:tc>
          <w:tcPr>
            <w:tcW w:w="0" w:type="dxa"/>
            <w:vAlign w:val="bottom"/>
          </w:tcPr>
          <w:p>
            <w:pPr>
              <w:spacing w:after="0"/>
              <w:rPr>
                <w:sz w:val="1"/>
                <w:szCs w:val="1"/>
                <w:color w:val="auto"/>
              </w:rPr>
            </w:pPr>
          </w:p>
        </w:tc>
      </w:tr>
      <w:tr>
        <w:trPr>
          <w:trHeight w:val="270"/>
        </w:trPr>
        <w:tc>
          <w:tcPr>
            <w:tcW w:w="6640" w:type="dxa"/>
            <w:vAlign w:val="bottom"/>
          </w:tcPr>
          <w:p>
            <w:pPr>
              <w:ind w:left="240"/>
              <w:spacing w:after="0"/>
              <w:rPr>
                <w:sz w:val="20"/>
                <w:szCs w:val="20"/>
                <w:color w:val="auto"/>
              </w:rPr>
            </w:pPr>
            <w:r>
              <w:rPr>
                <w:rFonts w:ascii="Arial" w:cs="Arial" w:eastAsia="Arial" w:hAnsi="Arial"/>
                <w:sz w:val="16"/>
                <w:szCs w:val="16"/>
                <w:color w:val="auto"/>
              </w:rPr>
              <w:t>Amortization of acquired intangibles</w:t>
            </w:r>
          </w:p>
        </w:tc>
        <w:tc>
          <w:tcPr>
            <w:tcW w:w="1460" w:type="dxa"/>
            <w:vAlign w:val="bottom"/>
          </w:tcPr>
          <w:p>
            <w:pPr>
              <w:spacing w:after="0"/>
              <w:rPr>
                <w:sz w:val="23"/>
                <w:szCs w:val="23"/>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11,857</w:t>
            </w: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760" w:type="dxa"/>
            <w:vAlign w:val="bottom"/>
          </w:tcPr>
          <w:p>
            <w:pPr>
              <w:jc w:val="right"/>
              <w:ind w:right="79"/>
              <w:spacing w:after="0"/>
              <w:rPr>
                <w:sz w:val="20"/>
                <w:szCs w:val="20"/>
                <w:color w:val="auto"/>
              </w:rPr>
            </w:pPr>
            <w:r>
              <w:rPr>
                <w:rFonts w:ascii="Arial" w:cs="Arial" w:eastAsia="Arial" w:hAnsi="Arial"/>
                <w:sz w:val="16"/>
                <w:szCs w:val="16"/>
                <w:color w:val="auto"/>
              </w:rPr>
              <w:t>1,125</w:t>
            </w:r>
          </w:p>
        </w:tc>
        <w:tc>
          <w:tcPr>
            <w:tcW w:w="0" w:type="dxa"/>
            <w:vAlign w:val="bottom"/>
          </w:tcPr>
          <w:p>
            <w:pPr>
              <w:spacing w:after="0"/>
              <w:rPr>
                <w:sz w:val="1"/>
                <w:szCs w:val="1"/>
                <w:color w:val="auto"/>
              </w:rPr>
            </w:pPr>
          </w:p>
        </w:tc>
      </w:tr>
      <w:tr>
        <w:trPr>
          <w:trHeight w:val="270"/>
        </w:trPr>
        <w:tc>
          <w:tcPr>
            <w:tcW w:w="6640" w:type="dxa"/>
            <w:vAlign w:val="bottom"/>
          </w:tcPr>
          <w:p>
            <w:pPr>
              <w:ind w:left="240"/>
              <w:spacing w:after="0"/>
              <w:rPr>
                <w:sz w:val="20"/>
                <w:szCs w:val="20"/>
                <w:color w:val="auto"/>
              </w:rPr>
            </w:pPr>
            <w:r>
              <w:rPr>
                <w:rFonts w:ascii="Arial" w:cs="Arial" w:eastAsia="Arial" w:hAnsi="Arial"/>
                <w:sz w:val="16"/>
                <w:szCs w:val="16"/>
                <w:color w:val="auto"/>
              </w:rPr>
              <w:t>Payroll taxes related to stock-based compensation</w:t>
            </w:r>
          </w:p>
        </w:tc>
        <w:tc>
          <w:tcPr>
            <w:tcW w:w="1460" w:type="dxa"/>
            <w:vAlign w:val="bottom"/>
          </w:tcPr>
          <w:p>
            <w:pPr>
              <w:spacing w:after="0"/>
              <w:rPr>
                <w:sz w:val="23"/>
                <w:szCs w:val="23"/>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58</w:t>
            </w: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7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664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640" w:type="dxa"/>
            <w:vAlign w:val="bottom"/>
          </w:tcPr>
          <w:p>
            <w:pPr>
              <w:ind w:left="400"/>
              <w:spacing w:after="0"/>
              <w:rPr>
                <w:sz w:val="20"/>
                <w:szCs w:val="20"/>
                <w:color w:val="auto"/>
              </w:rPr>
            </w:pPr>
            <w:r>
              <w:rPr>
                <w:rFonts w:ascii="Arial" w:cs="Arial" w:eastAsia="Arial" w:hAnsi="Arial"/>
                <w:sz w:val="16"/>
                <w:szCs w:val="16"/>
                <w:color w:val="auto"/>
              </w:rPr>
              <w:t>Non-GAAP gross profit</w:t>
            </w:r>
          </w:p>
        </w:tc>
        <w:tc>
          <w:tcPr>
            <w:tcW w:w="1460" w:type="dxa"/>
            <w:vAlign w:val="bottom"/>
            <w:tcBorders>
              <w:bottom w:val="single" w:sz="8" w:color="auto"/>
            </w:tcBorders>
          </w:tcPr>
          <w:p>
            <w:pPr>
              <w:jc w:val="right"/>
              <w:ind w:right="127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163,553</w:t>
            </w:r>
          </w:p>
        </w:tc>
        <w:tc>
          <w:tcPr>
            <w:tcW w:w="120" w:type="dxa"/>
            <w:vAlign w:val="bottom"/>
          </w:tcPr>
          <w:p>
            <w:pPr>
              <w:spacing w:after="0"/>
              <w:rPr>
                <w:sz w:val="21"/>
                <w:szCs w:val="21"/>
                <w:color w:val="auto"/>
              </w:rPr>
            </w:pPr>
          </w:p>
        </w:tc>
        <w:tc>
          <w:tcPr>
            <w:tcW w:w="5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w w:val="89"/>
              </w:rPr>
              <w:t>$</w:t>
            </w:r>
          </w:p>
        </w:tc>
        <w:tc>
          <w:tcPr>
            <w:tcW w:w="17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81,205</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640" w:type="dxa"/>
            <w:vAlign w:val="bottom"/>
          </w:tcPr>
          <w:p>
            <w:pPr>
              <w:ind w:left="400"/>
              <w:spacing w:after="0"/>
              <w:rPr>
                <w:sz w:val="20"/>
                <w:szCs w:val="20"/>
                <w:color w:val="auto"/>
              </w:rPr>
            </w:pPr>
            <w:r>
              <w:rPr>
                <w:rFonts w:ascii="Arial" w:cs="Arial" w:eastAsia="Arial" w:hAnsi="Arial"/>
                <w:sz w:val="16"/>
                <w:szCs w:val="16"/>
                <w:color w:val="auto"/>
              </w:rPr>
              <w:t>Non-GAAP gross margin</w:t>
            </w:r>
          </w:p>
        </w:tc>
        <w:tc>
          <w:tcPr>
            <w:tcW w:w="14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59%</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554"/>
        </w:trPr>
        <w:tc>
          <w:tcPr>
            <w:tcW w:w="6640" w:type="dxa"/>
            <w:vAlign w:val="bottom"/>
          </w:tcPr>
          <w:p>
            <w:pPr>
              <w:jc w:val="center"/>
              <w:ind w:right="4699"/>
              <w:spacing w:after="0"/>
              <w:rPr>
                <w:sz w:val="20"/>
                <w:szCs w:val="20"/>
                <w:color w:val="auto"/>
              </w:rPr>
            </w:pPr>
            <w:r>
              <w:rPr>
                <w:rFonts w:ascii="Arial" w:cs="Arial" w:eastAsia="Arial" w:hAnsi="Arial"/>
                <w:sz w:val="16"/>
                <w:szCs w:val="16"/>
                <w:b w:val="1"/>
                <w:bCs w:val="1"/>
                <w:color w:val="auto"/>
                <w:w w:val="89"/>
              </w:rPr>
              <w:t>Research and development</w:t>
            </w:r>
          </w:p>
        </w:tc>
        <w:tc>
          <w:tcPr>
            <w:tcW w:w="1460" w:type="dxa"/>
            <w:vAlign w:val="bottom"/>
          </w:tcPr>
          <w:p>
            <w:pPr>
              <w:jc w:val="right"/>
              <w:ind w:right="127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98,783</w:t>
            </w:r>
          </w:p>
        </w:tc>
        <w:tc>
          <w:tcPr>
            <w:tcW w:w="120" w:type="dxa"/>
            <w:vAlign w:val="bottom"/>
          </w:tcPr>
          <w:p>
            <w:pPr>
              <w:spacing w:after="0"/>
              <w:rPr>
                <w:sz w:val="24"/>
                <w:szCs w:val="24"/>
                <w:color w:val="auto"/>
              </w:rPr>
            </w:pPr>
          </w:p>
        </w:tc>
        <w:tc>
          <w:tcPr>
            <w:tcW w:w="560" w:type="dxa"/>
            <w:vAlign w:val="bottom"/>
          </w:tcPr>
          <w:p>
            <w:pPr>
              <w:jc w:val="right"/>
              <w:ind w:right="379"/>
              <w:spacing w:after="0"/>
              <w:rPr>
                <w:sz w:val="20"/>
                <w:szCs w:val="20"/>
                <w:color w:val="auto"/>
              </w:rPr>
            </w:pPr>
            <w:r>
              <w:rPr>
                <w:rFonts w:ascii="Arial" w:cs="Arial" w:eastAsia="Arial" w:hAnsi="Arial"/>
                <w:sz w:val="16"/>
                <w:szCs w:val="16"/>
                <w:color w:val="auto"/>
                <w:w w:val="89"/>
              </w:rPr>
              <w:t>$</w:t>
            </w:r>
          </w:p>
        </w:tc>
        <w:tc>
          <w:tcPr>
            <w:tcW w:w="1760" w:type="dxa"/>
            <w:vAlign w:val="bottom"/>
          </w:tcPr>
          <w:p>
            <w:pPr>
              <w:jc w:val="right"/>
              <w:ind w:right="79"/>
              <w:spacing w:after="0"/>
              <w:rPr>
                <w:sz w:val="20"/>
                <w:szCs w:val="20"/>
                <w:color w:val="auto"/>
              </w:rPr>
            </w:pPr>
            <w:r>
              <w:rPr>
                <w:rFonts w:ascii="Arial" w:cs="Arial" w:eastAsia="Arial" w:hAnsi="Arial"/>
                <w:sz w:val="16"/>
                <w:szCs w:val="16"/>
                <w:color w:val="auto"/>
              </w:rPr>
              <w:t>39,811</w:t>
            </w:r>
          </w:p>
        </w:tc>
        <w:tc>
          <w:tcPr>
            <w:tcW w:w="0" w:type="dxa"/>
            <w:vAlign w:val="bottom"/>
          </w:tcPr>
          <w:p>
            <w:pPr>
              <w:spacing w:after="0"/>
              <w:rPr>
                <w:sz w:val="1"/>
                <w:szCs w:val="1"/>
                <w:color w:val="auto"/>
              </w:rPr>
            </w:pPr>
          </w:p>
        </w:tc>
      </w:tr>
      <w:tr>
        <w:trPr>
          <w:trHeight w:val="270"/>
        </w:trPr>
        <w:tc>
          <w:tcPr>
            <w:tcW w:w="6640" w:type="dxa"/>
            <w:vAlign w:val="bottom"/>
          </w:tcPr>
          <w:p>
            <w:pPr>
              <w:jc w:val="center"/>
              <w:ind w:right="4659"/>
              <w:spacing w:after="0"/>
              <w:rPr>
                <w:sz w:val="20"/>
                <w:szCs w:val="20"/>
                <w:color w:val="auto"/>
              </w:rPr>
            </w:pPr>
            <w:r>
              <w:rPr>
                <w:rFonts w:ascii="Arial" w:cs="Arial" w:eastAsia="Arial" w:hAnsi="Arial"/>
                <w:sz w:val="16"/>
                <w:szCs w:val="16"/>
                <w:color w:val="auto"/>
                <w:w w:val="92"/>
              </w:rPr>
              <w:t>Non-GAAP adjustments:</w:t>
            </w:r>
          </w:p>
        </w:tc>
        <w:tc>
          <w:tcPr>
            <w:tcW w:w="14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640" w:type="dxa"/>
            <w:vAlign w:val="bottom"/>
          </w:tcPr>
          <w:p>
            <w:pPr>
              <w:ind w:left="240"/>
              <w:spacing w:after="0"/>
              <w:rPr>
                <w:sz w:val="20"/>
                <w:szCs w:val="20"/>
                <w:color w:val="auto"/>
              </w:rPr>
            </w:pPr>
            <w:r>
              <w:rPr>
                <w:rFonts w:ascii="Arial" w:cs="Arial" w:eastAsia="Arial" w:hAnsi="Arial"/>
                <w:sz w:val="16"/>
                <w:szCs w:val="16"/>
                <w:color w:val="auto"/>
              </w:rPr>
              <w:t>Stock-based compensation</w:t>
            </w:r>
          </w:p>
        </w:tc>
        <w:tc>
          <w:tcPr>
            <w:tcW w:w="146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(33,701)</w:t>
            </w: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(9,749)</w:t>
            </w:r>
          </w:p>
        </w:tc>
        <w:tc>
          <w:tcPr>
            <w:tcW w:w="0" w:type="dxa"/>
            <w:vAlign w:val="bottom"/>
          </w:tcPr>
          <w:p>
            <w:pPr>
              <w:spacing w:after="0"/>
              <w:rPr>
                <w:sz w:val="1"/>
                <w:szCs w:val="1"/>
                <w:color w:val="auto"/>
              </w:rPr>
            </w:pPr>
          </w:p>
        </w:tc>
      </w:tr>
      <w:tr>
        <w:trPr>
          <w:trHeight w:val="270"/>
        </w:trPr>
        <w:tc>
          <w:tcPr>
            <w:tcW w:w="6640" w:type="dxa"/>
            <w:vAlign w:val="bottom"/>
          </w:tcPr>
          <w:p>
            <w:pPr>
              <w:ind w:left="240"/>
              <w:spacing w:after="0"/>
              <w:rPr>
                <w:sz w:val="20"/>
                <w:szCs w:val="20"/>
                <w:color w:val="auto"/>
              </w:rPr>
            </w:pPr>
            <w:r>
              <w:rPr>
                <w:rFonts w:ascii="Arial" w:cs="Arial" w:eastAsia="Arial" w:hAnsi="Arial"/>
                <w:sz w:val="16"/>
                <w:szCs w:val="16"/>
                <w:color w:val="auto"/>
              </w:rPr>
              <w:t>Payroll taxes related to stock-based compensation</w:t>
            </w:r>
          </w:p>
        </w:tc>
        <w:tc>
          <w:tcPr>
            <w:tcW w:w="146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(2,186)</w:t>
            </w: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(1,215)</w:t>
            </w:r>
          </w:p>
        </w:tc>
        <w:tc>
          <w:tcPr>
            <w:tcW w:w="0" w:type="dxa"/>
            <w:vAlign w:val="bottom"/>
          </w:tcPr>
          <w:p>
            <w:pPr>
              <w:spacing w:after="0"/>
              <w:rPr>
                <w:sz w:val="1"/>
                <w:szCs w:val="1"/>
                <w:color w:val="auto"/>
              </w:rPr>
            </w:pPr>
          </w:p>
        </w:tc>
      </w:tr>
      <w:tr>
        <w:trPr>
          <w:trHeight w:val="33"/>
        </w:trPr>
        <w:tc>
          <w:tcPr>
            <w:tcW w:w="664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640" w:type="dxa"/>
            <w:vAlign w:val="bottom"/>
          </w:tcPr>
          <w:p>
            <w:pPr>
              <w:ind w:left="340"/>
              <w:spacing w:after="0"/>
              <w:rPr>
                <w:sz w:val="20"/>
                <w:szCs w:val="20"/>
                <w:color w:val="auto"/>
              </w:rPr>
            </w:pPr>
            <w:r>
              <w:rPr>
                <w:rFonts w:ascii="Arial" w:cs="Arial" w:eastAsia="Arial" w:hAnsi="Arial"/>
                <w:sz w:val="16"/>
                <w:szCs w:val="16"/>
                <w:color w:val="auto"/>
              </w:rPr>
              <w:t>Non-GAAP research and development</w:t>
            </w:r>
          </w:p>
        </w:tc>
        <w:tc>
          <w:tcPr>
            <w:tcW w:w="1460" w:type="dxa"/>
            <w:vAlign w:val="bottom"/>
            <w:tcBorders>
              <w:bottom w:val="single" w:sz="8" w:color="auto"/>
            </w:tcBorders>
          </w:tcPr>
          <w:p>
            <w:pPr>
              <w:jc w:val="right"/>
              <w:ind w:right="127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62,896</w:t>
            </w:r>
          </w:p>
        </w:tc>
        <w:tc>
          <w:tcPr>
            <w:tcW w:w="120" w:type="dxa"/>
            <w:vAlign w:val="bottom"/>
          </w:tcPr>
          <w:p>
            <w:pPr>
              <w:spacing w:after="0"/>
              <w:rPr>
                <w:sz w:val="21"/>
                <w:szCs w:val="21"/>
                <w:color w:val="auto"/>
              </w:rPr>
            </w:pPr>
          </w:p>
        </w:tc>
        <w:tc>
          <w:tcPr>
            <w:tcW w:w="5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w w:val="89"/>
              </w:rPr>
              <w:t>$</w:t>
            </w:r>
          </w:p>
        </w:tc>
        <w:tc>
          <w:tcPr>
            <w:tcW w:w="17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28,847</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640" w:type="dxa"/>
            <w:vAlign w:val="bottom"/>
          </w:tcPr>
          <w:p>
            <w:pPr>
              <w:ind w:left="340"/>
              <w:spacing w:after="0"/>
              <w:rPr>
                <w:sz w:val="20"/>
                <w:szCs w:val="20"/>
                <w:color w:val="auto"/>
              </w:rPr>
            </w:pPr>
            <w:r>
              <w:rPr>
                <w:rFonts w:ascii="Arial" w:cs="Arial" w:eastAsia="Arial" w:hAnsi="Arial"/>
                <w:sz w:val="16"/>
                <w:szCs w:val="16"/>
                <w:color w:val="auto"/>
              </w:rPr>
              <w:t>Non-GAAP research and development as a % of revenue</w:t>
            </w:r>
          </w:p>
        </w:tc>
        <w:tc>
          <w:tcPr>
            <w:tcW w:w="14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594"/>
        </w:trPr>
        <w:tc>
          <w:tcPr>
            <w:tcW w:w="6640" w:type="dxa"/>
            <w:vAlign w:val="bottom"/>
          </w:tcPr>
          <w:p>
            <w:pPr>
              <w:spacing w:after="0"/>
              <w:rPr>
                <w:sz w:val="20"/>
                <w:szCs w:val="20"/>
                <w:color w:val="auto"/>
              </w:rPr>
            </w:pPr>
            <w:r>
              <w:rPr>
                <w:rFonts w:ascii="Arial" w:cs="Arial" w:eastAsia="Arial" w:hAnsi="Arial"/>
                <w:sz w:val="16"/>
                <w:szCs w:val="16"/>
                <w:b w:val="1"/>
                <w:bCs w:val="1"/>
                <w:color w:val="auto"/>
              </w:rPr>
              <w:t>Sales and marketing</w:t>
            </w:r>
          </w:p>
        </w:tc>
        <w:tc>
          <w:tcPr>
            <w:tcW w:w="1460" w:type="dxa"/>
            <w:vAlign w:val="bottom"/>
          </w:tcPr>
          <w:p>
            <w:pPr>
              <w:jc w:val="right"/>
              <w:ind w:right="127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90,421</w:t>
            </w:r>
          </w:p>
        </w:tc>
        <w:tc>
          <w:tcPr>
            <w:tcW w:w="120" w:type="dxa"/>
            <w:vAlign w:val="bottom"/>
          </w:tcPr>
          <w:p>
            <w:pPr>
              <w:spacing w:after="0"/>
              <w:rPr>
                <w:sz w:val="24"/>
                <w:szCs w:val="24"/>
                <w:color w:val="auto"/>
              </w:rPr>
            </w:pPr>
          </w:p>
        </w:tc>
        <w:tc>
          <w:tcPr>
            <w:tcW w:w="560" w:type="dxa"/>
            <w:vAlign w:val="bottom"/>
          </w:tcPr>
          <w:p>
            <w:pPr>
              <w:jc w:val="right"/>
              <w:ind w:right="379"/>
              <w:spacing w:after="0"/>
              <w:rPr>
                <w:sz w:val="20"/>
                <w:szCs w:val="20"/>
                <w:color w:val="auto"/>
              </w:rPr>
            </w:pPr>
            <w:r>
              <w:rPr>
                <w:rFonts w:ascii="Arial" w:cs="Arial" w:eastAsia="Arial" w:hAnsi="Arial"/>
                <w:sz w:val="16"/>
                <w:szCs w:val="16"/>
                <w:color w:val="auto"/>
                <w:w w:val="89"/>
              </w:rPr>
              <w:t>$</w:t>
            </w:r>
          </w:p>
        </w:tc>
        <w:tc>
          <w:tcPr>
            <w:tcW w:w="1760" w:type="dxa"/>
            <w:vAlign w:val="bottom"/>
          </w:tcPr>
          <w:p>
            <w:pPr>
              <w:jc w:val="right"/>
              <w:ind w:right="79"/>
              <w:spacing w:after="0"/>
              <w:rPr>
                <w:sz w:val="20"/>
                <w:szCs w:val="20"/>
                <w:color w:val="auto"/>
              </w:rPr>
            </w:pPr>
            <w:r>
              <w:rPr>
                <w:rFonts w:ascii="Arial" w:cs="Arial" w:eastAsia="Arial" w:hAnsi="Arial"/>
                <w:sz w:val="16"/>
                <w:szCs w:val="16"/>
                <w:color w:val="auto"/>
              </w:rPr>
              <w:t>37,749</w:t>
            </w:r>
          </w:p>
        </w:tc>
        <w:tc>
          <w:tcPr>
            <w:tcW w:w="0" w:type="dxa"/>
            <w:vAlign w:val="bottom"/>
          </w:tcPr>
          <w:p>
            <w:pPr>
              <w:spacing w:after="0"/>
              <w:rPr>
                <w:sz w:val="1"/>
                <w:szCs w:val="1"/>
                <w:color w:val="auto"/>
              </w:rPr>
            </w:pPr>
          </w:p>
        </w:tc>
      </w:tr>
      <w:tr>
        <w:trPr>
          <w:trHeight w:val="270"/>
        </w:trPr>
        <w:tc>
          <w:tcPr>
            <w:tcW w:w="6640" w:type="dxa"/>
            <w:vAlign w:val="bottom"/>
          </w:tcPr>
          <w:p>
            <w:pPr>
              <w:jc w:val="center"/>
              <w:ind w:right="4659"/>
              <w:spacing w:after="0"/>
              <w:rPr>
                <w:sz w:val="20"/>
                <w:szCs w:val="20"/>
                <w:color w:val="auto"/>
              </w:rPr>
            </w:pPr>
            <w:r>
              <w:rPr>
                <w:rFonts w:ascii="Arial" w:cs="Arial" w:eastAsia="Arial" w:hAnsi="Arial"/>
                <w:sz w:val="16"/>
                <w:szCs w:val="16"/>
                <w:color w:val="auto"/>
                <w:w w:val="92"/>
              </w:rPr>
              <w:t>Non-GAAP adjustments:</w:t>
            </w:r>
          </w:p>
        </w:tc>
        <w:tc>
          <w:tcPr>
            <w:tcW w:w="14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640" w:type="dxa"/>
            <w:vAlign w:val="bottom"/>
          </w:tcPr>
          <w:p>
            <w:pPr>
              <w:ind w:left="240"/>
              <w:spacing w:after="0"/>
              <w:rPr>
                <w:sz w:val="20"/>
                <w:szCs w:val="20"/>
                <w:color w:val="auto"/>
              </w:rPr>
            </w:pPr>
            <w:r>
              <w:rPr>
                <w:rFonts w:ascii="Arial" w:cs="Arial" w:eastAsia="Arial" w:hAnsi="Arial"/>
                <w:sz w:val="16"/>
                <w:szCs w:val="16"/>
                <w:color w:val="auto"/>
              </w:rPr>
              <w:t>Stock-based compensation</w:t>
            </w:r>
          </w:p>
        </w:tc>
        <w:tc>
          <w:tcPr>
            <w:tcW w:w="146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(14,564)</w:t>
            </w: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(5,049)</w:t>
            </w:r>
          </w:p>
        </w:tc>
        <w:tc>
          <w:tcPr>
            <w:tcW w:w="0" w:type="dxa"/>
            <w:vAlign w:val="bottom"/>
          </w:tcPr>
          <w:p>
            <w:pPr>
              <w:spacing w:after="0"/>
              <w:rPr>
                <w:sz w:val="1"/>
                <w:szCs w:val="1"/>
                <w:color w:val="auto"/>
              </w:rPr>
            </w:pPr>
          </w:p>
        </w:tc>
      </w:tr>
      <w:tr>
        <w:trPr>
          <w:trHeight w:val="270"/>
        </w:trPr>
        <w:tc>
          <w:tcPr>
            <w:tcW w:w="6640" w:type="dxa"/>
            <w:vAlign w:val="bottom"/>
          </w:tcPr>
          <w:p>
            <w:pPr>
              <w:ind w:left="240"/>
              <w:spacing w:after="0"/>
              <w:rPr>
                <w:sz w:val="20"/>
                <w:szCs w:val="20"/>
                <w:color w:val="auto"/>
              </w:rPr>
            </w:pPr>
            <w:r>
              <w:rPr>
                <w:rFonts w:ascii="Arial" w:cs="Arial" w:eastAsia="Arial" w:hAnsi="Arial"/>
                <w:sz w:val="16"/>
                <w:szCs w:val="16"/>
                <w:color w:val="auto"/>
              </w:rPr>
              <w:t>Amortization of acquired intangibles</w:t>
            </w:r>
          </w:p>
        </w:tc>
        <w:tc>
          <w:tcPr>
            <w:tcW w:w="146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(7,329)</w:t>
            </w: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(206)</w:t>
            </w:r>
          </w:p>
        </w:tc>
        <w:tc>
          <w:tcPr>
            <w:tcW w:w="0" w:type="dxa"/>
            <w:vAlign w:val="bottom"/>
          </w:tcPr>
          <w:p>
            <w:pPr>
              <w:spacing w:after="0"/>
              <w:rPr>
                <w:sz w:val="1"/>
                <w:szCs w:val="1"/>
                <w:color w:val="auto"/>
              </w:rPr>
            </w:pPr>
          </w:p>
        </w:tc>
      </w:tr>
      <w:tr>
        <w:trPr>
          <w:trHeight w:val="270"/>
        </w:trPr>
        <w:tc>
          <w:tcPr>
            <w:tcW w:w="6640" w:type="dxa"/>
            <w:vAlign w:val="bottom"/>
          </w:tcPr>
          <w:p>
            <w:pPr>
              <w:ind w:left="240"/>
              <w:spacing w:after="0"/>
              <w:rPr>
                <w:sz w:val="20"/>
                <w:szCs w:val="20"/>
                <w:color w:val="auto"/>
              </w:rPr>
            </w:pPr>
            <w:r>
              <w:rPr>
                <w:rFonts w:ascii="Arial" w:cs="Arial" w:eastAsia="Arial" w:hAnsi="Arial"/>
                <w:sz w:val="16"/>
                <w:szCs w:val="16"/>
                <w:color w:val="auto"/>
              </w:rPr>
              <w:t>Payroll taxes related to stock-based compensation</w:t>
            </w:r>
          </w:p>
        </w:tc>
        <w:tc>
          <w:tcPr>
            <w:tcW w:w="146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(990)</w:t>
            </w: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(349)</w:t>
            </w:r>
          </w:p>
        </w:tc>
        <w:tc>
          <w:tcPr>
            <w:tcW w:w="0" w:type="dxa"/>
            <w:vAlign w:val="bottom"/>
          </w:tcPr>
          <w:p>
            <w:pPr>
              <w:spacing w:after="0"/>
              <w:rPr>
                <w:sz w:val="1"/>
                <w:szCs w:val="1"/>
                <w:color w:val="auto"/>
              </w:rPr>
            </w:pPr>
          </w:p>
        </w:tc>
      </w:tr>
      <w:tr>
        <w:trPr>
          <w:trHeight w:val="33"/>
        </w:trPr>
        <w:tc>
          <w:tcPr>
            <w:tcW w:w="664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640" w:type="dxa"/>
            <w:vAlign w:val="bottom"/>
          </w:tcPr>
          <w:p>
            <w:pPr>
              <w:ind w:left="340"/>
              <w:spacing w:after="0"/>
              <w:rPr>
                <w:sz w:val="20"/>
                <w:szCs w:val="20"/>
                <w:color w:val="auto"/>
              </w:rPr>
            </w:pPr>
            <w:r>
              <w:rPr>
                <w:rFonts w:ascii="Arial" w:cs="Arial" w:eastAsia="Arial" w:hAnsi="Arial"/>
                <w:sz w:val="16"/>
                <w:szCs w:val="16"/>
                <w:color w:val="auto"/>
              </w:rPr>
              <w:t>Non-GAAP sales and marketing</w:t>
            </w:r>
          </w:p>
        </w:tc>
        <w:tc>
          <w:tcPr>
            <w:tcW w:w="1460" w:type="dxa"/>
            <w:vAlign w:val="bottom"/>
            <w:tcBorders>
              <w:bottom w:val="single" w:sz="8" w:color="auto"/>
            </w:tcBorders>
          </w:tcPr>
          <w:p>
            <w:pPr>
              <w:jc w:val="right"/>
              <w:ind w:right="127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67,538</w:t>
            </w:r>
          </w:p>
        </w:tc>
        <w:tc>
          <w:tcPr>
            <w:tcW w:w="120" w:type="dxa"/>
            <w:vAlign w:val="bottom"/>
          </w:tcPr>
          <w:p>
            <w:pPr>
              <w:spacing w:after="0"/>
              <w:rPr>
                <w:sz w:val="21"/>
                <w:szCs w:val="21"/>
                <w:color w:val="auto"/>
              </w:rPr>
            </w:pPr>
          </w:p>
        </w:tc>
        <w:tc>
          <w:tcPr>
            <w:tcW w:w="5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w w:val="89"/>
              </w:rPr>
              <w:t>$</w:t>
            </w:r>
          </w:p>
        </w:tc>
        <w:tc>
          <w:tcPr>
            <w:tcW w:w="17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32,145</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640" w:type="dxa"/>
            <w:vAlign w:val="bottom"/>
          </w:tcPr>
          <w:p>
            <w:pPr>
              <w:ind w:left="340"/>
              <w:spacing w:after="0"/>
              <w:rPr>
                <w:sz w:val="20"/>
                <w:szCs w:val="20"/>
                <w:color w:val="auto"/>
              </w:rPr>
            </w:pPr>
            <w:r>
              <w:rPr>
                <w:rFonts w:ascii="Arial" w:cs="Arial" w:eastAsia="Arial" w:hAnsi="Arial"/>
                <w:sz w:val="16"/>
                <w:szCs w:val="16"/>
                <w:color w:val="auto"/>
              </w:rPr>
              <w:t>Non-GAAP sales and marketing as a % of revenue</w:t>
            </w:r>
          </w:p>
        </w:tc>
        <w:tc>
          <w:tcPr>
            <w:tcW w:w="14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594"/>
        </w:trPr>
        <w:tc>
          <w:tcPr>
            <w:tcW w:w="6640" w:type="dxa"/>
            <w:vAlign w:val="bottom"/>
          </w:tcPr>
          <w:p>
            <w:pPr>
              <w:jc w:val="center"/>
              <w:ind w:right="4659"/>
              <w:spacing w:after="0"/>
              <w:rPr>
                <w:sz w:val="20"/>
                <w:szCs w:val="20"/>
                <w:color w:val="auto"/>
              </w:rPr>
            </w:pPr>
            <w:r>
              <w:rPr>
                <w:rFonts w:ascii="Arial" w:cs="Arial" w:eastAsia="Arial" w:hAnsi="Arial"/>
                <w:sz w:val="16"/>
                <w:szCs w:val="16"/>
                <w:b w:val="1"/>
                <w:bCs w:val="1"/>
                <w:color w:val="auto"/>
                <w:w w:val="92"/>
              </w:rPr>
              <w:t>General and administrative</w:t>
            </w:r>
          </w:p>
        </w:tc>
        <w:tc>
          <w:tcPr>
            <w:tcW w:w="1460" w:type="dxa"/>
            <w:vAlign w:val="bottom"/>
          </w:tcPr>
          <w:p>
            <w:pPr>
              <w:jc w:val="right"/>
              <w:ind w:right="127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54,543</w:t>
            </w:r>
          </w:p>
        </w:tc>
        <w:tc>
          <w:tcPr>
            <w:tcW w:w="120" w:type="dxa"/>
            <w:vAlign w:val="bottom"/>
          </w:tcPr>
          <w:p>
            <w:pPr>
              <w:spacing w:after="0"/>
              <w:rPr>
                <w:sz w:val="24"/>
                <w:szCs w:val="24"/>
                <w:color w:val="auto"/>
              </w:rPr>
            </w:pPr>
          </w:p>
        </w:tc>
        <w:tc>
          <w:tcPr>
            <w:tcW w:w="560" w:type="dxa"/>
            <w:vAlign w:val="bottom"/>
          </w:tcPr>
          <w:p>
            <w:pPr>
              <w:jc w:val="right"/>
              <w:ind w:right="379"/>
              <w:spacing w:after="0"/>
              <w:rPr>
                <w:sz w:val="20"/>
                <w:szCs w:val="20"/>
                <w:color w:val="auto"/>
              </w:rPr>
            </w:pPr>
            <w:r>
              <w:rPr>
                <w:rFonts w:ascii="Arial" w:cs="Arial" w:eastAsia="Arial" w:hAnsi="Arial"/>
                <w:sz w:val="16"/>
                <w:szCs w:val="16"/>
                <w:color w:val="auto"/>
                <w:w w:val="89"/>
              </w:rPr>
              <w:t>$</w:t>
            </w:r>
          </w:p>
        </w:tc>
        <w:tc>
          <w:tcPr>
            <w:tcW w:w="1760" w:type="dxa"/>
            <w:vAlign w:val="bottom"/>
          </w:tcPr>
          <w:p>
            <w:pPr>
              <w:jc w:val="right"/>
              <w:ind w:right="79"/>
              <w:spacing w:after="0"/>
              <w:rPr>
                <w:sz w:val="20"/>
                <w:szCs w:val="20"/>
                <w:color w:val="auto"/>
              </w:rPr>
            </w:pPr>
            <w:r>
              <w:rPr>
                <w:rFonts w:ascii="Arial" w:cs="Arial" w:eastAsia="Arial" w:hAnsi="Arial"/>
                <w:sz w:val="16"/>
                <w:szCs w:val="16"/>
                <w:color w:val="auto"/>
              </w:rPr>
              <w:t>24,212</w:t>
            </w:r>
          </w:p>
        </w:tc>
        <w:tc>
          <w:tcPr>
            <w:tcW w:w="0" w:type="dxa"/>
            <w:vAlign w:val="bottom"/>
          </w:tcPr>
          <w:p>
            <w:pPr>
              <w:spacing w:after="0"/>
              <w:rPr>
                <w:sz w:val="1"/>
                <w:szCs w:val="1"/>
                <w:color w:val="auto"/>
              </w:rPr>
            </w:pPr>
          </w:p>
        </w:tc>
      </w:tr>
      <w:tr>
        <w:trPr>
          <w:trHeight w:val="270"/>
        </w:trPr>
        <w:tc>
          <w:tcPr>
            <w:tcW w:w="6640" w:type="dxa"/>
            <w:vAlign w:val="bottom"/>
          </w:tcPr>
          <w:p>
            <w:pPr>
              <w:jc w:val="center"/>
              <w:ind w:right="4659"/>
              <w:spacing w:after="0"/>
              <w:rPr>
                <w:sz w:val="20"/>
                <w:szCs w:val="20"/>
                <w:color w:val="auto"/>
              </w:rPr>
            </w:pPr>
            <w:r>
              <w:rPr>
                <w:rFonts w:ascii="Arial" w:cs="Arial" w:eastAsia="Arial" w:hAnsi="Arial"/>
                <w:sz w:val="16"/>
                <w:szCs w:val="16"/>
                <w:color w:val="auto"/>
                <w:w w:val="92"/>
              </w:rPr>
              <w:t>Non-GAAP adjustments:</w:t>
            </w:r>
          </w:p>
        </w:tc>
        <w:tc>
          <w:tcPr>
            <w:tcW w:w="14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640" w:type="dxa"/>
            <w:vAlign w:val="bottom"/>
          </w:tcPr>
          <w:p>
            <w:pPr>
              <w:ind w:left="240"/>
              <w:spacing w:after="0"/>
              <w:rPr>
                <w:sz w:val="20"/>
                <w:szCs w:val="20"/>
                <w:color w:val="auto"/>
              </w:rPr>
            </w:pPr>
            <w:r>
              <w:rPr>
                <w:rFonts w:ascii="Arial" w:cs="Arial" w:eastAsia="Arial" w:hAnsi="Arial"/>
                <w:sz w:val="16"/>
                <w:szCs w:val="16"/>
                <w:color w:val="auto"/>
              </w:rPr>
              <w:t>Stock-based compensation</w:t>
            </w:r>
          </w:p>
        </w:tc>
        <w:tc>
          <w:tcPr>
            <w:tcW w:w="146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(20,852)</w:t>
            </w: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(5,942)</w:t>
            </w:r>
          </w:p>
        </w:tc>
        <w:tc>
          <w:tcPr>
            <w:tcW w:w="0" w:type="dxa"/>
            <w:vAlign w:val="bottom"/>
          </w:tcPr>
          <w:p>
            <w:pPr>
              <w:spacing w:after="0"/>
              <w:rPr>
                <w:sz w:val="1"/>
                <w:szCs w:val="1"/>
                <w:color w:val="auto"/>
              </w:rPr>
            </w:pPr>
          </w:p>
        </w:tc>
      </w:tr>
      <w:tr>
        <w:trPr>
          <w:trHeight w:val="270"/>
        </w:trPr>
        <w:tc>
          <w:tcPr>
            <w:tcW w:w="6640" w:type="dxa"/>
            <w:vAlign w:val="bottom"/>
          </w:tcPr>
          <w:p>
            <w:pPr>
              <w:ind w:left="240"/>
              <w:spacing w:after="0"/>
              <w:rPr>
                <w:sz w:val="20"/>
                <w:szCs w:val="20"/>
                <w:color w:val="auto"/>
              </w:rPr>
            </w:pPr>
            <w:r>
              <w:rPr>
                <w:rFonts w:ascii="Arial" w:cs="Arial" w:eastAsia="Arial" w:hAnsi="Arial"/>
                <w:sz w:val="16"/>
                <w:szCs w:val="16"/>
                <w:color w:val="auto"/>
              </w:rPr>
              <w:t>Amortization of acquired intangibles</w:t>
            </w:r>
          </w:p>
        </w:tc>
        <w:tc>
          <w:tcPr>
            <w:tcW w:w="146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(62)</w:t>
            </w: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70"/>
        </w:trPr>
        <w:tc>
          <w:tcPr>
            <w:tcW w:w="6640" w:type="dxa"/>
            <w:vAlign w:val="bottom"/>
          </w:tcPr>
          <w:p>
            <w:pPr>
              <w:ind w:left="240"/>
              <w:spacing w:after="0"/>
              <w:rPr>
                <w:sz w:val="20"/>
                <w:szCs w:val="20"/>
                <w:color w:val="auto"/>
              </w:rPr>
            </w:pPr>
            <w:r>
              <w:rPr>
                <w:rFonts w:ascii="Arial" w:cs="Arial" w:eastAsia="Arial" w:hAnsi="Arial"/>
                <w:sz w:val="16"/>
                <w:szCs w:val="16"/>
                <w:color w:val="auto"/>
              </w:rPr>
              <w:t>Acquisition-related expenses</w:t>
            </w:r>
          </w:p>
        </w:tc>
        <w:tc>
          <w:tcPr>
            <w:tcW w:w="146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(1,274)</w:t>
            </w: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7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6640" w:type="dxa"/>
            <w:vAlign w:val="bottom"/>
          </w:tcPr>
          <w:p>
            <w:pPr>
              <w:ind w:left="240"/>
              <w:spacing w:after="0"/>
              <w:rPr>
                <w:sz w:val="20"/>
                <w:szCs w:val="20"/>
                <w:color w:val="auto"/>
              </w:rPr>
            </w:pPr>
            <w:r>
              <w:rPr>
                <w:rFonts w:ascii="Arial" w:cs="Arial" w:eastAsia="Arial" w:hAnsi="Arial"/>
                <w:sz w:val="16"/>
                <w:szCs w:val="16"/>
                <w:color w:val="auto"/>
              </w:rPr>
              <w:t>Payroll taxes related to stock-based compensation</w:t>
            </w:r>
          </w:p>
        </w:tc>
        <w:tc>
          <w:tcPr>
            <w:tcW w:w="146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(746)</w:t>
            </w: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(247)</w:t>
            </w:r>
          </w:p>
        </w:tc>
        <w:tc>
          <w:tcPr>
            <w:tcW w:w="0" w:type="dxa"/>
            <w:vAlign w:val="bottom"/>
          </w:tcPr>
          <w:p>
            <w:pPr>
              <w:spacing w:after="0"/>
              <w:rPr>
                <w:sz w:val="1"/>
                <w:szCs w:val="1"/>
                <w:color w:val="auto"/>
              </w:rPr>
            </w:pPr>
          </w:p>
        </w:tc>
      </w:tr>
      <w:tr>
        <w:trPr>
          <w:trHeight w:val="33"/>
        </w:trPr>
        <w:tc>
          <w:tcPr>
            <w:tcW w:w="664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640" w:type="dxa"/>
            <w:vAlign w:val="bottom"/>
          </w:tcPr>
          <w:p>
            <w:pPr>
              <w:ind w:left="340"/>
              <w:spacing w:after="0"/>
              <w:rPr>
                <w:sz w:val="20"/>
                <w:szCs w:val="20"/>
                <w:color w:val="auto"/>
              </w:rPr>
            </w:pPr>
            <w:r>
              <w:rPr>
                <w:rFonts w:ascii="Arial" w:cs="Arial" w:eastAsia="Arial" w:hAnsi="Arial"/>
                <w:sz w:val="16"/>
                <w:szCs w:val="16"/>
                <w:color w:val="auto"/>
              </w:rPr>
              <w:t>Non-GAAP general and administrative</w:t>
            </w:r>
          </w:p>
        </w:tc>
        <w:tc>
          <w:tcPr>
            <w:tcW w:w="1460" w:type="dxa"/>
            <w:vAlign w:val="bottom"/>
            <w:tcBorders>
              <w:bottom w:val="single" w:sz="8" w:color="auto"/>
            </w:tcBorders>
          </w:tcPr>
          <w:p>
            <w:pPr>
              <w:jc w:val="right"/>
              <w:ind w:right="127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31,609</w:t>
            </w:r>
          </w:p>
        </w:tc>
        <w:tc>
          <w:tcPr>
            <w:tcW w:w="120" w:type="dxa"/>
            <w:vAlign w:val="bottom"/>
          </w:tcPr>
          <w:p>
            <w:pPr>
              <w:spacing w:after="0"/>
              <w:rPr>
                <w:sz w:val="21"/>
                <w:szCs w:val="21"/>
                <w:color w:val="auto"/>
              </w:rPr>
            </w:pPr>
          </w:p>
        </w:tc>
        <w:tc>
          <w:tcPr>
            <w:tcW w:w="5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w w:val="89"/>
              </w:rPr>
              <w:t>$</w:t>
            </w:r>
          </w:p>
        </w:tc>
        <w:tc>
          <w:tcPr>
            <w:tcW w:w="17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18,003</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640" w:type="dxa"/>
            <w:vAlign w:val="bottom"/>
          </w:tcPr>
          <w:p>
            <w:pPr>
              <w:ind w:left="340"/>
              <w:spacing w:after="0"/>
              <w:rPr>
                <w:sz w:val="20"/>
                <w:szCs w:val="20"/>
                <w:color w:val="auto"/>
              </w:rPr>
            </w:pPr>
            <w:r>
              <w:rPr>
                <w:rFonts w:ascii="Arial" w:cs="Arial" w:eastAsia="Arial" w:hAnsi="Arial"/>
                <w:sz w:val="16"/>
                <w:szCs w:val="16"/>
                <w:color w:val="auto"/>
              </w:rPr>
              <w:t>Non-GAAP general and administrative as a % of revenue</w:t>
            </w:r>
          </w:p>
        </w:tc>
        <w:tc>
          <w:tcPr>
            <w:tcW w:w="14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621"/>
        </w:trPr>
        <w:tc>
          <w:tcPr>
            <w:tcW w:w="6640" w:type="dxa"/>
            <w:vAlign w:val="bottom"/>
          </w:tcPr>
          <w:p>
            <w:pPr>
              <w:spacing w:after="0"/>
              <w:rPr>
                <w:sz w:val="20"/>
                <w:szCs w:val="20"/>
                <w:color w:val="auto"/>
              </w:rPr>
            </w:pPr>
            <w:r>
              <w:rPr>
                <w:rFonts w:ascii="Arial" w:cs="Arial" w:eastAsia="Arial" w:hAnsi="Arial"/>
                <w:sz w:val="16"/>
                <w:szCs w:val="16"/>
                <w:b w:val="1"/>
                <w:bCs w:val="1"/>
                <w:color w:val="auto"/>
              </w:rPr>
              <w:t>Loss from operations</w:t>
            </w:r>
          </w:p>
        </w:tc>
        <w:tc>
          <w:tcPr>
            <w:tcW w:w="1460" w:type="dxa"/>
            <w:vAlign w:val="bottom"/>
          </w:tcPr>
          <w:p>
            <w:pPr>
              <w:jc w:val="right"/>
              <w:ind w:right="127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(93,732)</w:t>
            </w:r>
          </w:p>
        </w:tc>
        <w:tc>
          <w:tcPr>
            <w:tcW w:w="120" w:type="dxa"/>
            <w:vAlign w:val="bottom"/>
          </w:tcPr>
          <w:p>
            <w:pPr>
              <w:spacing w:after="0"/>
              <w:rPr>
                <w:sz w:val="24"/>
                <w:szCs w:val="24"/>
                <w:color w:val="auto"/>
              </w:rPr>
            </w:pPr>
          </w:p>
        </w:tc>
        <w:tc>
          <w:tcPr>
            <w:tcW w:w="560" w:type="dxa"/>
            <w:vAlign w:val="bottom"/>
          </w:tcPr>
          <w:p>
            <w:pPr>
              <w:jc w:val="right"/>
              <w:ind w:right="379"/>
              <w:spacing w:after="0"/>
              <w:rPr>
                <w:sz w:val="20"/>
                <w:szCs w:val="20"/>
                <w:color w:val="auto"/>
              </w:rPr>
            </w:pPr>
            <w:r>
              <w:rPr>
                <w:rFonts w:ascii="Arial" w:cs="Arial" w:eastAsia="Arial" w:hAnsi="Arial"/>
                <w:sz w:val="16"/>
                <w:szCs w:val="16"/>
                <w:color w:val="auto"/>
                <w:w w:val="89"/>
              </w:rPr>
              <w:t>$</w:t>
            </w: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(21,958)</w:t>
            </w:r>
          </w:p>
        </w:tc>
        <w:tc>
          <w:tcPr>
            <w:tcW w:w="0" w:type="dxa"/>
            <w:vAlign w:val="bottom"/>
          </w:tcPr>
          <w:p>
            <w:pPr>
              <w:spacing w:after="0"/>
              <w:rPr>
                <w:sz w:val="1"/>
                <w:szCs w:val="1"/>
                <w:color w:val="auto"/>
              </w:rPr>
            </w:pPr>
          </w:p>
        </w:tc>
      </w:tr>
      <w:tr>
        <w:trPr>
          <w:trHeight w:val="270"/>
        </w:trPr>
        <w:tc>
          <w:tcPr>
            <w:tcW w:w="6640" w:type="dxa"/>
            <w:vAlign w:val="bottom"/>
          </w:tcPr>
          <w:p>
            <w:pPr>
              <w:jc w:val="center"/>
              <w:ind w:right="4659"/>
              <w:spacing w:after="0"/>
              <w:rPr>
                <w:sz w:val="20"/>
                <w:szCs w:val="20"/>
                <w:color w:val="auto"/>
              </w:rPr>
            </w:pPr>
            <w:r>
              <w:rPr>
                <w:rFonts w:ascii="Arial" w:cs="Arial" w:eastAsia="Arial" w:hAnsi="Arial"/>
                <w:sz w:val="16"/>
                <w:szCs w:val="16"/>
                <w:color w:val="auto"/>
                <w:w w:val="92"/>
              </w:rPr>
              <w:t>Non-GAAP adjustments:</w:t>
            </w:r>
          </w:p>
        </w:tc>
        <w:tc>
          <w:tcPr>
            <w:tcW w:w="14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640" w:type="dxa"/>
            <w:vAlign w:val="bottom"/>
          </w:tcPr>
          <w:p>
            <w:pPr>
              <w:ind w:left="240"/>
              <w:spacing w:after="0"/>
              <w:rPr>
                <w:sz w:val="20"/>
                <w:szCs w:val="20"/>
                <w:color w:val="auto"/>
              </w:rPr>
            </w:pPr>
            <w:r>
              <w:rPr>
                <w:rFonts w:ascii="Arial" w:cs="Arial" w:eastAsia="Arial" w:hAnsi="Arial"/>
                <w:sz w:val="16"/>
                <w:szCs w:val="16"/>
                <w:color w:val="auto"/>
              </w:rPr>
              <w:t>Stock-based compensation</w:t>
            </w:r>
          </w:p>
        </w:tc>
        <w:tc>
          <w:tcPr>
            <w:tcW w:w="1460" w:type="dxa"/>
            <w:vAlign w:val="bottom"/>
          </w:tcPr>
          <w:p>
            <w:pPr>
              <w:spacing w:after="0"/>
              <w:rPr>
                <w:sz w:val="23"/>
                <w:szCs w:val="23"/>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70,740</w:t>
            </w: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760" w:type="dxa"/>
            <w:vAlign w:val="bottom"/>
          </w:tcPr>
          <w:p>
            <w:pPr>
              <w:jc w:val="right"/>
              <w:ind w:right="79"/>
              <w:spacing w:after="0"/>
              <w:rPr>
                <w:sz w:val="20"/>
                <w:szCs w:val="20"/>
                <w:color w:val="auto"/>
              </w:rPr>
            </w:pPr>
            <w:r>
              <w:rPr>
                <w:rFonts w:ascii="Arial" w:cs="Arial" w:eastAsia="Arial" w:hAnsi="Arial"/>
                <w:sz w:val="16"/>
                <w:szCs w:val="16"/>
                <w:color w:val="auto"/>
              </w:rPr>
              <w:t>21,006</w:t>
            </w:r>
          </w:p>
        </w:tc>
        <w:tc>
          <w:tcPr>
            <w:tcW w:w="0" w:type="dxa"/>
            <w:vAlign w:val="bottom"/>
          </w:tcPr>
          <w:p>
            <w:pPr>
              <w:spacing w:after="0"/>
              <w:rPr>
                <w:sz w:val="1"/>
                <w:szCs w:val="1"/>
                <w:color w:val="auto"/>
              </w:rPr>
            </w:pPr>
          </w:p>
        </w:tc>
      </w:tr>
      <w:tr>
        <w:trPr>
          <w:trHeight w:val="270"/>
        </w:trPr>
        <w:tc>
          <w:tcPr>
            <w:tcW w:w="6640" w:type="dxa"/>
            <w:vAlign w:val="bottom"/>
          </w:tcPr>
          <w:p>
            <w:pPr>
              <w:ind w:left="240"/>
              <w:spacing w:after="0"/>
              <w:rPr>
                <w:sz w:val="20"/>
                <w:szCs w:val="20"/>
                <w:color w:val="auto"/>
              </w:rPr>
            </w:pPr>
            <w:r>
              <w:rPr>
                <w:rFonts w:ascii="Arial" w:cs="Arial" w:eastAsia="Arial" w:hAnsi="Arial"/>
                <w:sz w:val="16"/>
                <w:szCs w:val="16"/>
                <w:color w:val="auto"/>
              </w:rPr>
              <w:t>Amortization of acquired intangibles</w:t>
            </w:r>
          </w:p>
        </w:tc>
        <w:tc>
          <w:tcPr>
            <w:tcW w:w="1460" w:type="dxa"/>
            <w:vAlign w:val="bottom"/>
          </w:tcPr>
          <w:p>
            <w:pPr>
              <w:spacing w:after="0"/>
              <w:rPr>
                <w:sz w:val="23"/>
                <w:szCs w:val="23"/>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19,248</w:t>
            </w: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760" w:type="dxa"/>
            <w:vAlign w:val="bottom"/>
          </w:tcPr>
          <w:p>
            <w:pPr>
              <w:jc w:val="right"/>
              <w:ind w:right="79"/>
              <w:spacing w:after="0"/>
              <w:rPr>
                <w:sz w:val="20"/>
                <w:szCs w:val="20"/>
                <w:color w:val="auto"/>
              </w:rPr>
            </w:pPr>
            <w:r>
              <w:rPr>
                <w:rFonts w:ascii="Arial" w:cs="Arial" w:eastAsia="Arial" w:hAnsi="Arial"/>
                <w:sz w:val="16"/>
                <w:szCs w:val="16"/>
                <w:color w:val="auto"/>
              </w:rPr>
              <w:t>1,351</w:t>
            </w:r>
          </w:p>
        </w:tc>
        <w:tc>
          <w:tcPr>
            <w:tcW w:w="0" w:type="dxa"/>
            <w:vAlign w:val="bottom"/>
          </w:tcPr>
          <w:p>
            <w:pPr>
              <w:spacing w:after="0"/>
              <w:rPr>
                <w:sz w:val="1"/>
                <w:szCs w:val="1"/>
                <w:color w:val="auto"/>
              </w:rPr>
            </w:pPr>
          </w:p>
        </w:tc>
      </w:tr>
      <w:tr>
        <w:trPr>
          <w:trHeight w:val="270"/>
        </w:trPr>
        <w:tc>
          <w:tcPr>
            <w:tcW w:w="6640" w:type="dxa"/>
            <w:vAlign w:val="bottom"/>
          </w:tcPr>
          <w:p>
            <w:pPr>
              <w:ind w:left="240"/>
              <w:spacing w:after="0"/>
              <w:rPr>
                <w:sz w:val="20"/>
                <w:szCs w:val="20"/>
                <w:color w:val="auto"/>
              </w:rPr>
            </w:pPr>
            <w:r>
              <w:rPr>
                <w:rFonts w:ascii="Arial" w:cs="Arial" w:eastAsia="Arial" w:hAnsi="Arial"/>
                <w:sz w:val="16"/>
                <w:szCs w:val="16"/>
                <w:color w:val="auto"/>
              </w:rPr>
              <w:t>Acquisition-related expenses</w:t>
            </w:r>
          </w:p>
        </w:tc>
        <w:tc>
          <w:tcPr>
            <w:tcW w:w="1460" w:type="dxa"/>
            <w:vAlign w:val="bottom"/>
          </w:tcPr>
          <w:p>
            <w:pPr>
              <w:spacing w:after="0"/>
              <w:rPr>
                <w:sz w:val="23"/>
                <w:szCs w:val="23"/>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1,274</w:t>
            </w: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7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6640" w:type="dxa"/>
            <w:vAlign w:val="bottom"/>
          </w:tcPr>
          <w:p>
            <w:pPr>
              <w:ind w:left="240"/>
              <w:spacing w:after="0"/>
              <w:rPr>
                <w:sz w:val="20"/>
                <w:szCs w:val="20"/>
                <w:color w:val="auto"/>
              </w:rPr>
            </w:pPr>
            <w:r>
              <w:rPr>
                <w:rFonts w:ascii="Arial" w:cs="Arial" w:eastAsia="Arial" w:hAnsi="Arial"/>
                <w:sz w:val="16"/>
                <w:szCs w:val="16"/>
                <w:color w:val="auto"/>
              </w:rPr>
              <w:t>Payroll taxes related to stock-based compensation</w:t>
            </w:r>
          </w:p>
        </w:tc>
        <w:tc>
          <w:tcPr>
            <w:tcW w:w="1460" w:type="dxa"/>
            <w:vAlign w:val="bottom"/>
          </w:tcPr>
          <w:p>
            <w:pPr>
              <w:spacing w:after="0"/>
              <w:rPr>
                <w:sz w:val="23"/>
                <w:szCs w:val="23"/>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3,980</w:t>
            </w: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760" w:type="dxa"/>
            <w:vAlign w:val="bottom"/>
          </w:tcPr>
          <w:p>
            <w:pPr>
              <w:jc w:val="right"/>
              <w:ind w:right="79"/>
              <w:spacing w:after="0"/>
              <w:rPr>
                <w:sz w:val="20"/>
                <w:szCs w:val="20"/>
                <w:color w:val="auto"/>
              </w:rPr>
            </w:pPr>
            <w:r>
              <w:rPr>
                <w:rFonts w:ascii="Arial" w:cs="Arial" w:eastAsia="Arial" w:hAnsi="Arial"/>
                <w:sz w:val="16"/>
                <w:szCs w:val="16"/>
                <w:color w:val="auto"/>
              </w:rPr>
              <w:t>1,811</w:t>
            </w:r>
          </w:p>
        </w:tc>
        <w:tc>
          <w:tcPr>
            <w:tcW w:w="0" w:type="dxa"/>
            <w:vAlign w:val="bottom"/>
          </w:tcPr>
          <w:p>
            <w:pPr>
              <w:spacing w:after="0"/>
              <w:rPr>
                <w:sz w:val="1"/>
                <w:szCs w:val="1"/>
                <w:color w:val="auto"/>
              </w:rPr>
            </w:pPr>
          </w:p>
        </w:tc>
      </w:tr>
      <w:tr>
        <w:trPr>
          <w:trHeight w:val="33"/>
        </w:trPr>
        <w:tc>
          <w:tcPr>
            <w:tcW w:w="664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640" w:type="dxa"/>
            <w:vAlign w:val="bottom"/>
          </w:tcPr>
          <w:p>
            <w:pPr>
              <w:ind w:left="340"/>
              <w:spacing w:after="0"/>
              <w:rPr>
                <w:sz w:val="20"/>
                <w:szCs w:val="20"/>
                <w:color w:val="auto"/>
              </w:rPr>
            </w:pPr>
            <w:r>
              <w:rPr>
                <w:rFonts w:ascii="Arial" w:cs="Arial" w:eastAsia="Arial" w:hAnsi="Arial"/>
                <w:sz w:val="16"/>
                <w:szCs w:val="16"/>
                <w:color w:val="auto"/>
              </w:rPr>
              <w:t>Non-GAAP income from operations</w:t>
            </w:r>
          </w:p>
        </w:tc>
        <w:tc>
          <w:tcPr>
            <w:tcW w:w="1460" w:type="dxa"/>
            <w:vAlign w:val="bottom"/>
            <w:tcBorders>
              <w:bottom w:val="single" w:sz="8" w:color="auto"/>
            </w:tcBorders>
          </w:tcPr>
          <w:p>
            <w:pPr>
              <w:jc w:val="right"/>
              <w:ind w:right="127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1,510</w:t>
            </w:r>
          </w:p>
        </w:tc>
        <w:tc>
          <w:tcPr>
            <w:tcW w:w="120" w:type="dxa"/>
            <w:vAlign w:val="bottom"/>
          </w:tcPr>
          <w:p>
            <w:pPr>
              <w:spacing w:after="0"/>
              <w:rPr>
                <w:sz w:val="21"/>
                <w:szCs w:val="21"/>
                <w:color w:val="auto"/>
              </w:rPr>
            </w:pPr>
          </w:p>
        </w:tc>
        <w:tc>
          <w:tcPr>
            <w:tcW w:w="5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w w:val="89"/>
              </w:rPr>
              <w:t>$</w:t>
            </w:r>
          </w:p>
        </w:tc>
        <w:tc>
          <w:tcPr>
            <w:tcW w:w="17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2,210</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640" w:type="dxa"/>
            <w:vAlign w:val="bottom"/>
          </w:tcPr>
          <w:p>
            <w:pPr>
              <w:ind w:left="340"/>
              <w:spacing w:after="0"/>
              <w:rPr>
                <w:sz w:val="20"/>
                <w:szCs w:val="20"/>
                <w:color w:val="auto"/>
              </w:rPr>
            </w:pPr>
            <w:r>
              <w:rPr>
                <w:rFonts w:ascii="Arial" w:cs="Arial" w:eastAsia="Arial" w:hAnsi="Arial"/>
                <w:sz w:val="16"/>
                <w:szCs w:val="16"/>
                <w:color w:val="auto"/>
              </w:rPr>
              <w:t>Non-GAAP operating margin</w:t>
            </w:r>
          </w:p>
        </w:tc>
        <w:tc>
          <w:tcPr>
            <w:tcW w:w="14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85" w:right="239" w:bottom="1440" w:gutter="0" w:footer="0" w:header="0"/>
        </w:sectPr>
      </w:pPr>
    </w:p>
    <w:p>
      <w:pPr>
        <w:spacing w:after="0" w:line="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585" w:right="23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6"/>
          <w:szCs w:val="16"/>
          <w:b w:val="1"/>
          <w:bCs w:val="1"/>
          <w:color w:val="auto"/>
        </w:rPr>
        <w:t>TWILIO INC.</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Reconciliation to Non-GAAP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26733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673350" cy="889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auto"/>
        </w:rPr>
        <w:t>(In thousands, except shares, per share amounts and percentages)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(Unaudited)</w:t>
      </w:r>
    </w:p>
    <w:p>
      <w:pPr>
        <w:spacing w:after="0" w:line="365" w:lineRule="exact"/>
        <w:rPr>
          <w:sz w:val="20"/>
          <w:szCs w:val="20"/>
          <w:color w:val="auto"/>
        </w:rPr>
      </w:pPr>
    </w:p>
    <w:p>
      <w:pPr>
        <w:jc w:val="center"/>
        <w:ind w:left="6700"/>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p>
      <w:pPr>
        <w:jc w:val="center"/>
        <w:ind w:left="6700"/>
        <w:spacing w:after="0"/>
        <w:rPr>
          <w:sz w:val="20"/>
          <w:szCs w:val="20"/>
          <w:color w:val="auto"/>
        </w:rPr>
      </w:pPr>
      <w:r>
        <w:rPr>
          <w:rFonts w:ascii="Arial" w:cs="Arial" w:eastAsia="Arial" w:hAnsi="Arial"/>
          <w:sz w:val="16"/>
          <w:szCs w:val="16"/>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4232910</wp:posOffset>
            </wp:positionH>
            <wp:positionV relativeFrom="paragraph">
              <wp:posOffset>33020</wp:posOffset>
            </wp:positionV>
            <wp:extent cx="30187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018790" cy="8890"/>
                    </a:xfrm>
                    <a:prstGeom prst="rect">
                      <a:avLst/>
                    </a:prstGeom>
                    <a:noFill/>
                  </pic:spPr>
                </pic:pic>
              </a:graphicData>
            </a:graphic>
          </wp:anchor>
        </w:drawing>
      </w:r>
    </w:p>
    <w:p>
      <w:pPr>
        <w:spacing w:after="0" w:line="72"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6620" w:type="dxa"/>
            <w:vAlign w:val="bottom"/>
          </w:tcPr>
          <w:p>
            <w:pPr>
              <w:spacing w:after="0"/>
              <w:rPr>
                <w:sz w:val="18"/>
                <w:szCs w:val="18"/>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b w:val="1"/>
                <w:bCs w:val="1"/>
                <w:color w:val="auto"/>
              </w:rPr>
              <w:t>2019</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60" w:type="dxa"/>
            <w:vAlign w:val="bottom"/>
          </w:tcPr>
          <w:p>
            <w:pPr>
              <w:jc w:val="right"/>
              <w:ind w:right="919"/>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33"/>
        </w:trPr>
        <w:tc>
          <w:tcPr>
            <w:tcW w:w="6620" w:type="dxa"/>
            <w:vAlign w:val="bottom"/>
            <w:vMerge w:val="restart"/>
          </w:tcPr>
          <w:p>
            <w:pPr>
              <w:spacing w:after="0"/>
              <w:rPr>
                <w:sz w:val="20"/>
                <w:szCs w:val="20"/>
                <w:color w:val="auto"/>
              </w:rPr>
            </w:pPr>
            <w:r>
              <w:rPr>
                <w:rFonts w:ascii="Arial" w:cs="Arial" w:eastAsia="Arial" w:hAnsi="Arial"/>
                <w:sz w:val="16"/>
                <w:szCs w:val="16"/>
                <w:b w:val="1"/>
                <w:bCs w:val="1"/>
                <w:color w:val="auto"/>
              </w:rPr>
              <w:t>Net loss attributable to common stockholders</w:t>
            </w:r>
          </w:p>
        </w:tc>
        <w:tc>
          <w:tcPr>
            <w:tcW w:w="1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620" w:type="dxa"/>
            <w:vAlign w:val="bottom"/>
            <w:vMerge w:val="continue"/>
          </w:tcPr>
          <w:p>
            <w:pPr>
              <w:spacing w:after="0"/>
              <w:rPr>
                <w:sz w:val="18"/>
                <w:szCs w:val="18"/>
                <w:color w:val="auto"/>
              </w:rPr>
            </w:pPr>
          </w:p>
        </w:tc>
        <w:tc>
          <w:tcPr>
            <w:tcW w:w="1420" w:type="dxa"/>
            <w:vAlign w:val="bottom"/>
          </w:tcPr>
          <w:p>
            <w:pPr>
              <w:jc w:val="right"/>
              <w:ind w:right="12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(92,579)</w:t>
            </w:r>
          </w:p>
        </w:tc>
        <w:tc>
          <w:tcPr>
            <w:tcW w:w="120" w:type="dxa"/>
            <w:vAlign w:val="bottom"/>
          </w:tcPr>
          <w:p>
            <w:pPr>
              <w:spacing w:after="0"/>
              <w:rPr>
                <w:sz w:val="18"/>
                <w:szCs w:val="18"/>
                <w:color w:val="auto"/>
              </w:rPr>
            </w:pPr>
          </w:p>
        </w:tc>
        <w:tc>
          <w:tcPr>
            <w:tcW w:w="560" w:type="dxa"/>
            <w:vAlign w:val="bottom"/>
          </w:tcPr>
          <w:p>
            <w:pPr>
              <w:jc w:val="right"/>
              <w:ind w:right="379"/>
              <w:spacing w:after="0"/>
              <w:rPr>
                <w:sz w:val="20"/>
                <w:szCs w:val="20"/>
                <w:color w:val="auto"/>
              </w:rPr>
            </w:pPr>
            <w:r>
              <w:rPr>
                <w:rFonts w:ascii="Arial" w:cs="Arial" w:eastAsia="Arial" w:hAnsi="Arial"/>
                <w:sz w:val="16"/>
                <w:szCs w:val="16"/>
                <w:color w:val="auto"/>
                <w:w w:val="89"/>
              </w:rPr>
              <w:t>$</w:t>
            </w: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(24,006)</w:t>
            </w:r>
          </w:p>
        </w:tc>
        <w:tc>
          <w:tcPr>
            <w:tcW w:w="0" w:type="dxa"/>
            <w:vAlign w:val="bottom"/>
          </w:tcPr>
          <w:p>
            <w:pPr>
              <w:spacing w:after="0"/>
              <w:rPr>
                <w:sz w:val="1"/>
                <w:szCs w:val="1"/>
                <w:color w:val="auto"/>
              </w:rPr>
            </w:pPr>
          </w:p>
        </w:tc>
      </w:tr>
      <w:tr>
        <w:trPr>
          <w:trHeight w:val="270"/>
        </w:trPr>
        <w:tc>
          <w:tcPr>
            <w:tcW w:w="6620" w:type="dxa"/>
            <w:vAlign w:val="bottom"/>
          </w:tcPr>
          <w:p>
            <w:pPr>
              <w:spacing w:after="0"/>
              <w:rPr>
                <w:sz w:val="20"/>
                <w:szCs w:val="20"/>
                <w:color w:val="auto"/>
              </w:rPr>
            </w:pPr>
            <w:r>
              <w:rPr>
                <w:rFonts w:ascii="Arial" w:cs="Arial" w:eastAsia="Arial" w:hAnsi="Arial"/>
                <w:sz w:val="16"/>
                <w:szCs w:val="16"/>
                <w:color w:val="auto"/>
              </w:rPr>
              <w:t>Non-GAAP adjustments:</w:t>
            </w:r>
          </w:p>
        </w:tc>
        <w:tc>
          <w:tcPr>
            <w:tcW w:w="14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620" w:type="dxa"/>
            <w:vAlign w:val="bottom"/>
          </w:tcPr>
          <w:p>
            <w:pPr>
              <w:ind w:left="140"/>
              <w:spacing w:after="0"/>
              <w:rPr>
                <w:sz w:val="20"/>
                <w:szCs w:val="20"/>
                <w:color w:val="auto"/>
              </w:rPr>
            </w:pPr>
            <w:r>
              <w:rPr>
                <w:rFonts w:ascii="Arial" w:cs="Arial" w:eastAsia="Arial" w:hAnsi="Arial"/>
                <w:sz w:val="16"/>
                <w:szCs w:val="16"/>
                <w:color w:val="auto"/>
              </w:rPr>
              <w:t>Stock-based compensation</w:t>
            </w:r>
          </w:p>
        </w:tc>
        <w:tc>
          <w:tcPr>
            <w:tcW w:w="1420" w:type="dxa"/>
            <w:vAlign w:val="bottom"/>
          </w:tcPr>
          <w:p>
            <w:pPr>
              <w:spacing w:after="0"/>
              <w:rPr>
                <w:sz w:val="23"/>
                <w:szCs w:val="23"/>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70,740</w:t>
            </w: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760" w:type="dxa"/>
            <w:vAlign w:val="bottom"/>
          </w:tcPr>
          <w:p>
            <w:pPr>
              <w:jc w:val="right"/>
              <w:ind w:right="79"/>
              <w:spacing w:after="0"/>
              <w:rPr>
                <w:sz w:val="20"/>
                <w:szCs w:val="20"/>
                <w:color w:val="auto"/>
              </w:rPr>
            </w:pPr>
            <w:r>
              <w:rPr>
                <w:rFonts w:ascii="Arial" w:cs="Arial" w:eastAsia="Arial" w:hAnsi="Arial"/>
                <w:sz w:val="16"/>
                <w:szCs w:val="16"/>
                <w:color w:val="auto"/>
              </w:rPr>
              <w:t>21,006</w:t>
            </w:r>
          </w:p>
        </w:tc>
        <w:tc>
          <w:tcPr>
            <w:tcW w:w="0" w:type="dxa"/>
            <w:vAlign w:val="bottom"/>
          </w:tcPr>
          <w:p>
            <w:pPr>
              <w:spacing w:after="0"/>
              <w:rPr>
                <w:sz w:val="1"/>
                <w:szCs w:val="1"/>
                <w:color w:val="auto"/>
              </w:rPr>
            </w:pPr>
          </w:p>
        </w:tc>
      </w:tr>
      <w:tr>
        <w:trPr>
          <w:trHeight w:val="270"/>
        </w:trPr>
        <w:tc>
          <w:tcPr>
            <w:tcW w:w="6620" w:type="dxa"/>
            <w:vAlign w:val="bottom"/>
          </w:tcPr>
          <w:p>
            <w:pPr>
              <w:ind w:left="140"/>
              <w:spacing w:after="0"/>
              <w:rPr>
                <w:sz w:val="20"/>
                <w:szCs w:val="20"/>
                <w:color w:val="auto"/>
              </w:rPr>
            </w:pPr>
            <w:r>
              <w:rPr>
                <w:rFonts w:ascii="Arial" w:cs="Arial" w:eastAsia="Arial" w:hAnsi="Arial"/>
                <w:sz w:val="16"/>
                <w:szCs w:val="16"/>
                <w:color w:val="auto"/>
              </w:rPr>
              <w:t>Amortization of acquired intangibles</w:t>
            </w:r>
          </w:p>
        </w:tc>
        <w:tc>
          <w:tcPr>
            <w:tcW w:w="1420" w:type="dxa"/>
            <w:vAlign w:val="bottom"/>
          </w:tcPr>
          <w:p>
            <w:pPr>
              <w:spacing w:after="0"/>
              <w:rPr>
                <w:sz w:val="23"/>
                <w:szCs w:val="23"/>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19,248</w:t>
            </w: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760" w:type="dxa"/>
            <w:vAlign w:val="bottom"/>
          </w:tcPr>
          <w:p>
            <w:pPr>
              <w:jc w:val="right"/>
              <w:ind w:right="79"/>
              <w:spacing w:after="0"/>
              <w:rPr>
                <w:sz w:val="20"/>
                <w:szCs w:val="20"/>
                <w:color w:val="auto"/>
              </w:rPr>
            </w:pPr>
            <w:r>
              <w:rPr>
                <w:rFonts w:ascii="Arial" w:cs="Arial" w:eastAsia="Arial" w:hAnsi="Arial"/>
                <w:sz w:val="16"/>
                <w:szCs w:val="16"/>
                <w:color w:val="auto"/>
              </w:rPr>
              <w:t>1,351</w:t>
            </w:r>
          </w:p>
        </w:tc>
        <w:tc>
          <w:tcPr>
            <w:tcW w:w="0" w:type="dxa"/>
            <w:vAlign w:val="bottom"/>
          </w:tcPr>
          <w:p>
            <w:pPr>
              <w:spacing w:after="0"/>
              <w:rPr>
                <w:sz w:val="1"/>
                <w:szCs w:val="1"/>
                <w:color w:val="auto"/>
              </w:rPr>
            </w:pPr>
          </w:p>
        </w:tc>
      </w:tr>
      <w:tr>
        <w:trPr>
          <w:trHeight w:val="270"/>
        </w:trPr>
        <w:tc>
          <w:tcPr>
            <w:tcW w:w="6620" w:type="dxa"/>
            <w:vAlign w:val="bottom"/>
          </w:tcPr>
          <w:p>
            <w:pPr>
              <w:ind w:left="140"/>
              <w:spacing w:after="0"/>
              <w:rPr>
                <w:sz w:val="20"/>
                <w:szCs w:val="20"/>
                <w:color w:val="auto"/>
              </w:rPr>
            </w:pPr>
            <w:r>
              <w:rPr>
                <w:rFonts w:ascii="Arial" w:cs="Arial" w:eastAsia="Arial" w:hAnsi="Arial"/>
                <w:sz w:val="16"/>
                <w:szCs w:val="16"/>
                <w:color w:val="auto"/>
              </w:rPr>
              <w:t>Acquisition-related expenses</w:t>
            </w:r>
          </w:p>
        </w:tc>
        <w:tc>
          <w:tcPr>
            <w:tcW w:w="1420" w:type="dxa"/>
            <w:vAlign w:val="bottom"/>
          </w:tcPr>
          <w:p>
            <w:pPr>
              <w:spacing w:after="0"/>
              <w:rPr>
                <w:sz w:val="23"/>
                <w:szCs w:val="23"/>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1,274</w:t>
            </w: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7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6620" w:type="dxa"/>
            <w:vAlign w:val="bottom"/>
          </w:tcPr>
          <w:p>
            <w:pPr>
              <w:ind w:left="140"/>
              <w:spacing w:after="0"/>
              <w:rPr>
                <w:sz w:val="20"/>
                <w:szCs w:val="20"/>
                <w:color w:val="auto"/>
              </w:rPr>
            </w:pPr>
            <w:r>
              <w:rPr>
                <w:rFonts w:ascii="Arial" w:cs="Arial" w:eastAsia="Arial" w:hAnsi="Arial"/>
                <w:sz w:val="16"/>
                <w:szCs w:val="16"/>
                <w:color w:val="auto"/>
              </w:rPr>
              <w:t>Payroll taxes related to stock-based compensation</w:t>
            </w:r>
          </w:p>
        </w:tc>
        <w:tc>
          <w:tcPr>
            <w:tcW w:w="1420" w:type="dxa"/>
            <w:vAlign w:val="bottom"/>
          </w:tcPr>
          <w:p>
            <w:pPr>
              <w:spacing w:after="0"/>
              <w:rPr>
                <w:sz w:val="23"/>
                <w:szCs w:val="23"/>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3,980</w:t>
            </w: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760" w:type="dxa"/>
            <w:vAlign w:val="bottom"/>
          </w:tcPr>
          <w:p>
            <w:pPr>
              <w:jc w:val="right"/>
              <w:ind w:right="79"/>
              <w:spacing w:after="0"/>
              <w:rPr>
                <w:sz w:val="20"/>
                <w:szCs w:val="20"/>
                <w:color w:val="auto"/>
              </w:rPr>
            </w:pPr>
            <w:r>
              <w:rPr>
                <w:rFonts w:ascii="Arial" w:cs="Arial" w:eastAsia="Arial" w:hAnsi="Arial"/>
                <w:sz w:val="16"/>
                <w:szCs w:val="16"/>
                <w:color w:val="auto"/>
              </w:rPr>
              <w:t>1,811</w:t>
            </w:r>
          </w:p>
        </w:tc>
        <w:tc>
          <w:tcPr>
            <w:tcW w:w="0" w:type="dxa"/>
            <w:vAlign w:val="bottom"/>
          </w:tcPr>
          <w:p>
            <w:pPr>
              <w:spacing w:after="0"/>
              <w:rPr>
                <w:sz w:val="1"/>
                <w:szCs w:val="1"/>
                <w:color w:val="auto"/>
              </w:rPr>
            </w:pPr>
          </w:p>
        </w:tc>
      </w:tr>
      <w:tr>
        <w:trPr>
          <w:trHeight w:val="270"/>
        </w:trPr>
        <w:tc>
          <w:tcPr>
            <w:tcW w:w="6620" w:type="dxa"/>
            <w:vAlign w:val="bottom"/>
          </w:tcPr>
          <w:p>
            <w:pPr>
              <w:ind w:left="140"/>
              <w:spacing w:after="0"/>
              <w:rPr>
                <w:sz w:val="20"/>
                <w:szCs w:val="20"/>
                <w:color w:val="auto"/>
              </w:rPr>
            </w:pPr>
            <w:r>
              <w:rPr>
                <w:rFonts w:ascii="Arial" w:cs="Arial" w:eastAsia="Arial" w:hAnsi="Arial"/>
                <w:sz w:val="16"/>
                <w:szCs w:val="16"/>
                <w:color w:val="auto"/>
              </w:rPr>
              <w:t>Amortization of debt discount and issuance costs</w:t>
            </w:r>
          </w:p>
        </w:tc>
        <w:tc>
          <w:tcPr>
            <w:tcW w:w="1420" w:type="dxa"/>
            <w:vAlign w:val="bottom"/>
          </w:tcPr>
          <w:p>
            <w:pPr>
              <w:spacing w:after="0"/>
              <w:rPr>
                <w:sz w:val="23"/>
                <w:szCs w:val="23"/>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5,841</w:t>
            </w: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760" w:type="dxa"/>
            <w:vAlign w:val="bottom"/>
          </w:tcPr>
          <w:p>
            <w:pPr>
              <w:jc w:val="right"/>
              <w:ind w:right="79"/>
              <w:spacing w:after="0"/>
              <w:rPr>
                <w:sz w:val="20"/>
                <w:szCs w:val="20"/>
                <w:color w:val="auto"/>
              </w:rPr>
            </w:pPr>
            <w:r>
              <w:rPr>
                <w:rFonts w:ascii="Arial" w:cs="Arial" w:eastAsia="Arial" w:hAnsi="Arial"/>
                <w:sz w:val="16"/>
                <w:szCs w:val="16"/>
                <w:color w:val="auto"/>
              </w:rPr>
              <w:t>2,695</w:t>
            </w:r>
          </w:p>
        </w:tc>
        <w:tc>
          <w:tcPr>
            <w:tcW w:w="0" w:type="dxa"/>
            <w:vAlign w:val="bottom"/>
          </w:tcPr>
          <w:p>
            <w:pPr>
              <w:spacing w:after="0"/>
              <w:rPr>
                <w:sz w:val="1"/>
                <w:szCs w:val="1"/>
                <w:color w:val="auto"/>
              </w:rPr>
            </w:pPr>
          </w:p>
        </w:tc>
      </w:tr>
      <w:tr>
        <w:trPr>
          <w:trHeight w:val="270"/>
        </w:trPr>
        <w:tc>
          <w:tcPr>
            <w:tcW w:w="6620" w:type="dxa"/>
            <w:vAlign w:val="bottom"/>
          </w:tcPr>
          <w:p>
            <w:pPr>
              <w:ind w:left="140"/>
              <w:spacing w:after="0"/>
              <w:rPr>
                <w:sz w:val="20"/>
                <w:szCs w:val="20"/>
                <w:color w:val="auto"/>
              </w:rPr>
            </w:pPr>
            <w:r>
              <w:rPr>
                <w:rFonts w:ascii="Arial" w:cs="Arial" w:eastAsia="Arial" w:hAnsi="Arial"/>
                <w:sz w:val="16"/>
                <w:szCs w:val="16"/>
                <w:color w:val="auto"/>
              </w:rPr>
              <w:t>Income tax benefit related to acquisition</w:t>
            </w:r>
          </w:p>
        </w:tc>
        <w:tc>
          <w:tcPr>
            <w:tcW w:w="1420" w:type="dxa"/>
            <w:vAlign w:val="bottom"/>
          </w:tcPr>
          <w:p>
            <w:pPr>
              <w:spacing w:after="0"/>
              <w:rPr>
                <w:sz w:val="23"/>
                <w:szCs w:val="23"/>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(63)</w:t>
            </w: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7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6620" w:type="dxa"/>
            <w:vAlign w:val="bottom"/>
          </w:tcPr>
          <w:p>
            <w:pPr>
              <w:ind w:left="140"/>
              <w:spacing w:after="0"/>
              <w:rPr>
                <w:sz w:val="20"/>
                <w:szCs w:val="20"/>
                <w:color w:val="auto"/>
              </w:rPr>
            </w:pPr>
            <w:r>
              <w:rPr>
                <w:rFonts w:ascii="Arial" w:cs="Arial" w:eastAsia="Arial" w:hAnsi="Arial"/>
                <w:sz w:val="16"/>
                <w:szCs w:val="16"/>
                <w:color w:val="auto"/>
              </w:rPr>
              <w:t>Provision for income tax effects related to Non-GAAP adjustments **</w:t>
            </w:r>
          </w:p>
        </w:tc>
        <w:tc>
          <w:tcPr>
            <w:tcW w:w="1420" w:type="dxa"/>
            <w:vAlign w:val="bottom"/>
          </w:tcPr>
          <w:p>
            <w:pPr>
              <w:spacing w:after="0"/>
              <w:rPr>
                <w:sz w:val="23"/>
                <w:szCs w:val="23"/>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(3,588)</w:t>
            </w: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7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662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620" w:type="dxa"/>
            <w:vAlign w:val="bottom"/>
          </w:tcPr>
          <w:p>
            <w:pPr>
              <w:ind w:left="240"/>
              <w:spacing w:after="0"/>
              <w:rPr>
                <w:sz w:val="20"/>
                <w:szCs w:val="20"/>
                <w:color w:val="auto"/>
              </w:rPr>
            </w:pPr>
            <w:r>
              <w:rPr>
                <w:rFonts w:ascii="Arial" w:cs="Arial" w:eastAsia="Arial" w:hAnsi="Arial"/>
                <w:sz w:val="16"/>
                <w:szCs w:val="16"/>
                <w:color w:val="auto"/>
              </w:rPr>
              <w:t>Non-GAAP net income attributable to common stockholders</w:t>
            </w:r>
          </w:p>
        </w:tc>
        <w:tc>
          <w:tcPr>
            <w:tcW w:w="1420" w:type="dxa"/>
            <w:vAlign w:val="bottom"/>
            <w:tcBorders>
              <w:bottom w:val="single" w:sz="8" w:color="auto"/>
            </w:tcBorders>
          </w:tcPr>
          <w:p>
            <w:pPr>
              <w:jc w:val="right"/>
              <w:ind w:right="121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4,853</w:t>
            </w:r>
          </w:p>
        </w:tc>
        <w:tc>
          <w:tcPr>
            <w:tcW w:w="120" w:type="dxa"/>
            <w:vAlign w:val="bottom"/>
          </w:tcPr>
          <w:p>
            <w:pPr>
              <w:spacing w:after="0"/>
              <w:rPr>
                <w:sz w:val="21"/>
                <w:szCs w:val="21"/>
                <w:color w:val="auto"/>
              </w:rPr>
            </w:pPr>
          </w:p>
        </w:tc>
        <w:tc>
          <w:tcPr>
            <w:tcW w:w="5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w w:val="89"/>
              </w:rPr>
              <w:t>$</w:t>
            </w:r>
          </w:p>
        </w:tc>
        <w:tc>
          <w:tcPr>
            <w:tcW w:w="17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2,857</w:t>
            </w: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620" w:type="dxa"/>
            <w:vAlign w:val="bottom"/>
          </w:tcPr>
          <w:p>
            <w:pPr>
              <w:ind w:left="240"/>
              <w:spacing w:after="0"/>
              <w:rPr>
                <w:sz w:val="20"/>
                <w:szCs w:val="20"/>
                <w:color w:val="auto"/>
              </w:rPr>
            </w:pPr>
            <w:r>
              <w:rPr>
                <w:rFonts w:ascii="Arial" w:cs="Arial" w:eastAsia="Arial" w:hAnsi="Arial"/>
                <w:sz w:val="16"/>
                <w:szCs w:val="16"/>
                <w:color w:val="auto"/>
              </w:rPr>
              <w:t>Non-GAAP net income attributable to common stockholders as a % of revenue</w:t>
            </w:r>
          </w:p>
        </w:tc>
        <w:tc>
          <w:tcPr>
            <w:tcW w:w="1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594"/>
        </w:trPr>
        <w:tc>
          <w:tcPr>
            <w:tcW w:w="6620" w:type="dxa"/>
            <w:vAlign w:val="bottom"/>
          </w:tcPr>
          <w:p>
            <w:pPr>
              <w:spacing w:after="0"/>
              <w:rPr>
                <w:sz w:val="20"/>
                <w:szCs w:val="20"/>
                <w:color w:val="auto"/>
              </w:rPr>
            </w:pPr>
            <w:r>
              <w:rPr>
                <w:rFonts w:ascii="Arial" w:cs="Arial" w:eastAsia="Arial" w:hAnsi="Arial"/>
                <w:sz w:val="16"/>
                <w:szCs w:val="16"/>
                <w:b w:val="1"/>
                <w:bCs w:val="1"/>
                <w:color w:val="auto"/>
              </w:rPr>
              <w:t>Net loss per share attributable to common shareholders, basic *</w:t>
            </w:r>
          </w:p>
        </w:tc>
        <w:tc>
          <w:tcPr>
            <w:tcW w:w="1420" w:type="dxa"/>
            <w:vAlign w:val="bottom"/>
          </w:tcPr>
          <w:p>
            <w:pPr>
              <w:jc w:val="right"/>
              <w:ind w:right="12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(0.72)</w:t>
            </w:r>
          </w:p>
        </w:tc>
        <w:tc>
          <w:tcPr>
            <w:tcW w:w="120" w:type="dxa"/>
            <w:vAlign w:val="bottom"/>
          </w:tcPr>
          <w:p>
            <w:pPr>
              <w:spacing w:after="0"/>
              <w:rPr>
                <w:sz w:val="24"/>
                <w:szCs w:val="24"/>
                <w:color w:val="auto"/>
              </w:rPr>
            </w:pPr>
          </w:p>
        </w:tc>
        <w:tc>
          <w:tcPr>
            <w:tcW w:w="560" w:type="dxa"/>
            <w:vAlign w:val="bottom"/>
          </w:tcPr>
          <w:p>
            <w:pPr>
              <w:jc w:val="right"/>
              <w:ind w:right="379"/>
              <w:spacing w:after="0"/>
              <w:rPr>
                <w:sz w:val="20"/>
                <w:szCs w:val="20"/>
                <w:color w:val="auto"/>
              </w:rPr>
            </w:pPr>
            <w:r>
              <w:rPr>
                <w:rFonts w:ascii="Arial" w:cs="Arial" w:eastAsia="Arial" w:hAnsi="Arial"/>
                <w:sz w:val="16"/>
                <w:szCs w:val="16"/>
                <w:color w:val="auto"/>
                <w:w w:val="89"/>
              </w:rPr>
              <w:t>$</w:t>
            </w: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(0.25)</w:t>
            </w:r>
          </w:p>
        </w:tc>
        <w:tc>
          <w:tcPr>
            <w:tcW w:w="0" w:type="dxa"/>
            <w:vAlign w:val="bottom"/>
          </w:tcPr>
          <w:p>
            <w:pPr>
              <w:spacing w:after="0"/>
              <w:rPr>
                <w:sz w:val="1"/>
                <w:szCs w:val="1"/>
                <w:color w:val="auto"/>
              </w:rPr>
            </w:pPr>
          </w:p>
        </w:tc>
      </w:tr>
      <w:tr>
        <w:trPr>
          <w:trHeight w:val="270"/>
        </w:trPr>
        <w:tc>
          <w:tcPr>
            <w:tcW w:w="6620" w:type="dxa"/>
            <w:vAlign w:val="bottom"/>
          </w:tcPr>
          <w:p>
            <w:pPr>
              <w:spacing w:after="0"/>
              <w:rPr>
                <w:sz w:val="20"/>
                <w:szCs w:val="20"/>
                <w:color w:val="auto"/>
              </w:rPr>
            </w:pPr>
            <w:r>
              <w:rPr>
                <w:rFonts w:ascii="Arial" w:cs="Arial" w:eastAsia="Arial" w:hAnsi="Arial"/>
                <w:sz w:val="16"/>
                <w:szCs w:val="16"/>
                <w:color w:val="auto"/>
              </w:rPr>
              <w:t>Non-GAAP adjustments:</w:t>
            </w:r>
          </w:p>
        </w:tc>
        <w:tc>
          <w:tcPr>
            <w:tcW w:w="14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620" w:type="dxa"/>
            <w:vAlign w:val="bottom"/>
          </w:tcPr>
          <w:p>
            <w:pPr>
              <w:ind w:left="140"/>
              <w:spacing w:after="0"/>
              <w:rPr>
                <w:sz w:val="20"/>
                <w:szCs w:val="20"/>
                <w:color w:val="auto"/>
              </w:rPr>
            </w:pPr>
            <w:r>
              <w:rPr>
                <w:rFonts w:ascii="Arial" w:cs="Arial" w:eastAsia="Arial" w:hAnsi="Arial"/>
                <w:sz w:val="16"/>
                <w:szCs w:val="16"/>
                <w:color w:val="auto"/>
              </w:rPr>
              <w:t>Stock-based compensation</w:t>
            </w:r>
          </w:p>
        </w:tc>
        <w:tc>
          <w:tcPr>
            <w:tcW w:w="1420" w:type="dxa"/>
            <w:vAlign w:val="bottom"/>
          </w:tcPr>
          <w:p>
            <w:pPr>
              <w:spacing w:after="0"/>
              <w:rPr>
                <w:sz w:val="23"/>
                <w:szCs w:val="23"/>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0.49</w:t>
            </w: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760" w:type="dxa"/>
            <w:vAlign w:val="bottom"/>
          </w:tcPr>
          <w:p>
            <w:pPr>
              <w:jc w:val="right"/>
              <w:ind w:right="79"/>
              <w:spacing w:after="0"/>
              <w:rPr>
                <w:sz w:val="20"/>
                <w:szCs w:val="20"/>
                <w:color w:val="auto"/>
              </w:rPr>
            </w:pPr>
            <w:r>
              <w:rPr>
                <w:rFonts w:ascii="Arial" w:cs="Arial" w:eastAsia="Arial" w:hAnsi="Arial"/>
                <w:sz w:val="16"/>
                <w:szCs w:val="16"/>
                <w:color w:val="auto"/>
              </w:rPr>
              <w:t>0.20</w:t>
            </w:r>
          </w:p>
        </w:tc>
        <w:tc>
          <w:tcPr>
            <w:tcW w:w="0" w:type="dxa"/>
            <w:vAlign w:val="bottom"/>
          </w:tcPr>
          <w:p>
            <w:pPr>
              <w:spacing w:after="0"/>
              <w:rPr>
                <w:sz w:val="1"/>
                <w:szCs w:val="1"/>
                <w:color w:val="auto"/>
              </w:rPr>
            </w:pPr>
          </w:p>
        </w:tc>
      </w:tr>
      <w:tr>
        <w:trPr>
          <w:trHeight w:val="270"/>
        </w:trPr>
        <w:tc>
          <w:tcPr>
            <w:tcW w:w="6620" w:type="dxa"/>
            <w:vAlign w:val="bottom"/>
          </w:tcPr>
          <w:p>
            <w:pPr>
              <w:ind w:left="140"/>
              <w:spacing w:after="0"/>
              <w:rPr>
                <w:sz w:val="20"/>
                <w:szCs w:val="20"/>
                <w:color w:val="auto"/>
              </w:rPr>
            </w:pPr>
            <w:r>
              <w:rPr>
                <w:rFonts w:ascii="Arial" w:cs="Arial" w:eastAsia="Arial" w:hAnsi="Arial"/>
                <w:sz w:val="16"/>
                <w:szCs w:val="16"/>
                <w:color w:val="auto"/>
              </w:rPr>
              <w:t>Amortization of acquired intangibles</w:t>
            </w:r>
          </w:p>
        </w:tc>
        <w:tc>
          <w:tcPr>
            <w:tcW w:w="1420" w:type="dxa"/>
            <w:vAlign w:val="bottom"/>
          </w:tcPr>
          <w:p>
            <w:pPr>
              <w:spacing w:after="0"/>
              <w:rPr>
                <w:sz w:val="23"/>
                <w:szCs w:val="23"/>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0.13</w:t>
            </w: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760" w:type="dxa"/>
            <w:vAlign w:val="bottom"/>
          </w:tcPr>
          <w:p>
            <w:pPr>
              <w:jc w:val="right"/>
              <w:ind w:right="79"/>
              <w:spacing w:after="0"/>
              <w:rPr>
                <w:sz w:val="20"/>
                <w:szCs w:val="20"/>
                <w:color w:val="auto"/>
              </w:rPr>
            </w:pPr>
            <w:r>
              <w:rPr>
                <w:rFonts w:ascii="Arial" w:cs="Arial" w:eastAsia="Arial" w:hAnsi="Arial"/>
                <w:sz w:val="16"/>
                <w:szCs w:val="16"/>
                <w:color w:val="auto"/>
              </w:rPr>
              <w:t>0.01</w:t>
            </w:r>
          </w:p>
        </w:tc>
        <w:tc>
          <w:tcPr>
            <w:tcW w:w="0" w:type="dxa"/>
            <w:vAlign w:val="bottom"/>
          </w:tcPr>
          <w:p>
            <w:pPr>
              <w:spacing w:after="0"/>
              <w:rPr>
                <w:sz w:val="1"/>
                <w:szCs w:val="1"/>
                <w:color w:val="auto"/>
              </w:rPr>
            </w:pPr>
          </w:p>
        </w:tc>
      </w:tr>
      <w:tr>
        <w:trPr>
          <w:trHeight w:val="270"/>
        </w:trPr>
        <w:tc>
          <w:tcPr>
            <w:tcW w:w="6620" w:type="dxa"/>
            <w:vAlign w:val="bottom"/>
          </w:tcPr>
          <w:p>
            <w:pPr>
              <w:ind w:left="140"/>
              <w:spacing w:after="0"/>
              <w:rPr>
                <w:sz w:val="20"/>
                <w:szCs w:val="20"/>
                <w:color w:val="auto"/>
              </w:rPr>
            </w:pPr>
            <w:r>
              <w:rPr>
                <w:rFonts w:ascii="Arial" w:cs="Arial" w:eastAsia="Arial" w:hAnsi="Arial"/>
                <w:sz w:val="16"/>
                <w:szCs w:val="16"/>
                <w:color w:val="auto"/>
              </w:rPr>
              <w:t>Acquisition-related expenses</w:t>
            </w:r>
          </w:p>
        </w:tc>
        <w:tc>
          <w:tcPr>
            <w:tcW w:w="1420" w:type="dxa"/>
            <w:vAlign w:val="bottom"/>
          </w:tcPr>
          <w:p>
            <w:pPr>
              <w:spacing w:after="0"/>
              <w:rPr>
                <w:sz w:val="23"/>
                <w:szCs w:val="23"/>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0.01</w:t>
            </w: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7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6620" w:type="dxa"/>
            <w:vAlign w:val="bottom"/>
          </w:tcPr>
          <w:p>
            <w:pPr>
              <w:ind w:left="140"/>
              <w:spacing w:after="0"/>
              <w:rPr>
                <w:sz w:val="20"/>
                <w:szCs w:val="20"/>
                <w:color w:val="auto"/>
              </w:rPr>
            </w:pPr>
            <w:r>
              <w:rPr>
                <w:rFonts w:ascii="Arial" w:cs="Arial" w:eastAsia="Arial" w:hAnsi="Arial"/>
                <w:sz w:val="16"/>
                <w:szCs w:val="16"/>
                <w:color w:val="auto"/>
              </w:rPr>
              <w:t>Payroll taxes related to stock-based compensation</w:t>
            </w:r>
          </w:p>
        </w:tc>
        <w:tc>
          <w:tcPr>
            <w:tcW w:w="1420" w:type="dxa"/>
            <w:vAlign w:val="bottom"/>
          </w:tcPr>
          <w:p>
            <w:pPr>
              <w:spacing w:after="0"/>
              <w:rPr>
                <w:sz w:val="23"/>
                <w:szCs w:val="23"/>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0.03</w:t>
            </w: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760" w:type="dxa"/>
            <w:vAlign w:val="bottom"/>
          </w:tcPr>
          <w:p>
            <w:pPr>
              <w:jc w:val="right"/>
              <w:ind w:right="79"/>
              <w:spacing w:after="0"/>
              <w:rPr>
                <w:sz w:val="20"/>
                <w:szCs w:val="20"/>
                <w:color w:val="auto"/>
              </w:rPr>
            </w:pPr>
            <w:r>
              <w:rPr>
                <w:rFonts w:ascii="Arial" w:cs="Arial" w:eastAsia="Arial" w:hAnsi="Arial"/>
                <w:sz w:val="16"/>
                <w:szCs w:val="16"/>
                <w:color w:val="auto"/>
              </w:rPr>
              <w:t>0.02</w:t>
            </w:r>
          </w:p>
        </w:tc>
        <w:tc>
          <w:tcPr>
            <w:tcW w:w="0" w:type="dxa"/>
            <w:vAlign w:val="bottom"/>
          </w:tcPr>
          <w:p>
            <w:pPr>
              <w:spacing w:after="0"/>
              <w:rPr>
                <w:sz w:val="1"/>
                <w:szCs w:val="1"/>
                <w:color w:val="auto"/>
              </w:rPr>
            </w:pPr>
          </w:p>
        </w:tc>
      </w:tr>
      <w:tr>
        <w:trPr>
          <w:trHeight w:val="270"/>
        </w:trPr>
        <w:tc>
          <w:tcPr>
            <w:tcW w:w="6620" w:type="dxa"/>
            <w:vAlign w:val="bottom"/>
          </w:tcPr>
          <w:p>
            <w:pPr>
              <w:ind w:left="140"/>
              <w:spacing w:after="0"/>
              <w:rPr>
                <w:sz w:val="20"/>
                <w:szCs w:val="20"/>
                <w:color w:val="auto"/>
              </w:rPr>
            </w:pPr>
            <w:r>
              <w:rPr>
                <w:rFonts w:ascii="Arial" w:cs="Arial" w:eastAsia="Arial" w:hAnsi="Arial"/>
                <w:sz w:val="16"/>
                <w:szCs w:val="16"/>
                <w:color w:val="auto"/>
              </w:rPr>
              <w:t>Amortization of debt discount and issuance costs</w:t>
            </w:r>
          </w:p>
        </w:tc>
        <w:tc>
          <w:tcPr>
            <w:tcW w:w="1420" w:type="dxa"/>
            <w:vAlign w:val="bottom"/>
          </w:tcPr>
          <w:p>
            <w:pPr>
              <w:spacing w:after="0"/>
              <w:rPr>
                <w:sz w:val="23"/>
                <w:szCs w:val="23"/>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0.04</w:t>
            </w: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760" w:type="dxa"/>
            <w:vAlign w:val="bottom"/>
          </w:tcPr>
          <w:p>
            <w:pPr>
              <w:jc w:val="right"/>
              <w:ind w:right="79"/>
              <w:spacing w:after="0"/>
              <w:rPr>
                <w:sz w:val="20"/>
                <w:szCs w:val="20"/>
                <w:color w:val="auto"/>
              </w:rPr>
            </w:pPr>
            <w:r>
              <w:rPr>
                <w:rFonts w:ascii="Arial" w:cs="Arial" w:eastAsia="Arial" w:hAnsi="Arial"/>
                <w:sz w:val="16"/>
                <w:szCs w:val="16"/>
                <w:color w:val="auto"/>
              </w:rPr>
              <w:t>0.03</w:t>
            </w:r>
          </w:p>
        </w:tc>
        <w:tc>
          <w:tcPr>
            <w:tcW w:w="0" w:type="dxa"/>
            <w:vAlign w:val="bottom"/>
          </w:tcPr>
          <w:p>
            <w:pPr>
              <w:spacing w:after="0"/>
              <w:rPr>
                <w:sz w:val="1"/>
                <w:szCs w:val="1"/>
                <w:color w:val="auto"/>
              </w:rPr>
            </w:pPr>
          </w:p>
        </w:tc>
      </w:tr>
      <w:tr>
        <w:trPr>
          <w:trHeight w:val="270"/>
        </w:trPr>
        <w:tc>
          <w:tcPr>
            <w:tcW w:w="6620" w:type="dxa"/>
            <w:vAlign w:val="bottom"/>
          </w:tcPr>
          <w:p>
            <w:pPr>
              <w:ind w:left="140"/>
              <w:spacing w:after="0"/>
              <w:rPr>
                <w:sz w:val="20"/>
                <w:szCs w:val="20"/>
                <w:color w:val="auto"/>
              </w:rPr>
            </w:pPr>
            <w:r>
              <w:rPr>
                <w:rFonts w:ascii="Arial" w:cs="Arial" w:eastAsia="Arial" w:hAnsi="Arial"/>
                <w:sz w:val="16"/>
                <w:szCs w:val="16"/>
                <w:color w:val="auto"/>
              </w:rPr>
              <w:t>Income tax benefit related to acquisition</w:t>
            </w:r>
          </w:p>
        </w:tc>
        <w:tc>
          <w:tcPr>
            <w:tcW w:w="1420" w:type="dxa"/>
            <w:vAlign w:val="bottom"/>
          </w:tcPr>
          <w:p>
            <w:pPr>
              <w:spacing w:after="0"/>
              <w:rPr>
                <w:sz w:val="23"/>
                <w:szCs w:val="23"/>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23"/>
                <w:szCs w:val="23"/>
                <w:color w:val="auto"/>
              </w:rPr>
            </w:pPr>
          </w:p>
        </w:tc>
        <w:tc>
          <w:tcPr>
            <w:tcW w:w="17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6620" w:type="dxa"/>
            <w:vAlign w:val="bottom"/>
          </w:tcPr>
          <w:p>
            <w:pPr>
              <w:ind w:left="140"/>
              <w:spacing w:after="0"/>
              <w:rPr>
                <w:sz w:val="20"/>
                <w:szCs w:val="20"/>
                <w:color w:val="auto"/>
              </w:rPr>
            </w:pPr>
            <w:r>
              <w:rPr>
                <w:rFonts w:ascii="Arial" w:cs="Arial" w:eastAsia="Arial" w:hAnsi="Arial"/>
                <w:sz w:val="16"/>
                <w:szCs w:val="16"/>
                <w:color w:val="auto"/>
              </w:rPr>
              <w:t>Provision for income tax effects related to Non-GAAP adjustments **</w:t>
            </w:r>
          </w:p>
        </w:tc>
        <w:tc>
          <w:tcPr>
            <w:tcW w:w="1420" w:type="dxa"/>
            <w:vAlign w:val="bottom"/>
          </w:tcPr>
          <w:p>
            <w:pPr>
              <w:spacing w:after="0"/>
              <w:rPr>
                <w:sz w:val="23"/>
                <w:szCs w:val="23"/>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(0.02)</w:t>
            </w: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7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6620" w:type="dxa"/>
            <w:vAlign w:val="bottom"/>
          </w:tcPr>
          <w:p>
            <w:pPr>
              <w:ind w:left="140"/>
              <w:spacing w:after="0"/>
              <w:rPr>
                <w:sz w:val="20"/>
                <w:szCs w:val="20"/>
                <w:color w:val="auto"/>
              </w:rPr>
            </w:pPr>
            <w:r>
              <w:rPr>
                <w:rFonts w:ascii="Arial" w:cs="Arial" w:eastAsia="Arial" w:hAnsi="Arial"/>
                <w:sz w:val="16"/>
                <w:szCs w:val="16"/>
                <w:color w:val="auto"/>
              </w:rPr>
              <w:t>Dilutive securities</w:t>
            </w:r>
          </w:p>
        </w:tc>
        <w:tc>
          <w:tcPr>
            <w:tcW w:w="1420" w:type="dxa"/>
            <w:vAlign w:val="bottom"/>
          </w:tcPr>
          <w:p>
            <w:pPr>
              <w:spacing w:after="0"/>
              <w:rPr>
                <w:sz w:val="23"/>
                <w:szCs w:val="23"/>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0.07</w:t>
            </w: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760" w:type="dxa"/>
            <w:vAlign w:val="bottom"/>
          </w:tcPr>
          <w:p>
            <w:pPr>
              <w:jc w:val="right"/>
              <w:ind w:right="79"/>
              <w:spacing w:after="0"/>
              <w:rPr>
                <w:sz w:val="20"/>
                <w:szCs w:val="20"/>
                <w:color w:val="auto"/>
              </w:rPr>
            </w:pPr>
            <w:r>
              <w:rPr>
                <w:rFonts w:ascii="Arial" w:cs="Arial" w:eastAsia="Arial" w:hAnsi="Arial"/>
                <w:sz w:val="16"/>
                <w:szCs w:val="16"/>
                <w:color w:val="auto"/>
              </w:rPr>
              <w:t>0.02</w:t>
            </w:r>
          </w:p>
        </w:tc>
        <w:tc>
          <w:tcPr>
            <w:tcW w:w="0" w:type="dxa"/>
            <w:vAlign w:val="bottom"/>
          </w:tcPr>
          <w:p>
            <w:pPr>
              <w:spacing w:after="0"/>
              <w:rPr>
                <w:sz w:val="1"/>
                <w:szCs w:val="1"/>
                <w:color w:val="auto"/>
              </w:rPr>
            </w:pPr>
          </w:p>
        </w:tc>
      </w:tr>
      <w:tr>
        <w:trPr>
          <w:trHeight w:val="33"/>
        </w:trPr>
        <w:tc>
          <w:tcPr>
            <w:tcW w:w="662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620" w:type="dxa"/>
            <w:vAlign w:val="bottom"/>
          </w:tcPr>
          <w:p>
            <w:pPr>
              <w:ind w:left="240"/>
              <w:spacing w:after="0"/>
              <w:rPr>
                <w:sz w:val="20"/>
                <w:szCs w:val="20"/>
                <w:color w:val="auto"/>
              </w:rPr>
            </w:pPr>
            <w:r>
              <w:rPr>
                <w:rFonts w:ascii="Arial" w:cs="Arial" w:eastAsia="Arial" w:hAnsi="Arial"/>
                <w:sz w:val="16"/>
                <w:szCs w:val="16"/>
                <w:color w:val="auto"/>
              </w:rPr>
              <w:t>Non-GAAP net income per share attributable to common shareholders, diluted</w:t>
            </w:r>
          </w:p>
        </w:tc>
        <w:tc>
          <w:tcPr>
            <w:tcW w:w="1420" w:type="dxa"/>
            <w:vAlign w:val="bottom"/>
            <w:tcBorders>
              <w:bottom w:val="single" w:sz="8" w:color="auto"/>
            </w:tcBorders>
          </w:tcPr>
          <w:p>
            <w:pPr>
              <w:jc w:val="right"/>
              <w:ind w:right="121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0.03</w:t>
            </w:r>
          </w:p>
        </w:tc>
        <w:tc>
          <w:tcPr>
            <w:tcW w:w="120" w:type="dxa"/>
            <w:vAlign w:val="bottom"/>
          </w:tcPr>
          <w:p>
            <w:pPr>
              <w:spacing w:after="0"/>
              <w:rPr>
                <w:sz w:val="21"/>
                <w:szCs w:val="21"/>
                <w:color w:val="auto"/>
              </w:rPr>
            </w:pPr>
          </w:p>
        </w:tc>
        <w:tc>
          <w:tcPr>
            <w:tcW w:w="5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w w:val="89"/>
              </w:rPr>
              <w:t>$</w:t>
            </w:r>
          </w:p>
        </w:tc>
        <w:tc>
          <w:tcPr>
            <w:tcW w:w="17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0.03</w:t>
            </w:r>
          </w:p>
        </w:tc>
        <w:tc>
          <w:tcPr>
            <w:tcW w:w="0" w:type="dxa"/>
            <w:vAlign w:val="bottom"/>
          </w:tcPr>
          <w:p>
            <w:pPr>
              <w:spacing w:after="0"/>
              <w:rPr>
                <w:sz w:val="1"/>
                <w:szCs w:val="1"/>
                <w:color w:val="auto"/>
              </w:rPr>
            </w:pPr>
          </w:p>
        </w:tc>
      </w:tr>
      <w:tr>
        <w:trPr>
          <w:trHeight w:val="20"/>
        </w:trPr>
        <w:tc>
          <w:tcPr>
            <w:tcW w:w="6620" w:type="dxa"/>
            <w:vAlign w:val="bottom"/>
            <w:vMerge w:val="restart"/>
          </w:tcPr>
          <w:p>
            <w:pPr>
              <w:spacing w:after="0"/>
              <w:rPr>
                <w:sz w:val="20"/>
                <w:szCs w:val="20"/>
                <w:color w:val="auto"/>
              </w:rPr>
            </w:pPr>
            <w:r>
              <w:rPr>
                <w:rFonts w:ascii="Arial" w:cs="Arial" w:eastAsia="Arial" w:hAnsi="Arial"/>
                <w:sz w:val="16"/>
                <w:szCs w:val="16"/>
                <w:b w:val="1"/>
                <w:bCs w:val="1"/>
                <w:color w:val="auto"/>
                <w:w w:val="94"/>
              </w:rPr>
              <w:t>GAAP weighted-average shares used to compute net loss per share attributable to common</w:t>
            </w:r>
          </w:p>
        </w:tc>
        <w:tc>
          <w:tcPr>
            <w:tcW w:w="1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6620" w:type="dxa"/>
            <w:vAlign w:val="bottom"/>
            <w:vMerge w:val="continue"/>
          </w:tcPr>
          <w:p>
            <w:pPr>
              <w:spacing w:after="0"/>
              <w:rPr>
                <w:sz w:val="24"/>
                <w:szCs w:val="24"/>
                <w:color w:val="auto"/>
              </w:rPr>
            </w:pPr>
          </w:p>
        </w:tc>
        <w:tc>
          <w:tcPr>
            <w:tcW w:w="1420" w:type="dxa"/>
            <w:vAlign w:val="bottom"/>
          </w:tcPr>
          <w:p>
            <w:pPr>
              <w:spacing w:after="0"/>
              <w:rPr>
                <w:sz w:val="24"/>
                <w:szCs w:val="2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w w:val="96"/>
              </w:rPr>
              <w:t>129,310,641</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760" w:type="dxa"/>
            <w:vAlign w:val="bottom"/>
            <w:vMerge w:val="restart"/>
          </w:tcPr>
          <w:p>
            <w:pPr>
              <w:jc w:val="right"/>
              <w:spacing w:after="0"/>
              <w:rPr>
                <w:sz w:val="20"/>
                <w:szCs w:val="20"/>
                <w:color w:val="auto"/>
              </w:rPr>
            </w:pPr>
            <w:r>
              <w:rPr>
                <w:rFonts w:ascii="Arial" w:cs="Arial" w:eastAsia="Arial" w:hAnsi="Arial"/>
                <w:sz w:val="16"/>
                <w:szCs w:val="16"/>
                <w:color w:val="auto"/>
              </w:rPr>
              <w:t>96,348,356</w:t>
            </w:r>
          </w:p>
        </w:tc>
        <w:tc>
          <w:tcPr>
            <w:tcW w:w="0" w:type="dxa"/>
            <w:vAlign w:val="bottom"/>
          </w:tcPr>
          <w:p>
            <w:pPr>
              <w:spacing w:after="0"/>
              <w:rPr>
                <w:sz w:val="1"/>
                <w:szCs w:val="1"/>
                <w:color w:val="auto"/>
              </w:rPr>
            </w:pPr>
          </w:p>
        </w:tc>
      </w:tr>
      <w:tr>
        <w:trPr>
          <w:trHeight w:val="223"/>
        </w:trPr>
        <w:tc>
          <w:tcPr>
            <w:tcW w:w="6620" w:type="dxa"/>
            <w:vAlign w:val="bottom"/>
          </w:tcPr>
          <w:p>
            <w:pPr>
              <w:spacing w:after="0"/>
              <w:rPr>
                <w:sz w:val="20"/>
                <w:szCs w:val="20"/>
                <w:color w:val="auto"/>
              </w:rPr>
            </w:pPr>
            <w:r>
              <w:rPr>
                <w:rFonts w:ascii="Arial" w:cs="Arial" w:eastAsia="Arial" w:hAnsi="Arial"/>
                <w:sz w:val="16"/>
                <w:szCs w:val="16"/>
                <w:b w:val="1"/>
                <w:bCs w:val="1"/>
                <w:color w:val="auto"/>
              </w:rPr>
              <w:t>stockholders, basic</w:t>
            </w:r>
          </w:p>
        </w:tc>
        <w:tc>
          <w:tcPr>
            <w:tcW w:w="1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20" w:type="dxa"/>
            <w:vAlign w:val="bottom"/>
            <w:vMerge w:val="restart"/>
          </w:tcPr>
          <w:p>
            <w:pPr>
              <w:spacing w:after="0"/>
              <w:rPr>
                <w:sz w:val="20"/>
                <w:szCs w:val="20"/>
                <w:color w:val="auto"/>
              </w:rPr>
            </w:pPr>
            <w:r>
              <w:rPr>
                <w:rFonts w:ascii="Arial" w:cs="Arial" w:eastAsia="Arial" w:hAnsi="Arial"/>
                <w:sz w:val="16"/>
                <w:szCs w:val="16"/>
                <w:b w:val="1"/>
                <w:bCs w:val="1"/>
                <w:color w:val="auto"/>
              </w:rPr>
              <w:t>Effect of dilutive securities (stock options and restricted stock units)</w:t>
            </w:r>
          </w:p>
        </w:tc>
        <w:tc>
          <w:tcPr>
            <w:tcW w:w="1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6620" w:type="dxa"/>
            <w:vAlign w:val="bottom"/>
            <w:vMerge w:val="continue"/>
          </w:tcPr>
          <w:p>
            <w:pPr>
              <w:spacing w:after="0"/>
              <w:rPr>
                <w:sz w:val="24"/>
                <w:szCs w:val="24"/>
                <w:color w:val="auto"/>
              </w:rPr>
            </w:pPr>
          </w:p>
        </w:tc>
        <w:tc>
          <w:tcPr>
            <w:tcW w:w="14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14,349,437</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10,255,515</w:t>
            </w:r>
          </w:p>
        </w:tc>
        <w:tc>
          <w:tcPr>
            <w:tcW w:w="0" w:type="dxa"/>
            <w:vAlign w:val="bottom"/>
          </w:tcPr>
          <w:p>
            <w:pPr>
              <w:spacing w:after="0"/>
              <w:rPr>
                <w:sz w:val="1"/>
                <w:szCs w:val="1"/>
                <w:color w:val="auto"/>
              </w:rPr>
            </w:pPr>
          </w:p>
        </w:tc>
      </w:tr>
      <w:tr>
        <w:trPr>
          <w:trHeight w:val="573"/>
        </w:trPr>
        <w:tc>
          <w:tcPr>
            <w:tcW w:w="6620" w:type="dxa"/>
            <w:vAlign w:val="bottom"/>
          </w:tcPr>
          <w:p>
            <w:pPr>
              <w:spacing w:after="0"/>
              <w:rPr>
                <w:sz w:val="20"/>
                <w:szCs w:val="20"/>
                <w:color w:val="auto"/>
              </w:rPr>
            </w:pPr>
            <w:r>
              <w:rPr>
                <w:rFonts w:ascii="Arial" w:cs="Arial" w:eastAsia="Arial" w:hAnsi="Arial"/>
                <w:sz w:val="16"/>
                <w:szCs w:val="16"/>
                <w:b w:val="1"/>
                <w:bCs w:val="1"/>
                <w:color w:val="auto"/>
                <w:w w:val="99"/>
              </w:rPr>
              <w:t>Non-GAAP weighted-average shares used to compute Non-GAAP net income per share</w:t>
            </w:r>
          </w:p>
        </w:tc>
        <w:tc>
          <w:tcPr>
            <w:tcW w:w="1420" w:type="dxa"/>
            <w:vAlign w:val="bottom"/>
          </w:tcPr>
          <w:p>
            <w:pPr>
              <w:spacing w:after="0"/>
              <w:rPr>
                <w:sz w:val="24"/>
                <w:szCs w:val="2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w w:val="96"/>
              </w:rPr>
              <w:t>143,660,078</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760" w:type="dxa"/>
            <w:vAlign w:val="bottom"/>
            <w:vMerge w:val="restart"/>
          </w:tcPr>
          <w:p>
            <w:pPr>
              <w:jc w:val="right"/>
              <w:spacing w:after="0"/>
              <w:rPr>
                <w:sz w:val="20"/>
                <w:szCs w:val="20"/>
                <w:color w:val="auto"/>
              </w:rPr>
            </w:pPr>
            <w:r>
              <w:rPr>
                <w:rFonts w:ascii="Arial" w:cs="Arial" w:eastAsia="Arial" w:hAnsi="Arial"/>
                <w:sz w:val="16"/>
                <w:szCs w:val="16"/>
                <w:color w:val="auto"/>
              </w:rPr>
              <w:t>106,603,871</w:t>
            </w:r>
          </w:p>
        </w:tc>
        <w:tc>
          <w:tcPr>
            <w:tcW w:w="0" w:type="dxa"/>
            <w:vAlign w:val="bottom"/>
          </w:tcPr>
          <w:p>
            <w:pPr>
              <w:spacing w:after="0"/>
              <w:rPr>
                <w:sz w:val="1"/>
                <w:szCs w:val="1"/>
                <w:color w:val="auto"/>
              </w:rPr>
            </w:pPr>
          </w:p>
        </w:tc>
      </w:tr>
      <w:tr>
        <w:trPr>
          <w:trHeight w:val="223"/>
        </w:trPr>
        <w:tc>
          <w:tcPr>
            <w:tcW w:w="6620" w:type="dxa"/>
            <w:vAlign w:val="bottom"/>
          </w:tcPr>
          <w:p>
            <w:pPr>
              <w:spacing w:after="0"/>
              <w:rPr>
                <w:sz w:val="20"/>
                <w:szCs w:val="20"/>
                <w:color w:val="auto"/>
              </w:rPr>
            </w:pPr>
            <w:r>
              <w:rPr>
                <w:rFonts w:ascii="Arial" w:cs="Arial" w:eastAsia="Arial" w:hAnsi="Arial"/>
                <w:sz w:val="16"/>
                <w:szCs w:val="16"/>
                <w:b w:val="1"/>
                <w:bCs w:val="1"/>
                <w:color w:val="auto"/>
              </w:rPr>
              <w:t>attributable to common stockholders, diluted</w:t>
            </w:r>
          </w:p>
        </w:tc>
        <w:tc>
          <w:tcPr>
            <w:tcW w:w="1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8" w:lineRule="exact"/>
        <w:rPr>
          <w:sz w:val="20"/>
          <w:szCs w:val="20"/>
          <w:color w:val="auto"/>
        </w:rPr>
      </w:pPr>
    </w:p>
    <w:p>
      <w:pPr>
        <w:spacing w:after="0"/>
        <w:rPr>
          <w:sz w:val="20"/>
          <w:szCs w:val="20"/>
          <w:color w:val="auto"/>
        </w:rPr>
      </w:pPr>
      <w:r>
        <w:rPr>
          <w:rFonts w:ascii="Arial" w:cs="Arial" w:eastAsia="Arial" w:hAnsi="Arial"/>
          <w:sz w:val="16"/>
          <w:szCs w:val="16"/>
          <w:color w:val="auto"/>
        </w:rPr>
        <w:t>* Some columns may not add due to rounding</w:t>
      </w:r>
    </w:p>
    <w:p>
      <w:pPr>
        <w:spacing w:after="0" w:line="194" w:lineRule="exact"/>
        <w:rPr>
          <w:sz w:val="20"/>
          <w:szCs w:val="20"/>
          <w:color w:val="auto"/>
        </w:rPr>
      </w:pPr>
    </w:p>
    <w:p>
      <w:pPr>
        <w:ind w:left="220" w:hanging="212"/>
        <w:spacing w:after="0"/>
        <w:tabs>
          <w:tab w:leader="none" w:pos="220" w:val="left"/>
        </w:tabs>
        <w:numPr>
          <w:ilvl w:val="0"/>
          <w:numId w:val="5"/>
        </w:numPr>
        <w:rPr>
          <w:rFonts w:ascii="Arial" w:cs="Arial" w:eastAsia="Arial" w:hAnsi="Arial"/>
          <w:sz w:val="16"/>
          <w:szCs w:val="16"/>
          <w:color w:val="auto"/>
        </w:rPr>
      </w:pPr>
      <w:r>
        <w:rPr>
          <w:rFonts w:ascii="Arial" w:cs="Arial" w:eastAsia="Arial" w:hAnsi="Arial"/>
          <w:sz w:val="16"/>
          <w:szCs w:val="16"/>
          <w:color w:val="auto"/>
        </w:rPr>
        <w:t>Represents the tax effect of the non-GAAP adjustments based on the estimated annual effective tax rate of 25%</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75" w:lineRule="exact"/>
        <w:rPr>
          <w:rFonts w:ascii="Arial" w:cs="Arial" w:eastAsia="Arial" w:hAnsi="Arial"/>
          <w:sz w:val="16"/>
          <w:szCs w:val="16"/>
          <w:color w:val="auto"/>
        </w:rPr>
      </w:pPr>
    </w:p>
    <w:p>
      <w:pPr>
        <w:ind w:left="5660"/>
        <w:spacing w:after="0"/>
        <w:rPr>
          <w:rFonts w:ascii="Arial" w:cs="Arial" w:eastAsia="Arial" w:hAnsi="Arial"/>
          <w:sz w:val="16"/>
          <w:szCs w:val="16"/>
          <w:color w:val="auto"/>
        </w:rPr>
      </w:pPr>
      <w:r>
        <w:rPr>
          <w:rFonts w:ascii="Arial" w:cs="Arial" w:eastAsia="Arial" w:hAnsi="Arial"/>
          <w:sz w:val="18"/>
          <w:szCs w:val="18"/>
          <w:color w:val="auto"/>
        </w:rPr>
        <w:t>9</w:t>
      </w:r>
    </w:p>
    <w:p>
      <w:pPr>
        <w:sectPr>
          <w:pgSz w:w="11900" w:h="16838" w:orient="portrait"/>
          <w:cols w:equalWidth="0" w:num="1">
            <w:col w:w="11420"/>
          </w:cols>
          <w:pgMar w:left="240" w:top="585"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TWILIO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Metrics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117094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17094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tbl>
      <w:tblPr>
        <w:tblLayout w:type="fixed"/>
        <w:tblInd w:w="40" w:type="dxa"/>
        <w:tblCellMar>
          <w:top w:w="0" w:type="dxa"/>
          <w:left w:w="0" w:type="dxa"/>
          <w:bottom w:w="0" w:type="dxa"/>
          <w:right w:w="0" w:type="dxa"/>
        </w:tblCellMar>
      </w:tblPr>
      <w:tr>
        <w:trPr>
          <w:trHeight w:val="174"/>
        </w:trPr>
        <w:tc>
          <w:tcPr>
            <w:tcW w:w="3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5"/>
          </w:tcPr>
          <w:p>
            <w:pPr>
              <w:jc w:val="right"/>
              <w:ind w:right="17"/>
              <w:spacing w:after="0"/>
              <w:rPr>
                <w:sz w:val="20"/>
                <w:szCs w:val="20"/>
                <w:color w:val="auto"/>
              </w:rPr>
            </w:pPr>
            <w:r>
              <w:rPr>
                <w:rFonts w:ascii="Arial" w:cs="Arial" w:eastAsia="Arial" w:hAnsi="Arial"/>
                <w:sz w:val="13"/>
                <w:szCs w:val="13"/>
                <w:b w:val="1"/>
                <w:bCs w:val="1"/>
                <w:color w:val="auto"/>
              </w:rPr>
              <w:t>Three Months Ended</w:t>
            </w:r>
          </w:p>
        </w:tc>
        <w:tc>
          <w:tcPr>
            <w:tcW w:w="6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r>
      <w:tr>
        <w:trPr>
          <w:trHeight w:val="144"/>
        </w:trPr>
        <w:tc>
          <w:tcPr>
            <w:tcW w:w="3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ind w:left="60"/>
              <w:spacing w:after="0" w:line="144" w:lineRule="exact"/>
              <w:rPr>
                <w:sz w:val="20"/>
                <w:szCs w:val="20"/>
                <w:color w:val="auto"/>
              </w:rPr>
            </w:pPr>
            <w:r>
              <w:rPr>
                <w:rFonts w:ascii="Arial" w:cs="Arial" w:eastAsia="Arial" w:hAnsi="Arial"/>
                <w:sz w:val="13"/>
                <w:szCs w:val="13"/>
                <w:b w:val="1"/>
                <w:bCs w:val="1"/>
                <w:color w:val="auto"/>
              </w:rPr>
              <w:t>Jun 30,</w:t>
            </w:r>
          </w:p>
        </w:tc>
        <w:tc>
          <w:tcPr>
            <w:tcW w:w="140" w:type="dxa"/>
            <w:vAlign w:val="bottom"/>
          </w:tcPr>
          <w:p>
            <w:pPr>
              <w:spacing w:after="0"/>
              <w:rPr>
                <w:sz w:val="12"/>
                <w:szCs w:val="12"/>
                <w:color w:val="auto"/>
              </w:rPr>
            </w:pPr>
          </w:p>
        </w:tc>
        <w:tc>
          <w:tcPr>
            <w:tcW w:w="780" w:type="dxa"/>
            <w:vAlign w:val="bottom"/>
            <w:gridSpan w:val="2"/>
          </w:tcPr>
          <w:p>
            <w:pPr>
              <w:ind w:left="60"/>
              <w:spacing w:after="0" w:line="144" w:lineRule="exact"/>
              <w:rPr>
                <w:sz w:val="20"/>
                <w:szCs w:val="20"/>
                <w:color w:val="auto"/>
              </w:rPr>
            </w:pPr>
            <w:r>
              <w:rPr>
                <w:rFonts w:ascii="Arial" w:cs="Arial" w:eastAsia="Arial" w:hAnsi="Arial"/>
                <w:sz w:val="13"/>
                <w:szCs w:val="13"/>
                <w:b w:val="1"/>
                <w:bCs w:val="1"/>
                <w:color w:val="auto"/>
              </w:rPr>
              <w:t>Sep 30,</w:t>
            </w:r>
          </w:p>
        </w:tc>
        <w:tc>
          <w:tcPr>
            <w:tcW w:w="920" w:type="dxa"/>
            <w:vAlign w:val="bottom"/>
            <w:gridSpan w:val="2"/>
          </w:tcPr>
          <w:p>
            <w:pPr>
              <w:ind w:left="200"/>
              <w:spacing w:after="0" w:line="144" w:lineRule="exact"/>
              <w:rPr>
                <w:sz w:val="20"/>
                <w:szCs w:val="20"/>
                <w:color w:val="auto"/>
              </w:rPr>
            </w:pPr>
            <w:r>
              <w:rPr>
                <w:rFonts w:ascii="Arial" w:cs="Arial" w:eastAsia="Arial" w:hAnsi="Arial"/>
                <w:sz w:val="13"/>
                <w:szCs w:val="13"/>
                <w:b w:val="1"/>
                <w:bCs w:val="1"/>
                <w:color w:val="auto"/>
              </w:rPr>
              <w:t>Dec 31,</w:t>
            </w:r>
          </w:p>
        </w:tc>
        <w:tc>
          <w:tcPr>
            <w:tcW w:w="920" w:type="dxa"/>
            <w:vAlign w:val="bottom"/>
            <w:gridSpan w:val="2"/>
          </w:tcPr>
          <w:p>
            <w:pPr>
              <w:ind w:left="180"/>
              <w:spacing w:after="0" w:line="144" w:lineRule="exact"/>
              <w:rPr>
                <w:sz w:val="20"/>
                <w:szCs w:val="20"/>
                <w:color w:val="auto"/>
              </w:rPr>
            </w:pPr>
            <w:r>
              <w:rPr>
                <w:rFonts w:ascii="Arial" w:cs="Arial" w:eastAsia="Arial" w:hAnsi="Arial"/>
                <w:sz w:val="13"/>
                <w:szCs w:val="13"/>
                <w:b w:val="1"/>
                <w:bCs w:val="1"/>
                <w:color w:val="auto"/>
              </w:rPr>
              <w:t>Mar 31,</w:t>
            </w:r>
          </w:p>
        </w:tc>
        <w:tc>
          <w:tcPr>
            <w:tcW w:w="920" w:type="dxa"/>
            <w:vAlign w:val="bottom"/>
            <w:gridSpan w:val="2"/>
          </w:tcPr>
          <w:p>
            <w:pPr>
              <w:ind w:left="180"/>
              <w:spacing w:after="0" w:line="144" w:lineRule="exact"/>
              <w:rPr>
                <w:sz w:val="20"/>
                <w:szCs w:val="20"/>
                <w:color w:val="auto"/>
              </w:rPr>
            </w:pPr>
            <w:r>
              <w:rPr>
                <w:rFonts w:ascii="Arial" w:cs="Arial" w:eastAsia="Arial" w:hAnsi="Arial"/>
                <w:sz w:val="13"/>
                <w:szCs w:val="13"/>
                <w:b w:val="1"/>
                <w:bCs w:val="1"/>
                <w:color w:val="auto"/>
              </w:rPr>
              <w:t>Jun 30,</w:t>
            </w:r>
          </w:p>
        </w:tc>
        <w:tc>
          <w:tcPr>
            <w:tcW w:w="140" w:type="dxa"/>
            <w:vAlign w:val="bottom"/>
          </w:tcPr>
          <w:p>
            <w:pPr>
              <w:spacing w:after="0"/>
              <w:rPr>
                <w:sz w:val="12"/>
                <w:szCs w:val="12"/>
                <w:color w:val="auto"/>
              </w:rPr>
            </w:pPr>
          </w:p>
        </w:tc>
        <w:tc>
          <w:tcPr>
            <w:tcW w:w="780" w:type="dxa"/>
            <w:vAlign w:val="bottom"/>
            <w:gridSpan w:val="2"/>
          </w:tcPr>
          <w:p>
            <w:pPr>
              <w:ind w:left="60"/>
              <w:spacing w:after="0" w:line="144" w:lineRule="exact"/>
              <w:rPr>
                <w:sz w:val="20"/>
                <w:szCs w:val="20"/>
                <w:color w:val="auto"/>
              </w:rPr>
            </w:pPr>
            <w:r>
              <w:rPr>
                <w:rFonts w:ascii="Arial" w:cs="Arial" w:eastAsia="Arial" w:hAnsi="Arial"/>
                <w:sz w:val="13"/>
                <w:szCs w:val="13"/>
                <w:b w:val="1"/>
                <w:bCs w:val="1"/>
                <w:color w:val="auto"/>
              </w:rPr>
              <w:t>Sep 30,</w:t>
            </w:r>
          </w:p>
        </w:tc>
        <w:tc>
          <w:tcPr>
            <w:tcW w:w="920" w:type="dxa"/>
            <w:vAlign w:val="bottom"/>
            <w:gridSpan w:val="2"/>
          </w:tcPr>
          <w:p>
            <w:pPr>
              <w:ind w:left="180"/>
              <w:spacing w:after="0" w:line="144" w:lineRule="exact"/>
              <w:rPr>
                <w:sz w:val="20"/>
                <w:szCs w:val="20"/>
                <w:color w:val="auto"/>
              </w:rPr>
            </w:pPr>
            <w:r>
              <w:rPr>
                <w:rFonts w:ascii="Arial" w:cs="Arial" w:eastAsia="Arial" w:hAnsi="Arial"/>
                <w:sz w:val="13"/>
                <w:szCs w:val="13"/>
                <w:b w:val="1"/>
                <w:bCs w:val="1"/>
                <w:color w:val="auto"/>
              </w:rPr>
              <w:t>Dec 31,</w:t>
            </w:r>
          </w:p>
        </w:tc>
        <w:tc>
          <w:tcPr>
            <w:tcW w:w="900" w:type="dxa"/>
            <w:vAlign w:val="bottom"/>
            <w:gridSpan w:val="2"/>
          </w:tcPr>
          <w:p>
            <w:pPr>
              <w:ind w:left="160"/>
              <w:spacing w:after="0" w:line="144" w:lineRule="exact"/>
              <w:rPr>
                <w:sz w:val="20"/>
                <w:szCs w:val="20"/>
                <w:color w:val="auto"/>
              </w:rPr>
            </w:pPr>
            <w:r>
              <w:rPr>
                <w:rFonts w:ascii="Arial" w:cs="Arial" w:eastAsia="Arial" w:hAnsi="Arial"/>
                <w:sz w:val="13"/>
                <w:szCs w:val="13"/>
                <w:b w:val="1"/>
                <w:bCs w:val="1"/>
                <w:color w:val="auto"/>
              </w:rPr>
              <w:t>Mar 31,</w:t>
            </w:r>
          </w:p>
        </w:tc>
        <w:tc>
          <w:tcPr>
            <w:tcW w:w="820" w:type="dxa"/>
            <w:vAlign w:val="bottom"/>
          </w:tcPr>
          <w:p>
            <w:pPr>
              <w:jc w:val="right"/>
              <w:ind w:right="157"/>
              <w:spacing w:after="0" w:line="144" w:lineRule="exact"/>
              <w:rPr>
                <w:sz w:val="20"/>
                <w:szCs w:val="20"/>
                <w:color w:val="auto"/>
              </w:rPr>
            </w:pPr>
            <w:r>
              <w:rPr>
                <w:rFonts w:ascii="Arial" w:cs="Arial" w:eastAsia="Arial" w:hAnsi="Arial"/>
                <w:sz w:val="13"/>
                <w:szCs w:val="13"/>
                <w:b w:val="1"/>
                <w:bCs w:val="1"/>
                <w:color w:val="auto"/>
              </w:rPr>
              <w:t>Jun 30,</w:t>
            </w:r>
          </w:p>
        </w:tc>
      </w:tr>
      <w:tr>
        <w:trPr>
          <w:trHeight w:val="174"/>
        </w:trPr>
        <w:tc>
          <w:tcPr>
            <w:tcW w:w="3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b w:val="1"/>
                <w:bCs w:val="1"/>
                <w:color w:val="auto"/>
              </w:rPr>
              <w:t>2017</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b w:val="1"/>
                <w:bCs w:val="1"/>
                <w:color w:val="auto"/>
              </w:rPr>
              <w:t>2017</w:t>
            </w:r>
          </w:p>
        </w:tc>
        <w:tc>
          <w:tcPr>
            <w:tcW w:w="100" w:type="dxa"/>
            <w:vAlign w:val="bottom"/>
          </w:tcPr>
          <w:p>
            <w:pPr>
              <w:spacing w:after="0"/>
              <w:rPr>
                <w:sz w:val="15"/>
                <w:szCs w:val="15"/>
                <w:color w:val="auto"/>
              </w:rPr>
            </w:pPr>
          </w:p>
        </w:tc>
        <w:tc>
          <w:tcPr>
            <w:tcW w:w="80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2017</w:t>
            </w:r>
          </w:p>
        </w:tc>
        <w:tc>
          <w:tcPr>
            <w:tcW w:w="120" w:type="dxa"/>
            <w:vAlign w:val="bottom"/>
          </w:tcPr>
          <w:p>
            <w:pPr>
              <w:spacing w:after="0"/>
              <w:rPr>
                <w:sz w:val="15"/>
                <w:szCs w:val="15"/>
                <w:color w:val="auto"/>
              </w:rPr>
            </w:pPr>
          </w:p>
        </w:tc>
        <w:tc>
          <w:tcPr>
            <w:tcW w:w="80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b w:val="1"/>
                <w:bCs w:val="1"/>
                <w:color w:val="auto"/>
              </w:rPr>
              <w:t>2018</w:t>
            </w:r>
          </w:p>
        </w:tc>
        <w:tc>
          <w:tcPr>
            <w:tcW w:w="120" w:type="dxa"/>
            <w:vAlign w:val="bottom"/>
          </w:tcPr>
          <w:p>
            <w:pPr>
              <w:spacing w:after="0"/>
              <w:rPr>
                <w:sz w:val="15"/>
                <w:szCs w:val="15"/>
                <w:color w:val="auto"/>
              </w:rPr>
            </w:pPr>
          </w:p>
        </w:tc>
        <w:tc>
          <w:tcPr>
            <w:tcW w:w="80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b w:val="1"/>
                <w:bCs w:val="1"/>
                <w:color w:val="auto"/>
              </w:rPr>
              <w:t>2018</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b w:val="1"/>
                <w:bCs w:val="1"/>
                <w:color w:val="auto"/>
              </w:rPr>
              <w:t>2018</w:t>
            </w:r>
          </w:p>
        </w:tc>
        <w:tc>
          <w:tcPr>
            <w:tcW w:w="120" w:type="dxa"/>
            <w:vAlign w:val="bottom"/>
          </w:tcPr>
          <w:p>
            <w:pPr>
              <w:spacing w:after="0"/>
              <w:rPr>
                <w:sz w:val="15"/>
                <w:szCs w:val="15"/>
                <w:color w:val="auto"/>
              </w:rPr>
            </w:pPr>
          </w:p>
        </w:tc>
        <w:tc>
          <w:tcPr>
            <w:tcW w:w="80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b w:val="1"/>
                <w:bCs w:val="1"/>
                <w:color w:val="auto"/>
              </w:rPr>
              <w:t>2018</w:t>
            </w:r>
          </w:p>
        </w:tc>
        <w:tc>
          <w:tcPr>
            <w:tcW w:w="120" w:type="dxa"/>
            <w:vAlign w:val="bottom"/>
          </w:tcPr>
          <w:p>
            <w:pPr>
              <w:spacing w:after="0"/>
              <w:rPr>
                <w:sz w:val="15"/>
                <w:szCs w:val="15"/>
                <w:color w:val="auto"/>
              </w:rPr>
            </w:pPr>
          </w:p>
        </w:tc>
        <w:tc>
          <w:tcPr>
            <w:tcW w:w="80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5"/>
                <w:szCs w:val="15"/>
                <w:color w:val="auto"/>
              </w:rPr>
            </w:pPr>
          </w:p>
        </w:tc>
        <w:tc>
          <w:tcPr>
            <w:tcW w:w="82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b w:val="1"/>
                <w:bCs w:val="1"/>
                <w:color w:val="auto"/>
              </w:rPr>
              <w:t>2019</w:t>
            </w:r>
          </w:p>
        </w:tc>
      </w:tr>
      <w:tr>
        <w:trPr>
          <w:trHeight w:val="241"/>
        </w:trPr>
        <w:tc>
          <w:tcPr>
            <w:tcW w:w="3220" w:type="dxa"/>
            <w:vAlign w:val="bottom"/>
          </w:tcPr>
          <w:p>
            <w:pPr>
              <w:spacing w:after="0"/>
              <w:rPr>
                <w:sz w:val="20"/>
                <w:szCs w:val="20"/>
                <w:color w:val="auto"/>
              </w:rPr>
            </w:pPr>
            <w:r>
              <w:rPr>
                <w:rFonts w:ascii="Arial" w:cs="Arial" w:eastAsia="Arial" w:hAnsi="Arial"/>
                <w:sz w:val="13"/>
                <w:szCs w:val="13"/>
                <w:color w:val="auto"/>
              </w:rPr>
              <w:t xml:space="preserve">Number of Active Customers </w:t>
            </w:r>
            <w:r>
              <w:rPr>
                <w:rFonts w:ascii="Arial" w:cs="Arial" w:eastAsia="Arial" w:hAnsi="Arial"/>
                <w:sz w:val="13"/>
                <w:szCs w:val="13"/>
                <w:i w:val="1"/>
                <w:iCs w:val="1"/>
                <w:color w:val="auto"/>
              </w:rPr>
              <w:t>(as of period end date)</w:t>
            </w:r>
          </w:p>
        </w:tc>
        <w:tc>
          <w:tcPr>
            <w:tcW w:w="140" w:type="dxa"/>
            <w:vAlign w:val="bottom"/>
          </w:tcPr>
          <w:p>
            <w:pPr>
              <w:spacing w:after="0"/>
              <w:rPr>
                <w:sz w:val="20"/>
                <w:szCs w:val="20"/>
                <w:color w:val="auto"/>
              </w:rPr>
            </w:pPr>
          </w:p>
        </w:tc>
        <w:tc>
          <w:tcPr>
            <w:tcW w:w="680" w:type="dxa"/>
            <w:vAlign w:val="bottom"/>
          </w:tcPr>
          <w:p>
            <w:pPr>
              <w:jc w:val="right"/>
              <w:ind w:right="77"/>
              <w:spacing w:after="0"/>
              <w:rPr>
                <w:sz w:val="20"/>
                <w:szCs w:val="20"/>
                <w:color w:val="auto"/>
              </w:rPr>
            </w:pPr>
            <w:r>
              <w:rPr>
                <w:rFonts w:ascii="Arial" w:cs="Arial" w:eastAsia="Arial" w:hAnsi="Arial"/>
                <w:sz w:val="13"/>
                <w:szCs w:val="13"/>
                <w:color w:val="auto"/>
              </w:rPr>
              <w:t>43,431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ind w:right="77"/>
              <w:spacing w:after="0"/>
              <w:rPr>
                <w:sz w:val="20"/>
                <w:szCs w:val="20"/>
                <w:color w:val="auto"/>
              </w:rPr>
            </w:pPr>
            <w:r>
              <w:rPr>
                <w:rFonts w:ascii="Arial" w:cs="Arial" w:eastAsia="Arial" w:hAnsi="Arial"/>
                <w:sz w:val="13"/>
                <w:szCs w:val="13"/>
                <w:color w:val="auto"/>
              </w:rPr>
              <w:t>46,489</w:t>
            </w:r>
          </w:p>
        </w:tc>
        <w:tc>
          <w:tcPr>
            <w:tcW w:w="100" w:type="dxa"/>
            <w:vAlign w:val="bottom"/>
          </w:tcPr>
          <w:p>
            <w:pPr>
              <w:spacing w:after="0"/>
              <w:rPr>
                <w:sz w:val="20"/>
                <w:szCs w:val="20"/>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48,979</w:t>
            </w:r>
          </w:p>
        </w:tc>
        <w:tc>
          <w:tcPr>
            <w:tcW w:w="120" w:type="dxa"/>
            <w:vAlign w:val="bottom"/>
          </w:tcPr>
          <w:p>
            <w:pPr>
              <w:spacing w:after="0"/>
              <w:rPr>
                <w:sz w:val="20"/>
                <w:szCs w:val="20"/>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53,985</w:t>
            </w:r>
          </w:p>
        </w:tc>
        <w:tc>
          <w:tcPr>
            <w:tcW w:w="120" w:type="dxa"/>
            <w:vAlign w:val="bottom"/>
          </w:tcPr>
          <w:p>
            <w:pPr>
              <w:spacing w:after="0"/>
              <w:rPr>
                <w:sz w:val="20"/>
                <w:szCs w:val="20"/>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57,350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61,153</w:t>
            </w:r>
          </w:p>
        </w:tc>
        <w:tc>
          <w:tcPr>
            <w:tcW w:w="120" w:type="dxa"/>
            <w:vAlign w:val="bottom"/>
          </w:tcPr>
          <w:p>
            <w:pPr>
              <w:spacing w:after="0"/>
              <w:rPr>
                <w:sz w:val="20"/>
                <w:szCs w:val="20"/>
                <w:color w:val="auto"/>
              </w:rPr>
            </w:pPr>
          </w:p>
        </w:tc>
        <w:tc>
          <w:tcPr>
            <w:tcW w:w="800" w:type="dxa"/>
            <w:vAlign w:val="bottom"/>
          </w:tcPr>
          <w:p>
            <w:pPr>
              <w:jc w:val="right"/>
              <w:ind w:right="77"/>
              <w:spacing w:after="0"/>
              <w:rPr>
                <w:sz w:val="20"/>
                <w:szCs w:val="20"/>
                <w:color w:val="auto"/>
              </w:rPr>
            </w:pPr>
            <w:r>
              <w:rPr>
                <w:rFonts w:ascii="Arial" w:cs="Arial" w:eastAsia="Arial" w:hAnsi="Arial"/>
                <w:sz w:val="13"/>
                <w:szCs w:val="13"/>
                <w:color w:val="auto"/>
              </w:rPr>
              <w:t>64,286</w:t>
            </w:r>
          </w:p>
        </w:tc>
        <w:tc>
          <w:tcPr>
            <w:tcW w:w="120" w:type="dxa"/>
            <w:vAlign w:val="bottom"/>
          </w:tcPr>
          <w:p>
            <w:pPr>
              <w:spacing w:after="0"/>
              <w:rPr>
                <w:sz w:val="20"/>
                <w:szCs w:val="20"/>
                <w:color w:val="auto"/>
              </w:rPr>
            </w:pPr>
          </w:p>
        </w:tc>
        <w:tc>
          <w:tcPr>
            <w:tcW w:w="800" w:type="dxa"/>
            <w:vAlign w:val="bottom"/>
          </w:tcPr>
          <w:p>
            <w:pPr>
              <w:jc w:val="right"/>
              <w:ind w:right="77"/>
              <w:spacing w:after="0"/>
              <w:rPr>
                <w:sz w:val="20"/>
                <w:szCs w:val="20"/>
                <w:color w:val="auto"/>
              </w:rPr>
            </w:pPr>
            <w:r>
              <w:rPr>
                <w:rFonts w:ascii="Arial" w:cs="Arial" w:eastAsia="Arial" w:hAnsi="Arial"/>
                <w:sz w:val="13"/>
                <w:szCs w:val="13"/>
                <w:color w:val="auto"/>
              </w:rPr>
              <w:t>154,797</w:t>
            </w:r>
          </w:p>
        </w:tc>
        <w:tc>
          <w:tcPr>
            <w:tcW w:w="100" w:type="dxa"/>
            <w:vAlign w:val="bottom"/>
          </w:tcPr>
          <w:p>
            <w:pPr>
              <w:spacing w:after="0"/>
              <w:rPr>
                <w:sz w:val="20"/>
                <w:szCs w:val="20"/>
                <w:color w:val="auto"/>
              </w:rPr>
            </w:pPr>
          </w:p>
        </w:tc>
        <w:tc>
          <w:tcPr>
            <w:tcW w:w="820" w:type="dxa"/>
            <w:vAlign w:val="bottom"/>
          </w:tcPr>
          <w:p>
            <w:pPr>
              <w:jc w:val="right"/>
              <w:ind w:right="77"/>
              <w:spacing w:after="0"/>
              <w:rPr>
                <w:sz w:val="20"/>
                <w:szCs w:val="20"/>
                <w:color w:val="auto"/>
              </w:rPr>
            </w:pPr>
            <w:r>
              <w:rPr>
                <w:rFonts w:ascii="Arial" w:cs="Arial" w:eastAsia="Arial" w:hAnsi="Arial"/>
                <w:sz w:val="13"/>
                <w:szCs w:val="13"/>
                <w:color w:val="auto"/>
              </w:rPr>
              <w:t>161,869</w:t>
            </w:r>
          </w:p>
        </w:tc>
      </w:tr>
      <w:tr>
        <w:trPr>
          <w:trHeight w:val="270"/>
        </w:trPr>
        <w:tc>
          <w:tcPr>
            <w:tcW w:w="3220" w:type="dxa"/>
            <w:vAlign w:val="bottom"/>
          </w:tcPr>
          <w:p>
            <w:pPr>
              <w:spacing w:after="0"/>
              <w:rPr>
                <w:sz w:val="20"/>
                <w:szCs w:val="20"/>
                <w:color w:val="auto"/>
              </w:rPr>
            </w:pPr>
            <w:r>
              <w:rPr>
                <w:rFonts w:ascii="Arial" w:cs="Arial" w:eastAsia="Arial" w:hAnsi="Arial"/>
                <w:sz w:val="13"/>
                <w:szCs w:val="13"/>
                <w:color w:val="auto"/>
              </w:rPr>
              <w:t xml:space="preserve">Base Revenue </w:t>
            </w:r>
            <w:r>
              <w:rPr>
                <w:rFonts w:ascii="Arial" w:cs="Arial" w:eastAsia="Arial" w:hAnsi="Arial"/>
                <w:sz w:val="13"/>
                <w:szCs w:val="13"/>
                <w:i w:val="1"/>
                <w:iCs w:val="1"/>
                <w:color w:val="auto"/>
              </w:rPr>
              <w:t>(in thousands)</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77"/>
              <w:spacing w:after="0"/>
              <w:rPr>
                <w:sz w:val="20"/>
                <w:szCs w:val="20"/>
                <w:color w:val="auto"/>
              </w:rPr>
            </w:pPr>
            <w:r>
              <w:rPr>
                <w:rFonts w:ascii="Arial" w:cs="Arial" w:eastAsia="Arial" w:hAnsi="Arial"/>
                <w:sz w:val="13"/>
                <w:szCs w:val="13"/>
                <w:color w:val="auto"/>
              </w:rPr>
              <w:t>87,583</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77"/>
              <w:spacing w:after="0"/>
              <w:rPr>
                <w:sz w:val="20"/>
                <w:szCs w:val="20"/>
                <w:color w:val="auto"/>
              </w:rPr>
            </w:pPr>
            <w:r>
              <w:rPr>
                <w:rFonts w:ascii="Arial" w:cs="Arial" w:eastAsia="Arial" w:hAnsi="Arial"/>
                <w:sz w:val="13"/>
                <w:szCs w:val="13"/>
                <w:color w:val="auto"/>
              </w:rPr>
              <w:t>91,965</w:t>
            </w:r>
          </w:p>
        </w:tc>
        <w:tc>
          <w:tcPr>
            <w:tcW w:w="100" w:type="dxa"/>
            <w:vAlign w:val="bottom"/>
          </w:tcPr>
          <w:p>
            <w:pPr>
              <w:spacing w:after="0"/>
              <w:rPr>
                <w:sz w:val="23"/>
                <w:szCs w:val="23"/>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   105,299</w:t>
            </w:r>
          </w:p>
        </w:tc>
        <w:tc>
          <w:tcPr>
            <w:tcW w:w="120" w:type="dxa"/>
            <w:vAlign w:val="bottom"/>
          </w:tcPr>
          <w:p>
            <w:pPr>
              <w:spacing w:after="0"/>
              <w:rPr>
                <w:sz w:val="23"/>
                <w:szCs w:val="23"/>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   117,507</w:t>
            </w:r>
          </w:p>
        </w:tc>
        <w:tc>
          <w:tcPr>
            <w:tcW w:w="120" w:type="dxa"/>
            <w:vAlign w:val="bottom"/>
          </w:tcPr>
          <w:p>
            <w:pPr>
              <w:spacing w:after="0"/>
              <w:rPr>
                <w:sz w:val="23"/>
                <w:szCs w:val="23"/>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   135,004</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154,348</w:t>
            </w:r>
          </w:p>
        </w:tc>
        <w:tc>
          <w:tcPr>
            <w:tcW w:w="120" w:type="dxa"/>
            <w:vAlign w:val="bottom"/>
          </w:tcPr>
          <w:p>
            <w:pPr>
              <w:spacing w:after="0"/>
              <w:rPr>
                <w:sz w:val="23"/>
                <w:szCs w:val="23"/>
                <w:color w:val="auto"/>
              </w:rPr>
            </w:pPr>
          </w:p>
        </w:tc>
        <w:tc>
          <w:tcPr>
            <w:tcW w:w="800" w:type="dxa"/>
            <w:vAlign w:val="bottom"/>
          </w:tcPr>
          <w:p>
            <w:pPr>
              <w:jc w:val="right"/>
              <w:ind w:right="77"/>
              <w:spacing w:after="0"/>
              <w:rPr>
                <w:sz w:val="20"/>
                <w:szCs w:val="20"/>
                <w:color w:val="auto"/>
              </w:rPr>
            </w:pPr>
            <w:r>
              <w:rPr>
                <w:rFonts w:ascii="Arial" w:cs="Arial" w:eastAsia="Arial" w:hAnsi="Arial"/>
                <w:sz w:val="13"/>
                <w:szCs w:val="13"/>
                <w:color w:val="auto"/>
                <w:w w:val="98"/>
              </w:rPr>
              <w:t>$   186,158</w:t>
            </w:r>
          </w:p>
        </w:tc>
        <w:tc>
          <w:tcPr>
            <w:tcW w:w="120" w:type="dxa"/>
            <w:vAlign w:val="bottom"/>
          </w:tcPr>
          <w:p>
            <w:pPr>
              <w:spacing w:after="0"/>
              <w:rPr>
                <w:sz w:val="23"/>
                <w:szCs w:val="23"/>
                <w:color w:val="auto"/>
              </w:rPr>
            </w:pPr>
          </w:p>
        </w:tc>
        <w:tc>
          <w:tcPr>
            <w:tcW w:w="800" w:type="dxa"/>
            <w:vAlign w:val="bottom"/>
          </w:tcPr>
          <w:p>
            <w:pPr>
              <w:jc w:val="right"/>
              <w:ind w:right="77"/>
              <w:spacing w:after="0"/>
              <w:rPr>
                <w:sz w:val="20"/>
                <w:szCs w:val="20"/>
                <w:color w:val="auto"/>
              </w:rPr>
            </w:pPr>
            <w:r>
              <w:rPr>
                <w:rFonts w:ascii="Arial" w:cs="Arial" w:eastAsia="Arial" w:hAnsi="Arial"/>
                <w:sz w:val="13"/>
                <w:szCs w:val="13"/>
                <w:color w:val="auto"/>
                <w:w w:val="98"/>
              </w:rPr>
              <w:t>$   220,885</w:t>
            </w:r>
          </w:p>
        </w:tc>
        <w:tc>
          <w:tcPr>
            <w:tcW w:w="100" w:type="dxa"/>
            <w:vAlign w:val="bottom"/>
          </w:tcPr>
          <w:p>
            <w:pPr>
              <w:spacing w:after="0"/>
              <w:rPr>
                <w:sz w:val="23"/>
                <w:szCs w:val="23"/>
                <w:color w:val="auto"/>
              </w:rPr>
            </w:pPr>
          </w:p>
        </w:tc>
        <w:tc>
          <w:tcPr>
            <w:tcW w:w="820" w:type="dxa"/>
            <w:vAlign w:val="bottom"/>
          </w:tcPr>
          <w:p>
            <w:pPr>
              <w:jc w:val="right"/>
              <w:ind w:right="77"/>
              <w:spacing w:after="0"/>
              <w:rPr>
                <w:sz w:val="20"/>
                <w:szCs w:val="20"/>
                <w:color w:val="auto"/>
              </w:rPr>
            </w:pPr>
            <w:r>
              <w:rPr>
                <w:rFonts w:ascii="Arial" w:cs="Arial" w:eastAsia="Arial" w:hAnsi="Arial"/>
                <w:sz w:val="13"/>
                <w:szCs w:val="13"/>
                <w:color w:val="auto"/>
              </w:rPr>
              <w:t>$   256,737</w:t>
            </w:r>
          </w:p>
        </w:tc>
      </w:tr>
      <w:tr>
        <w:trPr>
          <w:trHeight w:val="270"/>
        </w:trPr>
        <w:tc>
          <w:tcPr>
            <w:tcW w:w="3220" w:type="dxa"/>
            <w:vAlign w:val="bottom"/>
          </w:tcPr>
          <w:p>
            <w:pPr>
              <w:ind w:left="240"/>
              <w:spacing w:after="0"/>
              <w:rPr>
                <w:sz w:val="20"/>
                <w:szCs w:val="20"/>
                <w:color w:val="auto"/>
              </w:rPr>
            </w:pPr>
            <w:r>
              <w:rPr>
                <w:rFonts w:ascii="Arial" w:cs="Arial" w:eastAsia="Arial" w:hAnsi="Arial"/>
                <w:sz w:val="13"/>
                <w:szCs w:val="13"/>
                <w:i w:val="1"/>
                <w:iCs w:val="1"/>
                <w:color w:val="auto"/>
              </w:rPr>
              <w:t>Base Revenue Growth Rate</w:t>
            </w:r>
          </w:p>
        </w:tc>
        <w:tc>
          <w:tcPr>
            <w:tcW w:w="14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55%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43%</w:t>
            </w:r>
          </w:p>
        </w:tc>
        <w:tc>
          <w:tcPr>
            <w:tcW w:w="1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40%</w:t>
            </w:r>
          </w:p>
        </w:tc>
        <w:tc>
          <w:tcPr>
            <w:tcW w:w="1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46%</w:t>
            </w:r>
          </w:p>
        </w:tc>
        <w:tc>
          <w:tcPr>
            <w:tcW w:w="1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54%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68%</w:t>
            </w:r>
          </w:p>
        </w:tc>
        <w:tc>
          <w:tcPr>
            <w:tcW w:w="1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77%</w:t>
            </w:r>
          </w:p>
        </w:tc>
        <w:tc>
          <w:tcPr>
            <w:tcW w:w="1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88%</w:t>
            </w:r>
          </w:p>
        </w:tc>
        <w:tc>
          <w:tcPr>
            <w:tcW w:w="1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90%</w:t>
            </w:r>
          </w:p>
        </w:tc>
      </w:tr>
      <w:tr>
        <w:trPr>
          <w:trHeight w:val="270"/>
        </w:trPr>
        <w:tc>
          <w:tcPr>
            <w:tcW w:w="3220" w:type="dxa"/>
            <w:vAlign w:val="bottom"/>
          </w:tcPr>
          <w:p>
            <w:pPr>
              <w:spacing w:after="0"/>
              <w:rPr>
                <w:sz w:val="20"/>
                <w:szCs w:val="20"/>
                <w:color w:val="auto"/>
              </w:rPr>
            </w:pPr>
            <w:r>
              <w:rPr>
                <w:rFonts w:ascii="Arial" w:cs="Arial" w:eastAsia="Arial" w:hAnsi="Arial"/>
                <w:sz w:val="13"/>
                <w:szCs w:val="13"/>
                <w:color w:val="auto"/>
              </w:rPr>
              <w:t>Dollar-Based Net Expansion Rate</w:t>
            </w:r>
          </w:p>
        </w:tc>
        <w:tc>
          <w:tcPr>
            <w:tcW w:w="14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131%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122%</w:t>
            </w:r>
          </w:p>
        </w:tc>
        <w:tc>
          <w:tcPr>
            <w:tcW w:w="1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118%</w:t>
            </w:r>
          </w:p>
        </w:tc>
        <w:tc>
          <w:tcPr>
            <w:tcW w:w="1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132%</w:t>
            </w:r>
          </w:p>
        </w:tc>
        <w:tc>
          <w:tcPr>
            <w:tcW w:w="1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137%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145%</w:t>
            </w:r>
          </w:p>
        </w:tc>
        <w:tc>
          <w:tcPr>
            <w:tcW w:w="1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147%</w:t>
            </w:r>
          </w:p>
        </w:tc>
        <w:tc>
          <w:tcPr>
            <w:tcW w:w="1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146%</w:t>
            </w:r>
          </w:p>
        </w:tc>
        <w:tc>
          <w:tcPr>
            <w:tcW w:w="1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140%</w:t>
            </w:r>
          </w:p>
        </w:tc>
      </w:tr>
    </w:tbl>
    <w:p>
      <w:pPr>
        <w:spacing w:after="0" w:line="159" w:lineRule="exact"/>
        <w:rPr>
          <w:sz w:val="20"/>
          <w:szCs w:val="20"/>
          <w:color w:val="auto"/>
        </w:rPr>
      </w:pPr>
    </w:p>
    <w:p>
      <w:pPr>
        <w:spacing w:after="0"/>
        <w:rPr>
          <w:sz w:val="20"/>
          <w:szCs w:val="20"/>
          <w:color w:val="auto"/>
        </w:rPr>
      </w:pPr>
      <w:r>
        <w:rPr>
          <w:rFonts w:ascii="Arial" w:cs="Arial" w:eastAsia="Arial" w:hAnsi="Arial"/>
          <w:sz w:val="14"/>
          <w:szCs w:val="14"/>
          <w:color w:val="auto"/>
        </w:rPr>
        <w:t>CONTACT:</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Investor Contact:</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Andrew Zilli</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ir@Twilio.com</w:t>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color w:val="auto"/>
        </w:rPr>
        <w:t>or</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color w:val="auto"/>
        </w:rPr>
        <w:t>Media Contact:</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Caitlin Epstein</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press@Twilio.com</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decimal"/>
      <w:start w:val="647"/>
    </w:lvl>
  </w:abstractNum>
  <w:abstractNum w:abstractNumId="3">
    <w:nsid w:val="238E1F29"/>
    <w:multiLevelType w:val="hybridMultilevel"/>
    <w:lvl w:ilvl="0">
      <w:lvlJc w:val="left"/>
      <w:lvlText w:val="(%1)"/>
      <w:numFmt w:val="decimal"/>
      <w:start w:val="416"/>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2019-11-30T14:18:21Z</dcterms:created>
  <dcterms:modified xsi:type="dcterms:W3CDTF">2019-11-30T14:18:21Z</dcterms:modified>
</cp:coreProperties>
</file>