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w:t>
      </w:r>
    </w:p>
    <w:p>
      <w:pPr>
        <w:pStyle w:val="TextBody"/>
        <w:bidi w:val="0"/>
        <w:spacing w:lineRule="auto" w:line="288" w:before="160" w:after="283"/>
        <w:jc w:val="center"/>
        <w:rPr/>
      </w:pPr>
      <w:r>
        <w:rPr>
          <w:rFonts w:ascii="Times New Roman;sans-serif" w:hAnsi="Times New Roman;sans-serif"/>
          <w:b/>
          <w:color w:val="000000"/>
          <w:sz w:val="26"/>
        </w:rPr>
        <w:t>FORM 10-Q</w:t>
      </w:r>
      <w:r>
        <w:rPr>
          <w:color w:val="000000"/>
        </w:rPr>
        <w:t xml:space="preserve">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September 30, 2024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transition period from to </w:t>
      </w:r>
    </w:p>
    <w:p>
      <w:pPr>
        <w:pStyle w:val="TextBody"/>
        <w:bidi w:val="0"/>
        <w:spacing w:lineRule="auto" w:line="288" w:before="80" w:after="283"/>
        <w:jc w:val="center"/>
        <w:rPr/>
      </w:pPr>
      <w:r>
        <w:rPr>
          <w:rFonts w:ascii="Times New Roman;sans-serif" w:hAnsi="Times New Roman;sans-serif"/>
          <w:b/>
          <w:color w:val="000000"/>
          <w:sz w:val="18"/>
        </w:rPr>
        <w:t>Commission File Number:</w:t>
      </w:r>
      <w:r>
        <w:rPr>
          <w:color w:val="000000"/>
        </w:rPr>
        <w:t xml:space="preserve"> </w:t>
      </w:r>
      <w:r>
        <w:rPr>
          <w:rFonts w:ascii="Times New Roman;sans-serif" w:hAnsi="Times New Roman;sans-serif"/>
          <w:b/>
          <w:color w:val="000000"/>
          <w:sz w:val="18"/>
        </w:rPr>
        <w:t>001-37806</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w:t>
      </w:r>
    </w:p>
    <w:p>
      <w:pPr>
        <w:pStyle w:val="TextBody"/>
        <w:bidi w:val="0"/>
        <w:spacing w:before="80" w:after="283"/>
        <w:jc w:val="center"/>
        <w:rPr/>
      </w:pPr>
      <w:r>
        <w:rPr/>
        <w:drawing>
          <wp:inline distT="0" distB="0" distL="0" distR="0">
            <wp:extent cx="74295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42950" cy="3238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 xml:space="preserve">TWILIO INC.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w:t>
      </w:r>
    </w:p>
    <w:tbl>
      <w:tblPr>
        <w:tblW w:w="7286" w:type="dxa"/>
        <w:jc w:val="left"/>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26-2574840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101 Spear Street, Fifth Floor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San Francisco, California 94105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(Zip Code)</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(415) 390-2337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w:t>
      </w:r>
    </w:p>
    <w:p>
      <w:pPr>
        <w:pStyle w:val="TextBody"/>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847" w:type="dxa"/>
        <w:jc w:val="center"/>
        <w:tblInd w:w="0" w:type="dxa"/>
        <w:tblLayout w:type="fixed"/>
        <w:tblCellMar>
          <w:top w:w="28" w:type="dxa"/>
          <w:left w:w="28" w:type="dxa"/>
          <w:bottom w:w="28" w:type="dxa"/>
          <w:right w:w="28" w:type="dxa"/>
        </w:tblCellMar>
      </w:tblPr>
      <w:tblGrid>
        <w:gridCol w:w="1377"/>
        <w:gridCol w:w="1212"/>
        <w:gridCol w:w="1220"/>
        <w:gridCol w:w="519"/>
        <w:gridCol w:w="519"/>
        <w:gridCol w:w="521"/>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$0.001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TWLO</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before="0" w:after="12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As of October 24, 2024, 153,383,697 shares of the registrant’s Class A common stock were outstanding.</w:t>
      </w:r>
    </w:p>
    <w:p>
      <w:pPr>
        <w:pStyle w:val="TextBody"/>
        <w:bidi w:val="0"/>
        <w:spacing w:lineRule="auto" w:line="288" w:before="0" w:after="120"/>
        <w:ind w:left="0" w:right="0" w:firstLine="72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p>
    <w:p>
      <w:pPr>
        <w:pStyle w:val="TextBody"/>
        <w:bidi w:val="0"/>
        <w:spacing w:lineRule="auto" w:line="288" w:before="0" w:after="120"/>
        <w:ind w:left="0" w:right="0" w:firstLine="72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2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140" w:after="283"/>
        <w:jc w:val="left"/>
        <w:rPr/>
      </w:pPr>
      <w:r>
        <w:rPr/>
      </w:r>
    </w:p>
    <w:p>
      <w:pPr>
        <w:pStyle w:val="TextBody"/>
        <w:bidi w:val="0"/>
        <w:spacing w:lineRule="auto" w:line="288" w:before="0" w:after="120"/>
        <w:ind w:left="0" w:right="0" w:firstLine="72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20"/>
        <w:ind w:left="0" w:right="0" w:firstLine="720"/>
        <w:jc w:val="left"/>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6"/>
        </w:rPr>
        <w:t>No</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6"/>
        <w:gridCol w:w="243"/>
        <w:gridCol w:w="244"/>
        <w:gridCol w:w="2964"/>
        <w:gridCol w:w="2964"/>
        <w:gridCol w:w="2969"/>
        <w:gridCol w:w="158"/>
        <w:gridCol w:w="158"/>
        <w:gridCol w:w="229"/>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197ac6e72b406b9b3351c668cb8357_16">
              <w:r>
                <w:rPr>
                  <w:rStyle w:val="InternetLink"/>
                  <w:rFonts w:ascii="Times New Roman;sans-serif" w:hAnsi="Times New Roman;sans-serif"/>
                  <w:b/>
                  <w:color w:val="0000FF"/>
                  <w:sz w:val="18"/>
                  <w:u w:val="single"/>
                </w:rPr>
                <w:t>PART I - FINANCIAL INFORMATION</w:t>
              </w:r>
            </w:hyperlink>
          </w:p>
        </w:tc>
        <w:tc>
          <w:tcPr>
            <w:tcW w:w="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40">
              <w:r>
                <w:rPr>
                  <w:rStyle w:val="InternetLink"/>
                  <w:rFonts w:ascii="Times New Roman;sans-serif" w:hAnsi="Times New Roman;sans-serif"/>
                  <w:b w:val="false"/>
                  <w:color w:val="0000FF"/>
                  <w:sz w:val="20"/>
                  <w:u w:val="single"/>
                </w:rPr>
                <w:t>Item 1.</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40">
              <w:r>
                <w:rPr>
                  <w:rStyle w:val="InternetLink"/>
                  <w:rFonts w:ascii="Times New Roman;sans-serif" w:hAnsi="Times New Roman;sans-serif"/>
                  <w:b w:val="false"/>
                  <w:color w:val="0000FF"/>
                  <w:sz w:val="20"/>
                  <w:u w:val="single"/>
                </w:rPr>
                <w:t>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40">
              <w:r>
                <w:rPr>
                  <w:rStyle w:val="InternetLink"/>
                  <w:rFonts w:ascii="Times New Roman;sans-serif" w:hAnsi="Times New Roman;sans-serif"/>
                  <w:b w:val="false"/>
                  <w:color w:val="0000FF"/>
                  <w:sz w:val="20"/>
                  <w:u w:val="single"/>
                </w:rPr>
                <w:t>3</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43">
              <w:r>
                <w:rPr>
                  <w:rStyle w:val="InternetLink"/>
                  <w:rFonts w:ascii="Times New Roman;sans-serif" w:hAnsi="Times New Roman;sans-serif"/>
                  <w:b w:val="false"/>
                  <w:color w:val="000080"/>
                  <w:sz w:val="20"/>
                  <w:u w:val="single"/>
                </w:rPr>
                <w:t xml:space="preserve">Condensed Consolidated Balance Sheets as of </w:t>
              </w:r>
            </w:hyperlink>
            <w:hyperlink w:anchor="i86197ac6e72b406b9b3351c668cb8357_43">
              <w:r>
                <w:rPr>
                  <w:rStyle w:val="InternetLink"/>
                  <w:rFonts w:ascii="Times New Roman;sans-serif" w:hAnsi="Times New Roman;sans-serif"/>
                  <w:b w:val="false"/>
                  <w:color w:val="000080"/>
                  <w:sz w:val="20"/>
                  <w:u w:val="single"/>
                </w:rPr>
                <w:t>September</w:t>
              </w:r>
            </w:hyperlink>
            <w:hyperlink w:anchor="i86197ac6e72b406b9b3351c668cb8357_43">
              <w:r>
                <w:rPr>
                  <w:rStyle w:val="InternetLink"/>
                  <w:rFonts w:ascii="Times New Roman;sans-serif" w:hAnsi="Times New Roman;sans-serif"/>
                  <w:b w:val="false"/>
                  <w:color w:val="000080"/>
                  <w:sz w:val="20"/>
                  <w:u w:val="single"/>
                </w:rPr>
                <w:t xml:space="preserve"> 30, 2024 and December 31, 2023</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43">
              <w:r>
                <w:rPr>
                  <w:rStyle w:val="InternetLink"/>
                  <w:rFonts w:ascii="Times New Roman;sans-serif" w:hAnsi="Times New Roman;sans-serif"/>
                  <w:b w:val="false"/>
                  <w:color w:val="0000FF"/>
                  <w:sz w:val="20"/>
                  <w:u w:val="single"/>
                </w:rPr>
                <w:t>3</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46">
              <w:r>
                <w:rPr>
                  <w:rStyle w:val="InternetLink"/>
                  <w:rFonts w:ascii="Times New Roman;sans-serif" w:hAnsi="Times New Roman;sans-serif"/>
                  <w:b w:val="false"/>
                  <w:color w:val="000080"/>
                  <w:sz w:val="20"/>
                  <w:u w:val="single"/>
                </w:rPr>
                <w:t xml:space="preserve">Condensed Consolidated Statements of Operations for the Three and </w:t>
              </w:r>
            </w:hyperlink>
            <w:hyperlink w:anchor="i86197ac6e72b406b9b3351c668cb8357_46">
              <w:r>
                <w:rPr>
                  <w:rStyle w:val="InternetLink"/>
                  <w:rFonts w:ascii="Times New Roman;sans-serif" w:hAnsi="Times New Roman;sans-serif"/>
                  <w:b w:val="false"/>
                  <w:color w:val="000080"/>
                  <w:sz w:val="20"/>
                  <w:u w:val="single"/>
                </w:rPr>
                <w:t>Nine</w:t>
              </w:r>
            </w:hyperlink>
            <w:hyperlink w:anchor="i86197ac6e72b406b9b3351c668cb8357_46">
              <w:r>
                <w:rPr>
                  <w:rStyle w:val="InternetLink"/>
                  <w:rFonts w:ascii="Times New Roman;sans-serif" w:hAnsi="Times New Roman;sans-serif"/>
                  <w:b w:val="false"/>
                  <w:color w:val="000080"/>
                  <w:sz w:val="20"/>
                  <w:u w:val="single"/>
                </w:rPr>
                <w:t xml:space="preserve"> Months Ended </w:t>
              </w:r>
            </w:hyperlink>
            <w:hyperlink w:anchor="i86197ac6e72b406b9b3351c668cb8357_46">
              <w:r>
                <w:rPr>
                  <w:rStyle w:val="InternetLink"/>
                  <w:rFonts w:ascii="Times New Roman;sans-serif" w:hAnsi="Times New Roman;sans-serif"/>
                  <w:b w:val="false"/>
                  <w:color w:val="000080"/>
                  <w:sz w:val="20"/>
                  <w:u w:val="single"/>
                </w:rPr>
                <w:t>September</w:t>
              </w:r>
            </w:hyperlink>
            <w:hyperlink w:anchor="i86197ac6e72b406b9b3351c668cb8357_46">
              <w:r>
                <w:rPr>
                  <w:rStyle w:val="InternetLink"/>
                  <w:rFonts w:ascii="Times New Roman;sans-serif" w:hAnsi="Times New Roman;sans-serif"/>
                  <w:b w:val="false"/>
                  <w:color w:val="000080"/>
                  <w:sz w:val="20"/>
                  <w:u w:val="single"/>
                </w:rPr>
                <w:t xml:space="preserve"> 30, 2024 and 2023</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46">
              <w:r>
                <w:rPr>
                  <w:rStyle w:val="InternetLink"/>
                  <w:rFonts w:ascii="Times New Roman;sans-serif" w:hAnsi="Times New Roman;sans-serif"/>
                  <w:b w:val="false"/>
                  <w:color w:val="0000FF"/>
                  <w:sz w:val="20"/>
                  <w:u w:val="single"/>
                </w:rPr>
                <w:t>4</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49">
              <w:r>
                <w:rPr>
                  <w:rStyle w:val="InternetLink"/>
                  <w:rFonts w:ascii="Times New Roman;sans-serif" w:hAnsi="Times New Roman;sans-serif"/>
                  <w:b w:val="false"/>
                  <w:color w:val="000080"/>
                  <w:sz w:val="20"/>
                  <w:u w:val="single"/>
                </w:rPr>
                <w:t>Condensed Consolidated Statements of Comprehensive</w:t>
              </w:r>
            </w:hyperlink>
            <w:hyperlink w:anchor="i86197ac6e72b406b9b3351c668cb8357_49">
              <w:r>
                <w:rPr>
                  <w:rStyle w:val="InternetLink"/>
                  <w:rFonts w:ascii="Times New Roman;sans-serif" w:hAnsi="Times New Roman;sans-serif"/>
                  <w:b w:val="false"/>
                  <w:color w:val="000080"/>
                  <w:sz w:val="20"/>
                  <w:u w:val="single"/>
                </w:rPr>
                <w:t xml:space="preserve"> Income</w:t>
              </w:r>
            </w:hyperlink>
            <w:hyperlink w:anchor="i86197ac6e72b406b9b3351c668cb8357_49">
              <w:r>
                <w:rPr>
                  <w:rStyle w:val="InternetLink"/>
                  <w:rFonts w:ascii="Times New Roman;sans-serif" w:hAnsi="Times New Roman;sans-serif"/>
                  <w:b w:val="false"/>
                  <w:color w:val="000080"/>
                  <w:sz w:val="20"/>
                  <w:u w:val="single"/>
                </w:rPr>
                <w:t xml:space="preserve"> </w:t>
              </w:r>
            </w:hyperlink>
            <w:hyperlink w:anchor="i86197ac6e72b406b9b3351c668cb8357_49">
              <w:r>
                <w:rPr>
                  <w:rStyle w:val="InternetLink"/>
                  <w:rFonts w:ascii="Times New Roman;sans-serif" w:hAnsi="Times New Roman;sans-serif"/>
                  <w:b w:val="false"/>
                  <w:color w:val="000080"/>
                  <w:sz w:val="20"/>
                  <w:u w:val="single"/>
                </w:rPr>
                <w:t>(</w:t>
              </w:r>
            </w:hyperlink>
            <w:hyperlink w:anchor="i86197ac6e72b406b9b3351c668cb8357_49">
              <w:r>
                <w:rPr>
                  <w:rStyle w:val="InternetLink"/>
                  <w:rFonts w:ascii="Times New Roman;sans-serif" w:hAnsi="Times New Roman;sans-serif"/>
                  <w:b w:val="false"/>
                  <w:color w:val="000080"/>
                  <w:sz w:val="20"/>
                  <w:u w:val="single"/>
                </w:rPr>
                <w:t>Loss</w:t>
              </w:r>
            </w:hyperlink>
            <w:hyperlink w:anchor="i86197ac6e72b406b9b3351c668cb8357_49">
              <w:r>
                <w:rPr>
                  <w:rStyle w:val="InternetLink"/>
                  <w:rFonts w:ascii="Times New Roman;sans-serif" w:hAnsi="Times New Roman;sans-serif"/>
                  <w:b w:val="false"/>
                  <w:color w:val="000080"/>
                  <w:sz w:val="20"/>
                  <w:u w:val="single"/>
                </w:rPr>
                <w:t>)</w:t>
              </w:r>
            </w:hyperlink>
            <w:hyperlink w:anchor="i86197ac6e72b406b9b3351c668cb8357_49">
              <w:r>
                <w:rPr>
                  <w:rStyle w:val="InternetLink"/>
                  <w:rFonts w:ascii="Times New Roman;sans-serif" w:hAnsi="Times New Roman;sans-serif"/>
                  <w:b w:val="false"/>
                  <w:color w:val="000080"/>
                  <w:sz w:val="20"/>
                  <w:u w:val="single"/>
                </w:rPr>
                <w:t xml:space="preserve"> for the Three and </w:t>
              </w:r>
            </w:hyperlink>
            <w:hyperlink w:anchor="i86197ac6e72b406b9b3351c668cb8357_49">
              <w:r>
                <w:rPr>
                  <w:rStyle w:val="InternetLink"/>
                  <w:rFonts w:ascii="Times New Roman;sans-serif" w:hAnsi="Times New Roman;sans-serif"/>
                  <w:b w:val="false"/>
                  <w:color w:val="000080"/>
                  <w:sz w:val="20"/>
                  <w:u w:val="single"/>
                </w:rPr>
                <w:t>Nine</w:t>
              </w:r>
            </w:hyperlink>
            <w:hyperlink w:anchor="i86197ac6e72b406b9b3351c668cb8357_49">
              <w:r>
                <w:rPr>
                  <w:rStyle w:val="InternetLink"/>
                  <w:rFonts w:ascii="Times New Roman;sans-serif" w:hAnsi="Times New Roman;sans-serif"/>
                  <w:b w:val="false"/>
                  <w:color w:val="000080"/>
                  <w:sz w:val="20"/>
                  <w:u w:val="single"/>
                </w:rPr>
                <w:t xml:space="preserve"> Months Ended </w:t>
              </w:r>
            </w:hyperlink>
            <w:hyperlink w:anchor="i86197ac6e72b406b9b3351c668cb8357_49">
              <w:r>
                <w:rPr>
                  <w:rStyle w:val="InternetLink"/>
                  <w:rFonts w:ascii="Times New Roman;sans-serif" w:hAnsi="Times New Roman;sans-serif"/>
                  <w:b w:val="false"/>
                  <w:color w:val="000080"/>
                  <w:sz w:val="20"/>
                  <w:u w:val="single"/>
                </w:rPr>
                <w:t>September</w:t>
              </w:r>
            </w:hyperlink>
            <w:hyperlink w:anchor="i86197ac6e72b406b9b3351c668cb8357_49">
              <w:r>
                <w:rPr>
                  <w:rStyle w:val="InternetLink"/>
                  <w:rFonts w:ascii="Times New Roman;sans-serif" w:hAnsi="Times New Roman;sans-serif"/>
                  <w:b w:val="false"/>
                  <w:color w:val="000080"/>
                  <w:sz w:val="20"/>
                  <w:u w:val="single"/>
                </w:rPr>
                <w:t xml:space="preserve"> 30, 2024 and 2023</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49">
              <w:r>
                <w:rPr>
                  <w:rStyle w:val="InternetLink"/>
                  <w:rFonts w:ascii="Times New Roman;sans-serif" w:hAnsi="Times New Roman;sans-serif"/>
                  <w:b w:val="false"/>
                  <w:color w:val="0000FF"/>
                  <w:sz w:val="20"/>
                  <w:u w:val="single"/>
                </w:rPr>
                <w:t>5</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52">
              <w:r>
                <w:rPr>
                  <w:rStyle w:val="InternetLink"/>
                  <w:rFonts w:ascii="Times New Roman;sans-serif" w:hAnsi="Times New Roman;sans-serif"/>
                  <w:b w:val="false"/>
                  <w:color w:val="000080"/>
                  <w:sz w:val="20"/>
                  <w:u w:val="single"/>
                </w:rPr>
                <w:t xml:space="preserve">Condensed Consolidated Statements of Stockholders’ Equity for the Three and </w:t>
              </w:r>
            </w:hyperlink>
            <w:hyperlink w:anchor="i86197ac6e72b406b9b3351c668cb8357_52">
              <w:r>
                <w:rPr>
                  <w:rStyle w:val="InternetLink"/>
                  <w:rFonts w:ascii="Times New Roman;sans-serif" w:hAnsi="Times New Roman;sans-serif"/>
                  <w:b w:val="false"/>
                  <w:color w:val="000080"/>
                  <w:sz w:val="20"/>
                  <w:u w:val="single"/>
                </w:rPr>
                <w:t>Nine</w:t>
              </w:r>
            </w:hyperlink>
            <w:hyperlink w:anchor="i86197ac6e72b406b9b3351c668cb8357_52">
              <w:r>
                <w:rPr>
                  <w:rStyle w:val="InternetLink"/>
                  <w:rFonts w:ascii="Times New Roman;sans-serif" w:hAnsi="Times New Roman;sans-serif"/>
                  <w:b w:val="false"/>
                  <w:color w:val="000080"/>
                  <w:sz w:val="20"/>
                  <w:u w:val="single"/>
                </w:rPr>
                <w:t xml:space="preserve"> Months Ended </w:t>
              </w:r>
            </w:hyperlink>
            <w:hyperlink w:anchor="i86197ac6e72b406b9b3351c668cb8357_52">
              <w:r>
                <w:rPr>
                  <w:rStyle w:val="InternetLink"/>
                  <w:rFonts w:ascii="Times New Roman;sans-serif" w:hAnsi="Times New Roman;sans-serif"/>
                  <w:b w:val="false"/>
                  <w:color w:val="000080"/>
                  <w:sz w:val="20"/>
                  <w:u w:val="single"/>
                </w:rPr>
                <w:t>Sep</w:t>
              </w:r>
            </w:hyperlink>
            <w:hyperlink w:anchor="i86197ac6e72b406b9b3351c668cb8357_52">
              <w:r>
                <w:rPr>
                  <w:rStyle w:val="InternetLink"/>
                  <w:rFonts w:ascii="Times New Roman;sans-serif" w:hAnsi="Times New Roman;sans-serif"/>
                  <w:b w:val="false"/>
                  <w:color w:val="000080"/>
                  <w:sz w:val="20"/>
                  <w:u w:val="single"/>
                </w:rPr>
                <w:t>tember</w:t>
              </w:r>
            </w:hyperlink>
            <w:hyperlink w:anchor="i86197ac6e72b406b9b3351c668cb8357_52">
              <w:r>
                <w:rPr>
                  <w:rStyle w:val="InternetLink"/>
                  <w:rFonts w:ascii="Times New Roman;sans-serif" w:hAnsi="Times New Roman;sans-serif"/>
                  <w:b w:val="false"/>
                  <w:color w:val="000080"/>
                  <w:sz w:val="20"/>
                  <w:u w:val="single"/>
                </w:rPr>
                <w:t xml:space="preserve"> 30, 2024 and 2023</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52">
              <w:r>
                <w:rPr>
                  <w:rStyle w:val="InternetLink"/>
                  <w:rFonts w:ascii="Times New Roman;sans-serif" w:hAnsi="Times New Roman;sans-serif"/>
                  <w:b w:val="false"/>
                  <w:color w:val="0000FF"/>
                  <w:sz w:val="20"/>
                  <w:u w:val="single"/>
                </w:rPr>
                <w:t>6</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55">
              <w:r>
                <w:rPr>
                  <w:rStyle w:val="InternetLink"/>
                  <w:rFonts w:ascii="Times New Roman;sans-serif" w:hAnsi="Times New Roman;sans-serif"/>
                  <w:b w:val="false"/>
                  <w:color w:val="000080"/>
                  <w:sz w:val="20"/>
                  <w:u w:val="single"/>
                </w:rPr>
                <w:t xml:space="preserve">Condensed Consolidated Statements of Cash Flows for the </w:t>
              </w:r>
            </w:hyperlink>
            <w:hyperlink w:anchor="i86197ac6e72b406b9b3351c668cb8357_55">
              <w:r>
                <w:rPr>
                  <w:rStyle w:val="InternetLink"/>
                  <w:rFonts w:ascii="Times New Roman;sans-serif" w:hAnsi="Times New Roman;sans-serif"/>
                  <w:b w:val="false"/>
                  <w:color w:val="000080"/>
                  <w:sz w:val="20"/>
                  <w:u w:val="single"/>
                </w:rPr>
                <w:t>Nine</w:t>
              </w:r>
            </w:hyperlink>
            <w:hyperlink w:anchor="i86197ac6e72b406b9b3351c668cb8357_55">
              <w:r>
                <w:rPr>
                  <w:rStyle w:val="InternetLink"/>
                  <w:rFonts w:ascii="Times New Roman;sans-serif" w:hAnsi="Times New Roman;sans-serif"/>
                  <w:b w:val="false"/>
                  <w:color w:val="000080"/>
                  <w:sz w:val="20"/>
                  <w:u w:val="single"/>
                </w:rPr>
                <w:t xml:space="preserve"> Months Ended </w:t>
              </w:r>
            </w:hyperlink>
            <w:hyperlink w:anchor="i86197ac6e72b406b9b3351c668cb8357_55">
              <w:r>
                <w:rPr>
                  <w:rStyle w:val="InternetLink"/>
                  <w:rFonts w:ascii="Times New Roman;sans-serif" w:hAnsi="Times New Roman;sans-serif"/>
                  <w:b w:val="false"/>
                  <w:color w:val="000080"/>
                  <w:sz w:val="20"/>
                  <w:u w:val="single"/>
                </w:rPr>
                <w:t>September</w:t>
              </w:r>
            </w:hyperlink>
            <w:hyperlink w:anchor="i86197ac6e72b406b9b3351c668cb8357_55">
              <w:r>
                <w:rPr>
                  <w:rStyle w:val="InternetLink"/>
                  <w:rFonts w:ascii="Times New Roman;sans-serif" w:hAnsi="Times New Roman;sans-serif"/>
                  <w:b w:val="false"/>
                  <w:color w:val="000080"/>
                  <w:sz w:val="20"/>
                  <w:u w:val="single"/>
                </w:rPr>
                <w:t xml:space="preserve"> 30, 2024 and 2023</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55">
              <w:r>
                <w:rPr>
                  <w:rStyle w:val="InternetLink"/>
                  <w:rFonts w:ascii="Times New Roman;sans-serif" w:hAnsi="Times New Roman;sans-serif"/>
                  <w:b w:val="false"/>
                  <w:color w:val="0000FF"/>
                  <w:sz w:val="20"/>
                  <w:u w:val="single"/>
                </w:rPr>
                <w:t>10</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58">
              <w:r>
                <w:rPr>
                  <w:rStyle w:val="InternetLink"/>
                  <w:rFonts w:ascii="Times New Roman;sans-serif" w:hAnsi="Times New Roman;sans-serif"/>
                  <w:b w:val="false"/>
                  <w:color w:val="0000FF"/>
                  <w:sz w:val="20"/>
                  <w:u w:val="single"/>
                </w:rPr>
                <w:t>Notes to Condensed Consolidated Financial Statements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58">
              <w:r>
                <w:rPr>
                  <w:rStyle w:val="InternetLink"/>
                  <w:rFonts w:ascii="Times New Roman;sans-serif" w:hAnsi="Times New Roman;sans-serif"/>
                  <w:b w:val="false"/>
                  <w:color w:val="0000FF"/>
                  <w:sz w:val="20"/>
                  <w:u w:val="single"/>
                </w:rPr>
                <w:t>11</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02">
              <w:r>
                <w:rPr>
                  <w:rStyle w:val="InternetLink"/>
                  <w:rFonts w:ascii="Times New Roman;sans-serif" w:hAnsi="Times New Roman;sans-serif"/>
                  <w:b w:val="false"/>
                  <w:color w:val="0000FF"/>
                  <w:sz w:val="20"/>
                  <w:u w:val="single"/>
                </w:rPr>
                <w:t>Item 2.</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0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02">
              <w:r>
                <w:rPr>
                  <w:rStyle w:val="InternetLink"/>
                  <w:rFonts w:ascii="Times New Roman;sans-serif" w:hAnsi="Times New Roman;sans-serif"/>
                  <w:b w:val="false"/>
                  <w:color w:val="0000FF"/>
                  <w:sz w:val="20"/>
                  <w:u w:val="single"/>
                </w:rPr>
                <w:t>26</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53">
              <w:r>
                <w:rPr>
                  <w:rStyle w:val="InternetLink"/>
                  <w:rFonts w:ascii="Times New Roman;sans-serif" w:hAnsi="Times New Roman;sans-serif"/>
                  <w:b w:val="false"/>
                  <w:color w:val="0000FF"/>
                  <w:sz w:val="20"/>
                  <w:u w:val="single"/>
                </w:rPr>
                <w:t>Item 3.</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53">
              <w:r>
                <w:rPr>
                  <w:rStyle w:val="InternetLink"/>
                  <w:rFonts w:ascii="Times New Roman;sans-serif" w:hAnsi="Times New Roman;sans-serif"/>
                  <w:b w:val="false"/>
                  <w:color w:val="0000FF"/>
                  <w:sz w:val="20"/>
                  <w:u w:val="single"/>
                </w:rPr>
                <w:t>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53">
              <w:r>
                <w:rPr>
                  <w:rStyle w:val="InternetLink"/>
                  <w:rFonts w:ascii="Times New Roman;sans-serif" w:hAnsi="Times New Roman;sans-serif"/>
                  <w:b w:val="false"/>
                  <w:color w:val="0000FF"/>
                  <w:sz w:val="20"/>
                  <w:u w:val="single"/>
                </w:rPr>
                <w:t>42</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56">
              <w:r>
                <w:rPr>
                  <w:rStyle w:val="InternetLink"/>
                  <w:rFonts w:ascii="Times New Roman;sans-serif" w:hAnsi="Times New Roman;sans-serif"/>
                  <w:b w:val="false"/>
                  <w:color w:val="0000FF"/>
                  <w:sz w:val="20"/>
                  <w:u w:val="single"/>
                </w:rPr>
                <w:t>Item 4.</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56">
              <w:r>
                <w:rPr>
                  <w:rStyle w:val="InternetLink"/>
                  <w:rFonts w:ascii="Times New Roman;sans-serif" w:hAnsi="Times New Roman;sans-serif"/>
                  <w:b w:val="false"/>
                  <w:color w:val="0000FF"/>
                  <w:sz w:val="20"/>
                  <w:u w:val="single"/>
                </w:rPr>
                <w:t>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56">
              <w:r>
                <w:rPr>
                  <w:rStyle w:val="InternetLink"/>
                  <w:rFonts w:ascii="Times New Roman;sans-serif" w:hAnsi="Times New Roman;sans-serif"/>
                  <w:b w:val="false"/>
                  <w:color w:val="0000FF"/>
                  <w:sz w:val="20"/>
                  <w:u w:val="single"/>
                </w:rPr>
                <w:t>43</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197ac6e72b406b9b3351c668cb8357_262">
              <w:r>
                <w:rPr>
                  <w:rStyle w:val="InternetLink"/>
                  <w:rFonts w:ascii="Times New Roman;sans-serif" w:hAnsi="Times New Roman;sans-serif"/>
                  <w:b/>
                  <w:color w:val="0000FF"/>
                  <w:sz w:val="18"/>
                  <w:u w:val="single"/>
                </w:rPr>
                <w:t>PART II - OTHER INFORMATION</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65">
              <w:r>
                <w:rPr>
                  <w:rStyle w:val="InternetLink"/>
                  <w:rFonts w:ascii="Times New Roman;sans-serif" w:hAnsi="Times New Roman;sans-serif"/>
                  <w:b w:val="false"/>
                  <w:color w:val="0000FF"/>
                  <w:sz w:val="20"/>
                  <w:u w:val="single"/>
                </w:rPr>
                <w:t>Item 1.</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65">
              <w:r>
                <w:rPr>
                  <w:rStyle w:val="InternetLink"/>
                  <w:rFonts w:ascii="Times New Roman;sans-serif" w:hAnsi="Times New Roman;sans-serif"/>
                  <w:b w:val="false"/>
                  <w:color w:val="0000FF"/>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65">
              <w:r>
                <w:rPr>
                  <w:rStyle w:val="InternetLink"/>
                  <w:rFonts w:ascii="Times New Roman;sans-serif" w:hAnsi="Times New Roman;sans-serif"/>
                  <w:b w:val="false"/>
                  <w:color w:val="0000FF"/>
                  <w:sz w:val="20"/>
                  <w:u w:val="single"/>
                </w:rPr>
                <w:t>44</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68">
              <w:r>
                <w:rPr>
                  <w:rStyle w:val="InternetLink"/>
                  <w:rFonts w:ascii="Times New Roman;sans-serif" w:hAnsi="Times New Roman;sans-serif"/>
                  <w:b w:val="false"/>
                  <w:color w:val="0000FF"/>
                  <w:sz w:val="20"/>
                  <w:u w:val="single"/>
                </w:rPr>
                <w:t>Item 1A.</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68">
              <w:r>
                <w:rPr>
                  <w:rStyle w:val="InternetLink"/>
                  <w:rFonts w:ascii="Times New Roman;sans-serif" w:hAnsi="Times New Roman;sans-serif"/>
                  <w:b w:val="false"/>
                  <w:color w:val="0000FF"/>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68">
              <w:r>
                <w:rPr>
                  <w:rStyle w:val="InternetLink"/>
                  <w:rFonts w:ascii="Times New Roman;sans-serif" w:hAnsi="Times New Roman;sans-serif"/>
                  <w:b w:val="false"/>
                  <w:color w:val="0000FF"/>
                  <w:sz w:val="20"/>
                  <w:u w:val="single"/>
                </w:rPr>
                <w:t>44</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92">
              <w:r>
                <w:rPr>
                  <w:rStyle w:val="InternetLink"/>
                  <w:rFonts w:ascii="Times New Roman;sans-serif" w:hAnsi="Times New Roman;sans-serif"/>
                  <w:b w:val="false"/>
                  <w:color w:val="0000FF"/>
                  <w:sz w:val="20"/>
                  <w:u w:val="single"/>
                </w:rPr>
                <w:t>Item 2.</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92">
              <w:r>
                <w:rPr>
                  <w:rStyle w:val="InternetLink"/>
                  <w:rFonts w:ascii="Times New Roman;sans-serif" w:hAnsi="Times New Roman;sans-serif"/>
                  <w:b w:val="false"/>
                  <w:color w:val="0000FF"/>
                  <w:sz w:val="20"/>
                  <w:u w:val="single"/>
                </w:rPr>
                <w:t>Unregistered Sales of Equity Securities and Use of Proceeds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92">
              <w:r>
                <w:rPr>
                  <w:rStyle w:val="InternetLink"/>
                  <w:rFonts w:ascii="Times New Roman;sans-serif" w:hAnsi="Times New Roman;sans-serif"/>
                  <w:b w:val="false"/>
                  <w:color w:val="0000FF"/>
                  <w:sz w:val="20"/>
                  <w:u w:val="single"/>
                </w:rPr>
                <w:t>79</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95">
              <w:r>
                <w:rPr>
                  <w:rStyle w:val="InternetLink"/>
                  <w:rFonts w:ascii="Times New Roman;sans-serif" w:hAnsi="Times New Roman;sans-serif"/>
                  <w:b w:val="false"/>
                  <w:color w:val="0000FF"/>
                  <w:sz w:val="20"/>
                  <w:u w:val="single"/>
                </w:rPr>
                <w:t>Item 5.</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95">
              <w:r>
                <w:rPr>
                  <w:rStyle w:val="InternetLink"/>
                  <w:rFonts w:ascii="Times New Roman;sans-serif" w:hAnsi="Times New Roman;sans-serif"/>
                  <w:b w:val="false"/>
                  <w:color w:val="0000FF"/>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295">
              <w:r>
                <w:rPr>
                  <w:rStyle w:val="InternetLink"/>
                  <w:rFonts w:ascii="Times New Roman;sans-serif" w:hAnsi="Times New Roman;sans-serif"/>
                  <w:b w:val="false"/>
                  <w:color w:val="0000FF"/>
                  <w:sz w:val="20"/>
                  <w:u w:val="single"/>
                </w:rPr>
                <w:t>79</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508">
              <w:r>
                <w:rPr>
                  <w:rStyle w:val="InternetLink"/>
                  <w:rFonts w:ascii="Times New Roman;sans-serif" w:hAnsi="Times New Roman;sans-serif"/>
                  <w:b w:val="false"/>
                  <w:color w:val="0000FF"/>
                  <w:sz w:val="20"/>
                  <w:u w:val="single"/>
                </w:rPr>
                <w:t>Item 6.</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508">
              <w:r>
                <w:rPr>
                  <w:rStyle w:val="InternetLink"/>
                  <w:rFonts w:ascii="Times New Roman;sans-serif" w:hAnsi="Times New Roman;sans-serif"/>
                  <w:b w:val="false"/>
                  <w:color w:val="0000FF"/>
                  <w:sz w:val="20"/>
                  <w:u w:val="single"/>
                </w:rPr>
                <w:t>Exhibits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508">
              <w:r>
                <w:rPr>
                  <w:rStyle w:val="InternetLink"/>
                  <w:rFonts w:ascii="Times New Roman;sans-serif" w:hAnsi="Times New Roman;sans-serif"/>
                  <w:b w:val="false"/>
                  <w:color w:val="0000FF"/>
                  <w:sz w:val="20"/>
                  <w:u w:val="single"/>
                </w:rPr>
                <w:t>80</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517">
              <w:r>
                <w:rPr>
                  <w:rStyle w:val="InternetLink"/>
                  <w:rFonts w:ascii="Times New Roman;sans-serif" w:hAnsi="Times New Roman;sans-serif"/>
                  <w:b w:val="false"/>
                  <w:color w:val="0000FF"/>
                  <w:sz w:val="20"/>
                  <w:u w:val="single"/>
                </w:rPr>
                <w:t>Signatures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197ac6e72b406b9b3351c668cb8357_517">
              <w:r>
                <w:rPr>
                  <w:rStyle w:val="InternetLink"/>
                  <w:rFonts w:ascii="Times New Roman;sans-serif" w:hAnsi="Times New Roman;sans-serif"/>
                  <w:b w:val="false"/>
                  <w:color w:val="0000FF"/>
                  <w:sz w:val="20"/>
                  <w:u w:val="single"/>
                </w:rPr>
                <w:t>81</w:t>
              </w:r>
            </w:hyperlink>
          </w:p>
        </w:tc>
      </w:tr>
    </w:tbl>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764" w:type="dxa"/>
        <w:jc w:val="center"/>
        <w:tblInd w:w="0" w:type="dxa"/>
        <w:tblLayout w:type="fixed"/>
        <w:tblCellMar>
          <w:top w:w="28" w:type="dxa"/>
          <w:left w:w="28" w:type="dxa"/>
          <w:bottom w:w="28" w:type="dxa"/>
          <w:right w:w="28" w:type="dxa"/>
        </w:tblCellMar>
      </w:tblPr>
      <w:tblGrid>
        <w:gridCol w:w="1389"/>
        <w:gridCol w:w="1213"/>
        <w:gridCol w:w="1223"/>
        <w:gridCol w:w="109"/>
        <w:gridCol w:w="109"/>
        <w:gridCol w:w="109"/>
        <w:gridCol w:w="255"/>
        <w:gridCol w:w="1253"/>
        <w:gridCol w:w="142"/>
        <w:gridCol w:w="109"/>
        <w:gridCol w:w="109"/>
        <w:gridCol w:w="109"/>
        <w:gridCol w:w="244"/>
        <w:gridCol w:w="1199"/>
        <w:gridCol w:w="192"/>
      </w:tblGrid>
      <w:tr>
        <w:trPr/>
        <w:tc>
          <w:tcPr>
            <w:tcW w:w="138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583,969 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655,931 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2,114,279 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3,356,064 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550,901 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562,773 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299,173 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329,204 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3,548,322 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4,903,972 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194,677 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209,639 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73,959 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514,977 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593,582 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350,490 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5,243,266 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5,243,266 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211,665 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234,799 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10,037,257 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11,609,707 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452,343 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424,311 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and 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144,499 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700,737 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738,297 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94,762 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120,770 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990,173 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988,953 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22,718 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1,808,390 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1,877,155 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15,299,179 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14,797,723 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(7,094,862)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(5,065,972)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8,228,867 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9,732,552 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10,037,257 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11,609,707 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91"/>
        <w:gridCol w:w="1114"/>
        <w:gridCol w:w="1124"/>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55"/>
      </w:tblGrid>
      <w:tr>
        <w:trPr/>
        <w:tc>
          <w:tcPr>
            <w:tcW w:w="169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share and per share amounts)</w:t>
            </w:r>
          </w:p>
        </w:tc>
        <w:tc>
          <w:tcPr>
            <w:tcW w:w="264"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(514,814)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159,091,110 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181,749,309 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170,063,452 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183,854,526 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82"/>
        <w:gridCol w:w="1472"/>
        <w:gridCol w:w="1492"/>
        <w:gridCol w:w="109"/>
        <w:gridCol w:w="196"/>
        <w:gridCol w:w="646"/>
        <w:gridCol w:w="109"/>
        <w:gridCol w:w="109"/>
        <w:gridCol w:w="109"/>
        <w:gridCol w:w="109"/>
        <w:gridCol w:w="196"/>
        <w:gridCol w:w="809"/>
        <w:gridCol w:w="109"/>
        <w:gridCol w:w="109"/>
        <w:gridCol w:w="109"/>
        <w:gridCol w:w="109"/>
        <w:gridCol w:w="196"/>
        <w:gridCol w:w="719"/>
        <w:gridCol w:w="109"/>
        <w:gridCol w:w="109"/>
        <w:gridCol w:w="109"/>
        <w:gridCol w:w="109"/>
        <w:gridCol w:w="196"/>
        <w:gridCol w:w="809"/>
        <w:gridCol w:w="109"/>
        <w:gridCol w:w="109"/>
        <w:gridCol w:w="157"/>
      </w:tblGrid>
      <w:tr>
        <w:trPr/>
        <w:tc>
          <w:tcPr>
            <w:tcW w:w="168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6" w:type="dxa"/>
            <w:gridSpan w:val="2"/>
            <w:tcBorders/>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change in market value of effective foreign currency </w:t>
              <w:br/>
              <w:t xml:space="preserve">      forward exchange contracts </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Share of other comprehensive (loss) income from equity method </w:t>
              <w:br/>
              <w:t>      investment</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Comprehensive income (loss) attributable to common </w:t>
              <w:br/>
              <w:t>      stockholders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(581,598)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u w:val="single"/>
        </w:rPr>
      </w:pPr>
      <w:r>
        <w:rPr>
          <w:rFonts w:ascii="Times New Roman;sans-serif" w:hAnsi="Times New Roman;sans-serif"/>
          <w:b/>
          <w:color w:val="000000"/>
          <w:sz w:val="18"/>
          <w:u w:val="single"/>
        </w:rPr>
        <w:t>Three Months Ended September 30, 2024</w:t>
      </w:r>
    </w:p>
    <w:tbl>
      <w:tblPr>
        <w:tblW w:w="11747" w:type="dxa"/>
        <w:jc w:val="left"/>
        <w:tblInd w:w="0" w:type="dxa"/>
        <w:tblLayout w:type="fixed"/>
        <w:tblCellMar>
          <w:top w:w="28" w:type="dxa"/>
          <w:left w:w="28" w:type="dxa"/>
          <w:bottom w:w="28" w:type="dxa"/>
          <w:right w:w="28" w:type="dxa"/>
        </w:tblCellMar>
      </w:tblPr>
      <w:tblGrid>
        <w:gridCol w:w="730"/>
        <w:gridCol w:w="220"/>
        <w:gridCol w:w="221"/>
        <w:gridCol w:w="109"/>
        <w:gridCol w:w="109"/>
        <w:gridCol w:w="109"/>
        <w:gridCol w:w="533"/>
        <w:gridCol w:w="533"/>
        <w:gridCol w:w="196"/>
        <w:gridCol w:w="109"/>
        <w:gridCol w:w="109"/>
        <w:gridCol w:w="109"/>
        <w:gridCol w:w="196"/>
        <w:gridCol w:w="436"/>
        <w:gridCol w:w="109"/>
        <w:gridCol w:w="109"/>
        <w:gridCol w:w="109"/>
        <w:gridCol w:w="109"/>
        <w:gridCol w:w="871"/>
        <w:gridCol w:w="109"/>
        <w:gridCol w:w="109"/>
        <w:gridCol w:w="109"/>
        <w:gridCol w:w="196"/>
        <w:gridCol w:w="976"/>
        <w:gridCol w:w="109"/>
        <w:gridCol w:w="109"/>
        <w:gridCol w:w="109"/>
        <w:gridCol w:w="109"/>
        <w:gridCol w:w="213"/>
        <w:gridCol w:w="719"/>
        <w:gridCol w:w="119"/>
        <w:gridCol w:w="109"/>
        <w:gridCol w:w="109"/>
        <w:gridCol w:w="109"/>
        <w:gridCol w:w="196"/>
        <w:gridCol w:w="886"/>
        <w:gridCol w:w="109"/>
        <w:gridCol w:w="109"/>
        <w:gridCol w:w="109"/>
        <w:gridCol w:w="109"/>
        <w:gridCol w:w="196"/>
        <w:gridCol w:w="886"/>
        <w:gridCol w:w="109"/>
        <w:gridCol w:w="109"/>
        <w:gridCol w:w="109"/>
        <w:gridCol w:w="109"/>
        <w:gridCol w:w="109"/>
        <w:gridCol w:w="109"/>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share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164,150,089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15,136,786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(10,671)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(6,446,806)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8,679,473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1,813,439 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Class A common stock issued and donated to charity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shares of Class A common stock including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(10,642,581)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Share of other comprehensive loss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155,386,309</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15,299,179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24,395</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(7,094,862)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8,228,867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18"/>
          <w:u w:val="single"/>
        </w:rPr>
      </w:pPr>
      <w:r>
        <w:rPr>
          <w:rFonts w:ascii="Times New Roman;sans-serif" w:hAnsi="Times New Roman;sans-serif"/>
          <w:b/>
          <w:color w:val="000000"/>
          <w:sz w:val="18"/>
          <w:u w:val="single"/>
        </w:rPr>
        <w:t>Nine Months Ended September 30, 2024</w:t>
      </w:r>
    </w:p>
    <w:tbl>
      <w:tblPr>
        <w:tblW w:w="11747" w:type="dxa"/>
        <w:jc w:val="left"/>
        <w:tblInd w:w="0" w:type="dxa"/>
        <w:tblLayout w:type="fixed"/>
        <w:tblCellMar>
          <w:top w:w="28" w:type="dxa"/>
          <w:left w:w="28" w:type="dxa"/>
          <w:bottom w:w="28" w:type="dxa"/>
          <w:right w:w="28" w:type="dxa"/>
        </w:tblCellMar>
      </w:tblPr>
      <w:tblGrid>
        <w:gridCol w:w="634"/>
        <w:gridCol w:w="268"/>
        <w:gridCol w:w="269"/>
        <w:gridCol w:w="109"/>
        <w:gridCol w:w="109"/>
        <w:gridCol w:w="109"/>
        <w:gridCol w:w="533"/>
        <w:gridCol w:w="533"/>
        <w:gridCol w:w="196"/>
        <w:gridCol w:w="109"/>
        <w:gridCol w:w="109"/>
        <w:gridCol w:w="109"/>
        <w:gridCol w:w="196"/>
        <w:gridCol w:w="436"/>
        <w:gridCol w:w="109"/>
        <w:gridCol w:w="109"/>
        <w:gridCol w:w="109"/>
        <w:gridCol w:w="109"/>
        <w:gridCol w:w="871"/>
        <w:gridCol w:w="109"/>
        <w:gridCol w:w="109"/>
        <w:gridCol w:w="109"/>
        <w:gridCol w:w="196"/>
        <w:gridCol w:w="976"/>
        <w:gridCol w:w="109"/>
        <w:gridCol w:w="109"/>
        <w:gridCol w:w="109"/>
        <w:gridCol w:w="109"/>
        <w:gridCol w:w="213"/>
        <w:gridCol w:w="719"/>
        <w:gridCol w:w="119"/>
        <w:gridCol w:w="109"/>
        <w:gridCol w:w="109"/>
        <w:gridCol w:w="109"/>
        <w:gridCol w:w="196"/>
        <w:gridCol w:w="886"/>
        <w:gridCol w:w="109"/>
        <w:gridCol w:w="109"/>
        <w:gridCol w:w="109"/>
        <w:gridCol w:w="109"/>
        <w:gridCol w:w="196"/>
        <w:gridCol w:w="886"/>
        <w:gridCol w:w="109"/>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share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181,945,771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14,797,723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619</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(5,065,972)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9,732,552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(96,933)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(96,933)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4,893,903 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(27,839)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Class A common stock issued and donated to charity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returned from escrow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shares of Class A common stock including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(32,000,610)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(1,931,957)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(1,931,989)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of other comprehensive income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155,386,309</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15,299,179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24,395</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(7,094,862)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8,228,867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color w:val="000000"/>
          <w:sz w:val="18"/>
          <w:u w:val="single"/>
        </w:rPr>
      </w:pPr>
      <w:r>
        <w:rPr>
          <w:rFonts w:ascii="Times New Roman;sans-serif" w:hAnsi="Times New Roman;sans-serif"/>
          <w:b/>
          <w:color w:val="000000"/>
          <w:sz w:val="18"/>
          <w:u w:val="single"/>
        </w:rPr>
        <w:t>Three Months Ended September 30, 2023</w:t>
      </w:r>
    </w:p>
    <w:tbl>
      <w:tblPr>
        <w:tblW w:w="11747" w:type="dxa"/>
        <w:jc w:val="left"/>
        <w:tblInd w:w="0" w:type="dxa"/>
        <w:tblLayout w:type="fixed"/>
        <w:tblCellMar>
          <w:top w:w="28" w:type="dxa"/>
          <w:left w:w="28" w:type="dxa"/>
          <w:bottom w:w="28" w:type="dxa"/>
          <w:right w:w="28" w:type="dxa"/>
        </w:tblCellMar>
      </w:tblPr>
      <w:tblGrid>
        <w:gridCol w:w="730"/>
        <w:gridCol w:w="220"/>
        <w:gridCol w:w="221"/>
        <w:gridCol w:w="109"/>
        <w:gridCol w:w="109"/>
        <w:gridCol w:w="109"/>
        <w:gridCol w:w="533"/>
        <w:gridCol w:w="533"/>
        <w:gridCol w:w="196"/>
        <w:gridCol w:w="109"/>
        <w:gridCol w:w="109"/>
        <w:gridCol w:w="109"/>
        <w:gridCol w:w="196"/>
        <w:gridCol w:w="436"/>
        <w:gridCol w:w="109"/>
        <w:gridCol w:w="109"/>
        <w:gridCol w:w="109"/>
        <w:gridCol w:w="109"/>
        <w:gridCol w:w="871"/>
        <w:gridCol w:w="109"/>
        <w:gridCol w:w="109"/>
        <w:gridCol w:w="109"/>
        <w:gridCol w:w="196"/>
        <w:gridCol w:w="976"/>
        <w:gridCol w:w="109"/>
        <w:gridCol w:w="109"/>
        <w:gridCol w:w="109"/>
        <w:gridCol w:w="109"/>
        <w:gridCol w:w="213"/>
        <w:gridCol w:w="719"/>
        <w:gridCol w:w="119"/>
        <w:gridCol w:w="109"/>
        <w:gridCol w:w="109"/>
        <w:gridCol w:w="109"/>
        <w:gridCol w:w="196"/>
        <w:gridCol w:w="886"/>
        <w:gridCol w:w="109"/>
        <w:gridCol w:w="109"/>
        <w:gridCol w:w="109"/>
        <w:gridCol w:w="109"/>
        <w:gridCol w:w="196"/>
        <w:gridCol w:w="886"/>
        <w:gridCol w:w="109"/>
        <w:gridCol w:w="109"/>
        <w:gridCol w:w="109"/>
        <w:gridCol w:w="109"/>
        <w:gridCol w:w="109"/>
        <w:gridCol w:w="109"/>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share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181,174,616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14,418,946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(60,275)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(4,382,293)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9,976,559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(141,707)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(141,707)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1,669,596 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Class A common stock issued and donated to charity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shares of Class A common stock including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(899,799)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market value of effective 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Share of other comprehensive loss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 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182,066,098</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14,610,887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(52,726)</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(4,578,962)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9,979,381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u w:val="single"/>
        </w:rPr>
      </w:pPr>
      <w:r>
        <w:rPr>
          <w:rFonts w:ascii="Times New Roman;sans-serif" w:hAnsi="Times New Roman;sans-serif"/>
          <w:b/>
          <w:color w:val="000000"/>
          <w:sz w:val="18"/>
          <w:u w:val="single"/>
        </w:rPr>
        <w:t>Nine Months Ended September 30, 2023</w:t>
      </w:r>
    </w:p>
    <w:tbl>
      <w:tblPr>
        <w:tblW w:w="13251" w:type="dxa"/>
        <w:jc w:val="left"/>
        <w:tblInd w:w="0" w:type="dxa"/>
        <w:tblLayout w:type="fixed"/>
        <w:tblCellMar>
          <w:top w:w="28" w:type="dxa"/>
          <w:left w:w="28" w:type="dxa"/>
          <w:bottom w:w="28" w:type="dxa"/>
          <w:right w:w="28" w:type="dxa"/>
        </w:tblCellMar>
      </w:tblPr>
      <w:tblGrid>
        <w:gridCol w:w="634"/>
        <w:gridCol w:w="268"/>
        <w:gridCol w:w="269"/>
        <w:gridCol w:w="109"/>
        <w:gridCol w:w="109"/>
        <w:gridCol w:w="109"/>
        <w:gridCol w:w="533"/>
        <w:gridCol w:w="533"/>
        <w:gridCol w:w="196"/>
        <w:gridCol w:w="109"/>
        <w:gridCol w:w="109"/>
        <w:gridCol w:w="109"/>
        <w:gridCol w:w="196"/>
        <w:gridCol w:w="436"/>
        <w:gridCol w:w="109"/>
        <w:gridCol w:w="109"/>
        <w:gridCol w:w="109"/>
        <w:gridCol w:w="109"/>
        <w:gridCol w:w="443"/>
        <w:gridCol w:w="443"/>
        <w:gridCol w:w="196"/>
        <w:gridCol w:w="109"/>
        <w:gridCol w:w="109"/>
        <w:gridCol w:w="109"/>
        <w:gridCol w:w="196"/>
        <w:gridCol w:w="406"/>
        <w:gridCol w:w="109"/>
        <w:gridCol w:w="109"/>
        <w:gridCol w:w="109"/>
        <w:gridCol w:w="109"/>
        <w:gridCol w:w="196"/>
        <w:gridCol w:w="976"/>
        <w:gridCol w:w="109"/>
        <w:gridCol w:w="109"/>
        <w:gridCol w:w="109"/>
        <w:gridCol w:w="109"/>
        <w:gridCol w:w="225"/>
        <w:gridCol w:w="864"/>
        <w:gridCol w:w="127"/>
        <w:gridCol w:w="109"/>
        <w:gridCol w:w="109"/>
        <w:gridCol w:w="109"/>
        <w:gridCol w:w="196"/>
        <w:gridCol w:w="886"/>
        <w:gridCol w:w="109"/>
        <w:gridCol w:w="109"/>
        <w:gridCol w:w="109"/>
        <w:gridCol w:w="109"/>
        <w:gridCol w:w="196"/>
        <w:gridCol w:w="976"/>
        <w:gridCol w:w="109"/>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176,358,104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9,617,605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14,055,853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(121,161)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(3,375,836)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10,559,042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(650,033)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(650,033)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200,406 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4,330,342 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(38,254)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shares of Class B common stock into shares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9,745,587 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(9,745,587)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579,857 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Class A common stock issued and donated to charity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53,276 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shares of Class A common stock including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(9,176,250)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market value of effective 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of other comprehensive income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 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182,066,098</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14,610,887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(52,726)</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(4,578,962)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9,979,381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98"/>
        <w:gridCol w:w="2217"/>
        <w:gridCol w:w="2229"/>
        <w:gridCol w:w="109"/>
        <w:gridCol w:w="109"/>
        <w:gridCol w:w="109"/>
        <w:gridCol w:w="197"/>
        <w:gridCol w:w="742"/>
        <w:gridCol w:w="109"/>
        <w:gridCol w:w="109"/>
        <w:gridCol w:w="109"/>
        <w:gridCol w:w="109"/>
        <w:gridCol w:w="196"/>
        <w:gridCol w:w="788"/>
        <w:gridCol w:w="109"/>
        <w:gridCol w:w="109"/>
        <w:gridCol w:w="157"/>
      </w:tblGrid>
      <w:tr>
        <w:trPr/>
        <w:tc>
          <w:tcPr>
            <w:tcW w:w="2698"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266" w:type="dxa"/>
            <w:gridSpan w:val="2"/>
            <w:tcBorders/>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266" w:type="dxa"/>
            <w:gridSpan w:val="2"/>
            <w:tcBorders/>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w:t>
            </w:r>
          </w:p>
        </w:tc>
        <w:tc>
          <w:tcPr>
            <w:tcW w:w="266" w:type="dxa"/>
            <w:gridSpan w:val="2"/>
            <w:tcBorders/>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Adjustments to reconcile net loss to net cash provided by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reduction to the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amortization of investment premium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including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of losses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net assets divested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and 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net of cash acquired and payments related to prior period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Divestitures, net of cash divested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 and 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(1,391,975)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and 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long-lived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debt and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equity awards withheld for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shares of Class A common stock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exercises of stock options and shares of Class A common stock issued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(1,903,802)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RECONCILIATION OF CASH, CASH EQUIVALENTS AND RESTRICTED CASH TO THE CONDENSED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 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Twilio Inc. (the “Company”) was incorporated in the state of Delaware on March 13, 2008. Today's leading companies trust Twilio's Customer Engagement Platform to build direct, personalized relationships with their customers everywhere in the world. Twilio enables companies to use communications and data to add intelligence and security to every step of their customers’ journey, from sales to marketing to growth, customer service and many more engagement use cases in a flexible, programmatic way.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headquarters are located in San Francisco, California, and the Company has subsidiaries across North America, South America, Europe, Asia and Australia.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(a)</w:t>
      </w:r>
      <w:r>
        <w:rPr>
          <w:rFonts w:ascii="Times New Roman;sans-serif" w:hAnsi="Times New Roman;sans-serif"/>
          <w:b/>
          <w:i/>
          <w:color w:val="000000"/>
          <w:sz w:val="20"/>
        </w:rPr>
        <w:t>Basis of Presentation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27, 2024 (“Annual Report”).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balance sheet as of December 31, 2023, included herein, was derived from the audited financial statements as of that date, but may not include all disclosures including certain notes required by U.S. GAAP on an annual reporting basis.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2024 or any future period.</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(b)</w:t>
      </w:r>
      <w:r>
        <w:rPr>
          <w:rFonts w:ascii="Times New Roman;sans-serif" w:hAnsi="Times New Roman;sans-serif"/>
          <w:b/>
          <w:i/>
          <w:color w:val="000000"/>
          <w:sz w:val="20"/>
        </w:rPr>
        <w:t>Principles of Consolidation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Company and its wholly owned subsidiaries. All intercompany balances and transactions have been eliminated.</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(c)</w:t>
      </w:r>
      <w:r>
        <w:rPr>
          <w:rFonts w:ascii="Times New Roman;sans-serif" w:hAnsi="Times New Roman;sans-serif"/>
          <w:b/>
          <w:i/>
          <w:color w:val="000000"/>
          <w:sz w:val="20"/>
        </w:rPr>
        <w:t>Use of Estimates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allocation of goodwill to reporting units; impairment assessments of goodwill and indefinite-lived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then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i/>
          <w:color w:val="000000"/>
          <w:sz w:val="20"/>
        </w:rPr>
        <w:t>(d)</w:t>
      </w:r>
      <w:r>
        <w:rPr>
          <w:rFonts w:ascii="Times New Roman;sans-serif" w:hAnsi="Times New Roman;sans-serif"/>
          <w:b/>
          <w:i/>
          <w:color w:val="000000"/>
          <w:sz w:val="20"/>
        </w:rPr>
        <w:t>Remaining Performance Obligations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for contracts with durations of more than one year was $148.1 million as of September 30, 2024, of which 65% is expected to be recognized over the next 12 months and 95% is expected to be recognized over the next 24 months.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(e)</w:t>
      </w:r>
      <w:r>
        <w:rPr>
          <w:rFonts w:ascii="Times New Roman;sans-serif" w:hAnsi="Times New Roman;sans-serif"/>
          <w:b/>
          <w:i/>
          <w:color w:val="000000"/>
          <w:sz w:val="20"/>
        </w:rPr>
        <w:t>Deferred Revenue and Customer Deposits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recorded $138.8 million and $144.5 million, respectively, as its deferred revenue and customer deposits. During the three months ended September 30, 2024 and 2023, the Company recognized $16.3 million and $16.7 million of revenue, respectively, that was included in the deferred revenue and customer deposits balances as of the end of the previous year. During the nine months ended September 30, 2024 and 2023, the Company recognized $113.7 million and $115.3 million of revenue, respectively, that was included in the deferred revenue and customer deposits balances as of the end of the previous year.</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(f)</w:t>
      </w:r>
      <w:r>
        <w:rPr>
          <w:rFonts w:ascii="Times New Roman;sans-serif" w:hAnsi="Times New Roman;sans-serif"/>
          <w:b/>
          <w:i/>
          <w:color w:val="000000"/>
          <w:sz w:val="20"/>
        </w:rPr>
        <w:t>Concentration of Credit Risk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expose the Company to a concentration of credit risk consist primarily of cash, cash equivalents, restricted cash, marketable securities and accounts receivable. The Company maintains cash, cash equivalents, restricted cash and marketable securities with financial institutions. Certain balances held by such financial institutions exceed insured limits.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significant customers and periodic re-evaluations, as needed, of existing customers. The Company does not require collateral from its credit customers and maintains reserves for estimated credit losses on customer accounts when considered necessary. Actual credit losses may differ from the Company’s estimates. As of September 30, 2024, and December 31, 2023, the allowance for doubtful accounts was $26.7 million and $42.0 million, respectively, and is recorded in accounts receivable, net, in the accompanying condensed consolidated balance sheets.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and nine months ended September 30, 2024 and 2023, no customer organization accounted for more than 10% of the Company’s total revenue.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no customer organization represented more than 10% of the Company’s gross accounts receivable.</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(g)</w:t>
      </w:r>
      <w:r>
        <w:rPr>
          <w:rFonts w:ascii="Times New Roman;sans-serif" w:hAnsi="Times New Roman;sans-serif"/>
          <w:b/>
          <w:i/>
          <w:color w:val="000000"/>
          <w:sz w:val="20"/>
        </w:rPr>
        <w:t>Restructuring Costs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restructuring expenses when (i) management commits to a restructuring plan, (ii) the restructuring plan identifies all significant actions, (iii) the period of time to complete the restructuring plan indicates that significant changes to the plan are not likely, and (iv) employees who are impacted have been notified of the pending involuntary termination.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enacted various workforce reduction plans in 2023 and 2024. In the nine months ended September 30, 2024, restructuring charges incurred, cash paid and the estimated remaining expenses related to these plans were not significant. </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(h)</w:t>
      </w:r>
      <w:r>
        <w:rPr>
          <w:rFonts w:ascii="Times New Roman;sans-serif" w:hAnsi="Times New Roman;sans-serif"/>
          <w:b/>
          <w:i/>
          <w:color w:val="000000"/>
          <w:sz w:val="20"/>
        </w:rPr>
        <w:t>Recently Issued Accounting Guidance, Not yet Adopted</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November 2023, the Financial Accounting Standards Board (“FASB”) issued Accounting Standards Update No.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is intended to improve reportable segment disclosures. The ASU expands segment disclosures by requiring disclosure of significant segment expenses that are regularly provided to the Chief Operating Decision Maker (“CODM”) and included within each reported measure of segment profit or loss. It also requires disclosure of the amount and description of the composition of other segment items and interim disclosures of a reportable segment's profit or loss and assets. ASU 2023-07 is effective for fiscal years beginning after December 15, 2023, and interim periods within fiscal years beginning after December 15, 2024, with retrospective application required. Early adoption is permitted. The Company expects to adopt ASU 2023-07 upon its effective date. The adoption will require certain additional disclosure in the notes to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December 2023, the FASB issued ASU 2023-09, “</w:t>
      </w: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which requires disclosure of disaggregated income taxes paid, prescribes standard categories for the components of the effective tax rate reconciliation and modifies other income tax related disclosures. ASU 2023-09 is effective for annual periods beginning after December 15, 2024 and may be applied on a prospective basis. Early adoption is permitted. The Company expects to adopt ASU 2023-09 upon its effective date. The adoption will require certain additional disclosure in the notes to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Assets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provide the financial assets measured at fair value on a recurring basis: </w:t>
      </w:r>
    </w:p>
    <w:tbl>
      <w:tblPr>
        <w:tblW w:w="11585" w:type="dxa"/>
        <w:jc w:val="left"/>
        <w:tblInd w:w="0" w:type="dxa"/>
        <w:tblLayout w:type="fixed"/>
        <w:tblCellMar>
          <w:top w:w="28" w:type="dxa"/>
          <w:left w:w="28" w:type="dxa"/>
          <w:bottom w:w="28" w:type="dxa"/>
          <w:right w:w="28" w:type="dxa"/>
        </w:tblCellMar>
      </w:tblPr>
      <w:tblGrid>
        <w:gridCol w:w="453"/>
        <w:gridCol w:w="253"/>
        <w:gridCol w:w="255"/>
        <w:gridCol w:w="109"/>
        <w:gridCol w:w="109"/>
        <w:gridCol w:w="109"/>
        <w:gridCol w:w="196"/>
        <w:gridCol w:w="871"/>
        <w:gridCol w:w="109"/>
        <w:gridCol w:w="109"/>
        <w:gridCol w:w="109"/>
        <w:gridCol w:w="109"/>
        <w:gridCol w:w="196"/>
        <w:gridCol w:w="646"/>
        <w:gridCol w:w="109"/>
        <w:gridCol w:w="109"/>
        <w:gridCol w:w="109"/>
        <w:gridCol w:w="109"/>
        <w:gridCol w:w="196"/>
        <w:gridCol w:w="571"/>
        <w:gridCol w:w="109"/>
        <w:gridCol w:w="109"/>
        <w:gridCol w:w="109"/>
        <w:gridCol w:w="109"/>
        <w:gridCol w:w="226"/>
        <w:gridCol w:w="503"/>
        <w:gridCol w:w="127"/>
        <w:gridCol w:w="109"/>
        <w:gridCol w:w="109"/>
        <w:gridCol w:w="109"/>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4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Amortized</w:t>
              <w:br/>
              <w:t>Cost or</w:t>
              <w:br/>
              <w:t>Carrying</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Gains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 Less Than 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 More</w:t>
              <w:br/>
              <w:t>Than</w:t>
              <w:br/>
              <w:t>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Fair Value Hierarchy as of </w:t>
              <w:br/>
              <w:t>September 30,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Aggregate</w:t>
              <w:br/>
              <w:t>Fair Value</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7" w:type="dxa"/>
            <w:gridSpan w:val="4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included in cash </w:t>
              <w:br/>
              <w:t>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398,136 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358,232 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Non-U.S. government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6"/>
              </w:rPr>
              <w:t>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debt securities and 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1,733,950 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1,733,950 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2,112,019 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marketable</w:t>
              <w:br/>
              <w: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2,094,125 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1,733,950 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2,114,279 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2,492,261 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1,733,950 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2,512,415 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345" w:type="dxa"/>
        <w:jc w:val="left"/>
        <w:tblInd w:w="0" w:type="dxa"/>
        <w:tblLayout w:type="fixed"/>
        <w:tblCellMar>
          <w:top w:w="28" w:type="dxa"/>
          <w:left w:w="28" w:type="dxa"/>
          <w:bottom w:w="28" w:type="dxa"/>
          <w:right w:w="28" w:type="dxa"/>
        </w:tblCellMar>
      </w:tblPr>
      <w:tblGrid>
        <w:gridCol w:w="453"/>
        <w:gridCol w:w="253"/>
        <w:gridCol w:w="255"/>
        <w:gridCol w:w="109"/>
        <w:gridCol w:w="109"/>
        <w:gridCol w:w="109"/>
        <w:gridCol w:w="196"/>
        <w:gridCol w:w="871"/>
        <w:gridCol w:w="109"/>
        <w:gridCol w:w="109"/>
        <w:gridCol w:w="109"/>
        <w:gridCol w:w="109"/>
        <w:gridCol w:w="196"/>
        <w:gridCol w:w="646"/>
        <w:gridCol w:w="109"/>
        <w:gridCol w:w="109"/>
        <w:gridCol w:w="109"/>
        <w:gridCol w:w="109"/>
        <w:gridCol w:w="196"/>
        <w:gridCol w:w="661"/>
        <w:gridCol w:w="109"/>
        <w:gridCol w:w="109"/>
        <w:gridCol w:w="109"/>
        <w:gridCol w:w="109"/>
        <w:gridCol w:w="196"/>
        <w:gridCol w:w="571"/>
        <w:gridCol w:w="109"/>
        <w:gridCol w:w="109"/>
        <w:gridCol w:w="109"/>
        <w:gridCol w:w="109"/>
        <w:gridCol w:w="541"/>
        <w:gridCol w:w="109"/>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4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Amortized</w:t>
              <w:br/>
              <w:t>Cost or</w:t>
              <w:br/>
              <w:t>Carrying</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Gains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 More</w:t>
              <w:br/>
              <w:t>Than</w:t>
              <w:br/>
              <w:t>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Fair Value Hierarchy as of </w:t>
              <w:br/>
              <w:t>December 31, 2023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Aggregate</w:t>
              <w:br/>
              <w:t>Fair Value</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c>
          <w:tcPr>
            <w:tcW w:w="40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9" w:type="dxa"/>
            <w:gridSpan w:val="4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included in cash </w:t>
              <w:br/>
              <w:t>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411,155 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Non-U.S. government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6"/>
              </w:rPr>
              <w:t>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debt securities and 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2,857,697 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3,353,312 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3,351,163 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marketable</w:t>
              <w:br/>
              <w: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3,358,213 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3,356,064 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3,766,909 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923,753 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3,764,760 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primary objective when investing excess cash is preservation of capital, hence the Company’s debt securities primarily consist of U.S. Treasury Securities, non-U.S government securities, high credit quality corporate debt securities and commercial paper. Because the Company views its debt securities as available to support current operations, it has classified all available for sale securities as short-term.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earned on debt securities was $20.1 million and $70.7 million in the three and nine months ended September 30, 2024, respectively, and $19.3 million and $53.2 million in the three and nine months ended September 30, 2023, respectively. The interest is recorded as other income, net, in the accompanying condensed consolidated statements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contractual maturities of debt securities: </w:t>
      </w:r>
    </w:p>
    <w:tbl>
      <w:tblPr>
        <w:tblW w:w="7497" w:type="dxa"/>
        <w:jc w:val="left"/>
        <w:tblInd w:w="0" w:type="dxa"/>
        <w:tblLayout w:type="fixed"/>
        <w:tblCellMar>
          <w:top w:w="28" w:type="dxa"/>
          <w:left w:w="28" w:type="dxa"/>
          <w:bottom w:w="28" w:type="dxa"/>
          <w:right w:w="28" w:type="dxa"/>
        </w:tblCellMar>
      </w:tblPr>
      <w:tblGrid>
        <w:gridCol w:w="521"/>
        <w:gridCol w:w="459"/>
        <w:gridCol w:w="46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Fair Value</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 to three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2,091,865 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3,351,163 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Strategic Investments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held strategic investments with a carrying value of $30.3 million and $30.7 million, respectively, recorded as other long-term assets in the accompanying condensed consolidated balance sheets. The carrying value of these securities is determined under the measurement alternative on a non-recurring basis and adjusted for observable changes in fair value or impairment. There were no significant impairments or adjustments recorded in the nine months ended September 30, 2024 related to these investments. During the nine months ended September 30, 2023, the Company recorded an impairment loss of $46.2 million related to one of these investments in other income (expenses), net, in the accompanying condensed consolidated statement of operations.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Liabilities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liabilities that are measured at fair value on a recurring basis consist of foreign currency derivative liabilities and are classified as Level 2 financial instruments in the fair value hierarchy. As of September 30, 2024 and December 31, 2023, the aggregate fair value of these liabilities and the associated unrealized losses were not significant.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liabilities that are not measured at fair value on a recurring basis are its Senior Notes due 2029 (“2029 Notes”) and its Senior Notes due 2031 (“2031 Notes”). As of September 30, 2024, the fair values of the 2029 Notes and 2031 Notes were $467.0 million and $462.4 million, respectively. As of December 31, 2023, the fair values of the 2029 Notes and 2031 Notes were $462.4 million and $452.3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Property and Equipment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w:t>
      </w:r>
    </w:p>
    <w:tbl>
      <w:tblPr>
        <w:tblW w:w="7791" w:type="dxa"/>
        <w:jc w:val="left"/>
        <w:tblInd w:w="0" w:type="dxa"/>
        <w:tblLayout w:type="fixed"/>
        <w:tblCellMar>
          <w:top w:w="28" w:type="dxa"/>
          <w:left w:w="28" w:type="dxa"/>
          <w:bottom w:w="28" w:type="dxa"/>
          <w:right w:w="28" w:type="dxa"/>
        </w:tblCellMar>
      </w:tblPr>
      <w:tblGrid>
        <w:gridCol w:w="1396"/>
        <w:gridCol w:w="1227"/>
        <w:gridCol w:w="1231"/>
        <w:gridCol w:w="109"/>
        <w:gridCol w:w="109"/>
        <w:gridCol w:w="109"/>
        <w:gridCol w:w="310"/>
        <w:gridCol w:w="1167"/>
        <w:gridCol w:w="172"/>
        <w:gridCol w:w="109"/>
        <w:gridCol w:w="109"/>
        <w:gridCol w:w="109"/>
        <w:gridCol w:w="295"/>
        <w:gridCol w:w="1108"/>
        <w:gridCol w:w="231"/>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 developments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349,038 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297,655 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Data center equipment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104,583 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104,543 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57,983 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60,905 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632,953 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584,615 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Less: accumulated depreciation and amortization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(438,276)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(374,976)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194,677 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209,639 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0" w:after="0"/>
        <w:jc w:val="left"/>
        <w:rPr/>
      </w:pPr>
      <w:r>
        <w:rPr>
          <w:rFonts w:ascii="Times New Roman;sans-serif" w:hAnsi="Times New Roman;sans-serif"/>
          <w:b w:val="false"/>
          <w:color w:val="000000"/>
          <w:sz w:val="10"/>
        </w:rPr>
        <w:t>(</w:t>
      </w:r>
      <w:r>
        <w:rPr>
          <w:rFonts w:ascii="Times New Roman;sans-serif" w:hAnsi="Times New Roman;sans-serif"/>
          <w:b w:val="false"/>
          <w:color w:val="000000"/>
          <w:sz w:val="12"/>
        </w:rPr>
        <w:t>1</w:t>
      </w:r>
      <w:r>
        <w:rPr>
          <w:rFonts w:ascii="Times New Roman;sans-serif" w:hAnsi="Times New Roman;sans-serif"/>
          <w:b w:val="false"/>
          <w:color w:val="000000"/>
          <w:sz w:val="10"/>
        </w:rPr>
        <w:t xml:space="preserve">) </w:t>
      </w:r>
      <w:r>
        <w:rPr>
          <w:rFonts w:ascii="Times New Roman;sans-serif" w:hAnsi="Times New Roman;sans-serif"/>
          <w:b w:val="false"/>
          <w:color w:val="000000"/>
          <w:sz w:val="18"/>
        </w:rPr>
        <w:t>Data center equipment contains $72.4 million in assets held under finance leases as of September 30, 2024 and December 31, 2023. Accumulated depreciation and amortization includes $65.5 million and $55.9 million of accumulated depreciation for assets held under finance leases as of September 30, 2024, and December 31, 2023, respectively.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was $22.8 million and $23.2 million in the three months ended September 30, 2024 and 2023, respectively, and $70.0 million and $67.5 million in the nine months ended September 30, 2024 and 2023, respectively.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capitalized $20.0 million and $14.7 million in internal</w:t>
        <w:noBreakHyphen/>
        <w:t>use software development costs in the three months ended September 30, 2024 and 2023, respectively, and $56.5 million and $43.7 million in the nine months ended September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Divestitures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divestitures in the three and nine months ended September 30, 2024.</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the three months ended September 30, 2023, the Company completed the sale of its ValueFirst business, which operated an enterprise communications platform in India, for a total cash sales price of $45.5 million, or $38.2 million in proceeds, net of cash divested. As part of the transaction, the Company divested $17.4 million of tangible net assets, $17.3 million of intangible assets and $34.6 million of goodwill. The sale resulted in a loss of</w:t>
      </w:r>
      <w:r>
        <w:rPr>
          <w:color w:val="000000"/>
        </w:rPr>
        <w:t xml:space="preserve"> </w:t>
      </w:r>
      <w:r>
        <w:rPr>
          <w:rFonts w:ascii="Times New Roman;sans-serif" w:hAnsi="Times New Roman;sans-serif"/>
          <w:b w:val="false"/>
          <w:color w:val="000000"/>
          <w:sz w:val="20"/>
        </w:rPr>
        <w:t>$28.8 million. The loss was recorded within general and administrative expenses in the accompanying condensed consolidated statement of operations for the nine months ended September 30, 2023. No other significant divestitures were completed in the three and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Segment Reporting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had two operating and reportable segments: Twilio Communications (“Communications”) and Twilio Segment (“Segment”).</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u w:val="single"/>
        </w:rPr>
        <w:t>Twilio Communications</w:t>
      </w:r>
      <w:r>
        <w:rPr>
          <w:rFonts w:ascii="Times New Roman;sans-serif" w:hAnsi="Times New Roman;sans-serif"/>
          <w:b w:val="false"/>
          <w:color w:val="000000"/>
          <w:sz w:val="20"/>
        </w:rPr>
        <w:t>: The Communications reportable segment consists of a variety of application programming interfaces (“APIs”) and software solutions to optimize communications between Twilio customers and their end users. The key products from which the segment derives its revenue are Messaging, Voice, and Email and Marketing Campaigns.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u w:val="single"/>
        </w:rPr>
        <w:t>Twilio Segment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Segment reportable segment consists of software products that enable businesses to achieve more effective customer engagement by providing the tools necessary for customers to build direct, personalized relationships with their end users. The key product from which the segment derives its revenue is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Presented below is the discrete financial information by reportable segment for the three and nine months ended September 30, 2024 and 2023, that is regularly reviewed by the CODM for performance assessment and resource allocation decisions. Prior period amounts were reclassified to conform to the current period’s presentation. Asset information is not presented below since it is not reviewed by the CODM on a segment by segment basis. Revenue, costs of revenue and operating expenses are generally directly attributable to each segment. Certain costs of revenue and operating expenses are allocated based on methodologies that best reflect the patterns of consumption of these costs. Corporate costs consist of costs that support company-wide processes and are managed on the company-wide level, and include costs related to corporate governance and communication, global brand awareness, information security, and certain legal, human resources, finance and accounting expenses.</w:t>
      </w:r>
    </w:p>
    <w:tbl>
      <w:tblPr>
        <w:tblW w:w="10205" w:type="dxa"/>
        <w:jc w:val="center"/>
        <w:tblInd w:w="0" w:type="dxa"/>
        <w:tblLayout w:type="fixed"/>
        <w:tblCellMar>
          <w:top w:w="28" w:type="dxa"/>
          <w:left w:w="28" w:type="dxa"/>
          <w:bottom w:w="28" w:type="dxa"/>
          <w:right w:w="28" w:type="dxa"/>
        </w:tblCellMar>
      </w:tblPr>
      <w:tblGrid>
        <w:gridCol w:w="1343"/>
        <w:gridCol w:w="1180"/>
        <w:gridCol w:w="1196"/>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583"/>
      </w:tblGrid>
      <w:tr>
        <w:trPr/>
        <w:tc>
          <w:tcPr>
            <w:tcW w:w="134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6"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2,857,772 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220,223 </w:t>
            </w:r>
          </w:p>
        </w:tc>
        <w:tc>
          <w:tcPr>
            <w:tcW w:w="583"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3,077,995 </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593,599 </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(53,937)</w:t>
            </w:r>
          </w:p>
        </w:tc>
        <w:tc>
          <w:tcPr>
            <w:tcW w:w="58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(179,294)</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360,368 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non-GAAP income from operations to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non-GAAP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360,368 </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(498,271)</w:t>
            </w:r>
          </w:p>
        </w:tc>
        <w:tc>
          <w:tcPr>
            <w:tcW w:w="58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(149,836)</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divestiture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(5,515)</w:t>
            </w:r>
          </w:p>
        </w:tc>
        <w:tc>
          <w:tcPr>
            <w:tcW w:w="5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net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(32,277)</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(10,739)</w:t>
            </w:r>
          </w:p>
        </w:tc>
        <w:tc>
          <w:tcPr>
            <w:tcW w:w="5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Charitable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(3,985)</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(140,281)</w:t>
            </w:r>
          </w:p>
        </w:tc>
        <w:tc>
          <w:tcPr>
            <w:tcW w:w="5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(34,278)</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(514,814)</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(122,261)</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(637,075)</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Derivatives and Hedging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had outstanding foreign currency forward contracts designated as cash flow hedges with a total sell notional value of $200.6 million. The notional value represents the amount that will be sold upon maturity of the forward contract. As of September 30, 2024, these contracts had maturities of up to 16 months. Gains and losses associated with these foreign currency forward contracts were not significant.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condensed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September 30, 2024, the Company did not have any offsetting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Goodwill and Intangible Assets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balance of the Company’s goodwill was $5.2 billion, of which $4.9 billion related to the Communications reportable segment and $306.1 million related to the Segment reportable segment. There was no goodwill activity during the nine months ended September 30, 2024.</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w:t>
      </w:r>
    </w:p>
    <w:tbl>
      <w:tblPr>
        <w:tblW w:w="7847" w:type="dxa"/>
        <w:jc w:val="left"/>
        <w:tblInd w:w="0" w:type="dxa"/>
        <w:tblLayout w:type="fixed"/>
        <w:tblCellMar>
          <w:top w:w="28" w:type="dxa"/>
          <w:left w:w="28" w:type="dxa"/>
          <w:bottom w:w="28" w:type="dxa"/>
          <w:right w:w="28" w:type="dxa"/>
        </w:tblCellMar>
      </w:tblPr>
      <w:tblGrid>
        <w:gridCol w:w="924"/>
        <w:gridCol w:w="810"/>
        <w:gridCol w:w="816"/>
        <w:gridCol w:w="109"/>
        <w:gridCol w:w="109"/>
        <w:gridCol w:w="109"/>
        <w:gridCol w:w="196"/>
        <w:gridCol w:w="736"/>
        <w:gridCol w:w="109"/>
        <w:gridCol w:w="109"/>
        <w:gridCol w:w="109"/>
        <w:gridCol w:w="109"/>
        <w:gridCol w:w="400"/>
        <w:gridCol w:w="1562"/>
        <w:gridCol w:w="227"/>
        <w:gridCol w:w="109"/>
        <w:gridCol w:w="109"/>
        <w:gridCol w:w="109"/>
        <w:gridCol w:w="196"/>
        <w:gridCol w:w="73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2024</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0"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(292,649)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(204,186)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(33,092)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Order 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(565,721)</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Telecommunication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831,562 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(565,721)</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65" w:type="dxa"/>
        <w:jc w:val="left"/>
        <w:tblInd w:w="0" w:type="dxa"/>
        <w:tblLayout w:type="fixed"/>
        <w:tblCellMar>
          <w:top w:w="28" w:type="dxa"/>
          <w:left w:w="28" w:type="dxa"/>
          <w:bottom w:w="28" w:type="dxa"/>
          <w:right w:w="28" w:type="dxa"/>
        </w:tblCellMar>
      </w:tblPr>
      <w:tblGrid>
        <w:gridCol w:w="924"/>
        <w:gridCol w:w="810"/>
        <w:gridCol w:w="816"/>
        <w:gridCol w:w="109"/>
        <w:gridCol w:w="109"/>
        <w:gridCol w:w="109"/>
        <w:gridCol w:w="196"/>
        <w:gridCol w:w="736"/>
        <w:gridCol w:w="109"/>
        <w:gridCol w:w="109"/>
        <w:gridCol w:w="109"/>
        <w:gridCol w:w="109"/>
        <w:gridCol w:w="400"/>
        <w:gridCol w:w="1562"/>
        <w:gridCol w:w="227"/>
        <w:gridCol w:w="109"/>
        <w:gridCol w:w="109"/>
        <w:gridCol w:w="109"/>
        <w:gridCol w:w="196"/>
        <w:gridCol w:w="736"/>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(259,635)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(170,511)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(23,600)</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Order 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(490,964)</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Telecommunication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(490,964)</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$27.5 million and $48.9 million for the three months ended September 30, 2024 and 2023, respectively, and $84.7 million and $150.0 million for the nine months ended September 30,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estimated future amortization expense is as follows: </w:t>
      </w:r>
    </w:p>
    <w:tbl>
      <w:tblPr>
        <w:tblW w:w="4736" w:type="dxa"/>
        <w:jc w:val="left"/>
        <w:tblInd w:w="0" w:type="dxa"/>
        <w:tblLayout w:type="fixed"/>
        <w:tblCellMar>
          <w:top w:w="28" w:type="dxa"/>
          <w:left w:w="28" w:type="dxa"/>
          <w:bottom w:w="28" w:type="dxa"/>
          <w:right w:w="28" w:type="dxa"/>
        </w:tblCellMar>
      </w:tblPr>
      <w:tblGrid>
        <w:gridCol w:w="835"/>
        <w:gridCol w:w="736"/>
        <w:gridCol w:w="739"/>
        <w:gridCol w:w="109"/>
        <w:gridCol w:w="109"/>
        <w:gridCol w:w="109"/>
        <w:gridCol w:w="379"/>
        <w:gridCol w:w="1423"/>
        <w:gridCol w:w="297"/>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2024</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(remaining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107,862 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42,149 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38,837 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260,626 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Accrued Expenses and Other Current Liabilities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w:t>
      </w:r>
    </w:p>
    <w:tbl>
      <w:tblPr>
        <w:tblW w:w="7612" w:type="dxa"/>
        <w:jc w:val="left"/>
        <w:tblInd w:w="0" w:type="dxa"/>
        <w:tblLayout w:type="fixed"/>
        <w:tblCellMar>
          <w:top w:w="28" w:type="dxa"/>
          <w:left w:w="28" w:type="dxa"/>
          <w:bottom w:w="28" w:type="dxa"/>
          <w:right w:w="28" w:type="dxa"/>
        </w:tblCellMar>
      </w:tblPr>
      <w:tblGrid>
        <w:gridCol w:w="1330"/>
        <w:gridCol w:w="1167"/>
        <w:gridCol w:w="1178"/>
        <w:gridCol w:w="109"/>
        <w:gridCol w:w="109"/>
        <w:gridCol w:w="109"/>
        <w:gridCol w:w="310"/>
        <w:gridCol w:w="1167"/>
        <w:gridCol w:w="172"/>
        <w:gridCol w:w="109"/>
        <w:gridCol w:w="109"/>
        <w:gridCol w:w="109"/>
        <w:gridCol w:w="295"/>
        <w:gridCol w:w="1108"/>
        <w:gridCol w:w="231"/>
      </w:tblGrid>
      <w:tr>
        <w:trPr/>
        <w:tc>
          <w:tcPr>
            <w:tcW w:w="133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77,593 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bonus program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70,182 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155,721 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other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73,408 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70,913 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ESPP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29,086 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repurchase costs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55,508 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452,343 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424,311 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Long-Term Debt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consisted of the following:</w:t>
      </w:r>
    </w:p>
    <w:tbl>
      <w:tblPr>
        <w:tblW w:w="6022" w:type="dxa"/>
        <w:jc w:val="left"/>
        <w:tblInd w:w="0" w:type="dxa"/>
        <w:tblLayout w:type="fixed"/>
        <w:tblCellMar>
          <w:top w:w="28" w:type="dxa"/>
          <w:left w:w="28" w:type="dxa"/>
          <w:bottom w:w="28" w:type="dxa"/>
          <w:right w:w="28" w:type="dxa"/>
        </w:tblCellMar>
      </w:tblPr>
      <w:tblGrid>
        <w:gridCol w:w="755"/>
        <w:gridCol w:w="663"/>
        <w:gridCol w:w="667"/>
        <w:gridCol w:w="109"/>
        <w:gridCol w:w="109"/>
        <w:gridCol w:w="109"/>
        <w:gridCol w:w="310"/>
        <w:gridCol w:w="1167"/>
        <w:gridCol w:w="172"/>
        <w:gridCol w:w="109"/>
        <w:gridCol w:w="109"/>
        <w:gridCol w:w="109"/>
        <w:gridCol w:w="295"/>
        <w:gridCol w:w="1108"/>
        <w:gridCol w:w="231"/>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2029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495,455 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494,764 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2031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494,718 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494,189 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990,173 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988,953 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was in compliance with all of its covenants under the related indentures.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Revenue by Geographic Area</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geographic area is based on the IP address or the mailing address of the customer at the time of registration. The following table sets forth revenue by geographic area:</w:t>
      </w:r>
    </w:p>
    <w:tbl>
      <w:tblPr>
        <w:tblW w:w="8434" w:type="dxa"/>
        <w:jc w:val="center"/>
        <w:tblInd w:w="0" w:type="dxa"/>
        <w:tblLayout w:type="fixed"/>
        <w:tblCellMar>
          <w:top w:w="28" w:type="dxa"/>
          <w:left w:w="28" w:type="dxa"/>
          <w:bottom w:w="28" w:type="dxa"/>
          <w:right w:w="28" w:type="dxa"/>
        </w:tblCellMar>
      </w:tblPr>
      <w:tblGrid>
        <w:gridCol w:w="781"/>
        <w:gridCol w:w="688"/>
        <w:gridCol w:w="69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by geographic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1,033,670 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023" w:type="dxa"/>
        <w:jc w:val="center"/>
        <w:tblInd w:w="0" w:type="dxa"/>
        <w:tblLayout w:type="fixed"/>
        <w:tblCellMar>
          <w:top w:w="28" w:type="dxa"/>
          <w:left w:w="28" w:type="dxa"/>
          <w:bottom w:w="28" w:type="dxa"/>
          <w:right w:w="28" w:type="dxa"/>
        </w:tblCellMar>
      </w:tblPr>
      <w:tblGrid>
        <w:gridCol w:w="1125"/>
        <w:gridCol w:w="989"/>
        <w:gridCol w:w="990"/>
        <w:gridCol w:w="109"/>
        <w:gridCol w:w="109"/>
        <w:gridCol w:w="109"/>
        <w:gridCol w:w="165"/>
        <w:gridCol w:w="166"/>
        <w:gridCol w:w="256"/>
        <w:gridCol w:w="109"/>
        <w:gridCol w:w="109"/>
        <w:gridCol w:w="109"/>
        <w:gridCol w:w="165"/>
        <w:gridCol w:w="166"/>
        <w:gridCol w:w="256"/>
        <w:gridCol w:w="109"/>
        <w:gridCol w:w="109"/>
        <w:gridCol w:w="109"/>
        <w:gridCol w:w="165"/>
        <w:gridCol w:w="166"/>
        <w:gridCol w:w="256"/>
        <w:gridCol w:w="109"/>
        <w:gridCol w:w="109"/>
        <w:gridCol w:w="109"/>
        <w:gridCol w:w="165"/>
        <w:gridCol w:w="166"/>
        <w:gridCol w:w="256"/>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revenue by geographic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12.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i/>
          <w:color w:val="000000"/>
          <w:sz w:val="20"/>
        </w:rPr>
        <w:t>(a)</w:t>
      </w:r>
      <w:r>
        <w:rPr>
          <w:rFonts w:ascii="Times New Roman;sans-serif" w:hAnsi="Times New Roman;sans-serif"/>
          <w:b/>
          <w:i/>
          <w:color w:val="000000"/>
          <w:sz w:val="20"/>
        </w:rPr>
        <w:t>Lease and Other Commitments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various non-cancelable operating lease agreements for its facilities. In the three and nine months ended September 30, 2024, the Company did not enter into any significant new lease agreements.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non-cancelable contractual commitments with its cloud infrastructure provider, network service providers and other vendors. In the three and nine months ended September 30, 2024, the Company entered into several such agreements with terms up to four years for a total purchase commitment of $14.4 million and $55.2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ans-serif" w:hAnsi="Times New Roman;sans-serif"/>
          <w:b/>
          <w:i/>
          <w:color w:val="000000"/>
          <w:sz w:val="20"/>
        </w:rPr>
        <w:t>(b)</w:t>
      </w:r>
      <w:r>
        <w:rPr>
          <w:rFonts w:ascii="Times New Roman;sans-serif" w:hAnsi="Times New Roman;sans-serif"/>
          <w:b/>
          <w:i/>
          <w:color w:val="000000"/>
          <w:sz w:val="20"/>
        </w:rPr>
        <w:t xml:space="preserve">Legal Matters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subject to legal actions, claims, and government investigations or inquiries arising in the ordinary course of business. These matters may include, but are not limited to, matters involving privacy, data protection, data security, intellectual property, competition, telecommunications, consumer protection, taxation, securities, employment and contractual rights. While the Company currently believes that the final outcomes of these matters will not have a material adverse effect on its business, the results of any current or future litigation cannot be predicted with certainty, and regardless of the outcome, litigation can have an adverse impact on the Company because of defense and settlement costs, diversion of management resources and other factors.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accrues for contingencies when it believes that a loss is probable and can be reasonably estimated. To the extent there is a reasonable possibility that a loss may be incurred that is in excess of the amounts already recognized and such additional loss amount may be material, the Company either discloses the estimated additional loss amount or states that such an estimate cannot be made. Significant judgment is required to determine the probability of a loss and to estimate the amount of any probable loss.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Legal fees and other costs related to litigation and other legal proceedings are expensed as incurred and are included in general and administrative expenses in the accompanying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ans-serif" w:hAnsi="Times New Roman;sans-serif"/>
          <w:b/>
          <w:i/>
          <w:color w:val="000000"/>
          <w:sz w:val="20"/>
        </w:rPr>
        <w:t>(c)</w:t>
      </w:r>
      <w:r>
        <w:rPr>
          <w:rFonts w:ascii="Times New Roman;sans-serif" w:hAnsi="Times New Roman;sans-serif"/>
          <w:b/>
          <w:i/>
          <w:color w:val="000000"/>
          <w:sz w:val="20"/>
        </w:rPr>
        <w:t>Indemnification Agreements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and in connection with its financing and business combination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products or its acts or omissions.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signed indemnification agreements with all of its board members and executive officers and certain employees that may require the Company to indemnify them for certain events in connection with their services to the Company or its direct or indirect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no amounts were accrued related to any outstanding indemnification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ans-serif" w:hAnsi="Times New Roman;sans-serif"/>
          <w:b/>
          <w:i/>
          <w:color w:val="000000"/>
          <w:sz w:val="20"/>
        </w:rPr>
        <w:t>(d)</w:t>
      </w:r>
      <w:r>
        <w:rPr>
          <w:rFonts w:ascii="Times New Roman;sans-serif" w:hAnsi="Times New Roman;sans-serif"/>
          <w:b/>
          <w:i/>
          <w:color w:val="000000"/>
          <w:sz w:val="20"/>
        </w:rPr>
        <w:t>Other Taxes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conducts operations in multiple tax jurisdictions within and outside of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can be reasonably estimated. These reserves are based on estimates which include several key assumptions including, but not limited to, the taxability of the Company’s services, the jurisdictions in which its management believes it had nexus and the sourcing of revenues to those jurisdictions.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liabilities recorded for the non-income-based taxes were $18.5 million for domestic jurisdictions and $19.7 million for jurisdictions outside of the United States. As of December 31, 2023, these liabilities were $18.0 million and $22.2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13. Stockholders' Equity</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had authorized 100,000,000 shares of preferred stock, par value $0.001, of which no shares were issued and outstanding.</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had authorized 1,000,000,000 shares of Class A common stock and 3,170,181 shares of Class B common stock, each with a par value of $0.001 per share. As of September 30, 2024, 155,386,309 shares of Class A common stock and no shares of Class B common stock were issued and outstanding.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authorized 1,000,000,000 shares of Class A common stock and 3,170,181 shares of Class B common stock, each with a par value of $0.001 per share. As of December 31, 2023, 181,945,771 shares of Class A common stock and no shares of Class B common stock were issued and outstanding.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reserved shares of common stock for issuance as follows:</w:t>
      </w:r>
    </w:p>
    <w:tbl>
      <w:tblPr>
        <w:tblW w:w="9326" w:type="dxa"/>
        <w:jc w:val="left"/>
        <w:tblInd w:w="0" w:type="dxa"/>
        <w:tblLayout w:type="fixed"/>
        <w:tblCellMar>
          <w:top w:w="28" w:type="dxa"/>
          <w:left w:w="28" w:type="dxa"/>
          <w:bottom w:w="28" w:type="dxa"/>
          <w:right w:w="28" w:type="dxa"/>
        </w:tblCellMar>
      </w:tblPr>
      <w:tblGrid>
        <w:gridCol w:w="1931"/>
        <w:gridCol w:w="1699"/>
        <w:gridCol w:w="1710"/>
        <w:gridCol w:w="109"/>
        <w:gridCol w:w="109"/>
        <w:gridCol w:w="109"/>
        <w:gridCol w:w="549"/>
        <w:gridCol w:w="549"/>
        <w:gridCol w:w="551"/>
        <w:gridCol w:w="109"/>
        <w:gridCol w:w="109"/>
        <w:gridCol w:w="109"/>
        <w:gridCol w:w="527"/>
        <w:gridCol w:w="478"/>
        <w:gridCol w:w="678"/>
      </w:tblGrid>
      <w:tr>
        <w:trPr/>
        <w:tc>
          <w:tcPr>
            <w:tcW w:w="1931"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1,392,697 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1,722,861 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units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20,265,865 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18,755,538 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reserved for Twilio.org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375,735 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442,041 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awards available for grant under 2016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23,045,368 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19,869,260 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reserved for issuance pursuant to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9,947,222 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8,541,701 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55,026,887 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49,331,401 </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Share Repurchase Programs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the board of directors of the Company authorized a repurchase of up to $1.0 billion in aggregate value of its outstanding Class A common stock through a share repurchase program. In March 2024, the board of directors of the Company authorized a second share repurchase program for an additional $2.0 billion in aggregate value of its outstanding Class A common stock. Repurchases under these programs can be made through open market, private transactions or other means, in compliance with applicable federal securities laws, and could include repurchases pursuant to Rule 10b5-1 trading plans. The Company has discretion in determining the conditions under which shares may be repurchased from time to time. Both programs expire on December 31,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2024 and 2023, the Company repurchased 10.6 million and 0.9 million shares of its Class A common stock, respectively, for an aggregate purchase price of $633.0 million and $56.0 million, respectively. In the nine months ended September 30, 2024 and 2023, the Company repurchased 32.0 million and 9.2 million shares of its Class A common stock, respectively, for an aggregate purchase price of $1.9 billion and $551.0 million, respectively. As of September 30, 2024, approximately $412.0 million of the aggregate amount authorized under the stock repurchase programs remained available for future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14. Stock-Based Compensation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2016 Stock Option and Incentive Plan (the “2016 Plan”) provides for granting stock options, restricted stock units, restricted stock awards, stock appreciation rights, unrestricted stock awards, performance share awards, dividend equivalent rights and cash-based awards to its employees, directors and consultants. Certain of the Company’s outstanding equity awards were granted under equity incentive plans that are no longer active but continue to govern the outstanding equity awards granted thereunder.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2024, the Company granted certain of its executive employees performance-based restricted stock units (“PSUs”) covering 516,626 shares of Class A common stock that had an aggregate grant date fair value of $34.5 million. The PSUs will vest if certain operational performance or market conditions, as defined in the grant agreements, are met during the performance achievement period, which expires on December 31, 2026. The fair value of the portion of the PSUs with an operational performance target equals the closing price of the Company’s Class A common stock on the date of grant. The expense is recognized on a straight-line basis and only if it is probable that the performance target will be achieved during the performance period. The probability of achievement is assessed each reporting period and adjustments are recorded accordingly. The fair value of the portion of the PSUs with market conditions was determined using a Monte-Carlo simulation model and the expense is recognized on a straight-line basis over the performance achievement period. At the end of the vesting period the number of shares actually issued may range from 0% to 200% of the target based on levels of performance.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 Company’s 2016 Employee Stock Purchase Plan (“ESPP”), eligible employees may purchase shares of the Company’s Class A common stock at a discount of 15% through payroll deductions of their eligible compensation. The ESPP provides for separate six-month offering periods beginning in May and November of each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total unrecognized compensation cost related to unvested restricted stock units was $1.4 billion which will be amortized over a weighted-average period of 2.7 years. As of September 30, 2024, total unrecognized compensation cost related to unvested stock options and the ESPP was not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total stock-based compensation expense as follows:</w:t>
      </w:r>
    </w:p>
    <w:tbl>
      <w:tblPr>
        <w:tblW w:w="7744"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15. Net Loss Per Share Attributable to Common Stockholders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calculation of basic and diluted net loss per share attributable to common stockholders during the periods presented:</w:t>
      </w:r>
    </w:p>
    <w:tbl>
      <w:tblPr>
        <w:tblW w:w="10205" w:type="dxa"/>
        <w:jc w:val="left"/>
        <w:tblInd w:w="0" w:type="dxa"/>
        <w:tblLayout w:type="fixed"/>
        <w:tblCellMar>
          <w:top w:w="28" w:type="dxa"/>
          <w:left w:w="28" w:type="dxa"/>
          <w:bottom w:w="28" w:type="dxa"/>
          <w:right w:w="28" w:type="dxa"/>
        </w:tblCellMar>
      </w:tblPr>
      <w:tblGrid>
        <w:gridCol w:w="1595"/>
        <w:gridCol w:w="1197"/>
        <w:gridCol w:w="1200"/>
        <w:gridCol w:w="109"/>
        <w:gridCol w:w="109"/>
        <w:gridCol w:w="109"/>
        <w:gridCol w:w="268"/>
        <w:gridCol w:w="783"/>
        <w:gridCol w:w="109"/>
        <w:gridCol w:w="109"/>
        <w:gridCol w:w="109"/>
        <w:gridCol w:w="109"/>
        <w:gridCol w:w="217"/>
        <w:gridCol w:w="834"/>
        <w:gridCol w:w="109"/>
        <w:gridCol w:w="109"/>
        <w:gridCol w:w="109"/>
        <w:gridCol w:w="109"/>
        <w:gridCol w:w="240"/>
        <w:gridCol w:w="811"/>
        <w:gridCol w:w="109"/>
        <w:gridCol w:w="109"/>
        <w:gridCol w:w="109"/>
        <w:gridCol w:w="109"/>
        <w:gridCol w:w="217"/>
        <w:gridCol w:w="834"/>
        <w:gridCol w:w="109"/>
        <w:gridCol w:w="109"/>
        <w:gridCol w:w="156"/>
      </w:tblGrid>
      <w:tr>
        <w:trPr/>
        <w:tc>
          <w:tcPr>
            <w:tcW w:w="159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726" w:type="dxa"/>
            <w:gridSpan w:val="20"/>
            <w:tcBorders/>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(141,707)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(96,933)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(650,033)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to compute 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159,091,110 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181,749,309 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170,063,452 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183,854,526 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common stock equivalents were excluded from the calculation of the diluted net loss per share attributable to common stockholders because their effect would have been anti-dilutive:</w:t>
      </w:r>
    </w:p>
    <w:tbl>
      <w:tblPr>
        <w:tblW w:w="10205" w:type="dxa"/>
        <w:jc w:val="left"/>
        <w:tblInd w:w="0" w:type="dxa"/>
        <w:tblLayout w:type="fixed"/>
        <w:tblCellMar>
          <w:top w:w="28" w:type="dxa"/>
          <w:left w:w="28" w:type="dxa"/>
          <w:bottom w:w="28" w:type="dxa"/>
          <w:right w:w="28" w:type="dxa"/>
        </w:tblCellMar>
      </w:tblPr>
      <w:tblGrid>
        <w:gridCol w:w="2454"/>
        <w:gridCol w:w="2158"/>
        <w:gridCol w:w="2173"/>
        <w:gridCol w:w="109"/>
        <w:gridCol w:w="109"/>
        <w:gridCol w:w="109"/>
        <w:gridCol w:w="492"/>
        <w:gridCol w:w="469"/>
        <w:gridCol w:w="181"/>
        <w:gridCol w:w="181"/>
        <w:gridCol w:w="181"/>
        <w:gridCol w:w="181"/>
        <w:gridCol w:w="492"/>
        <w:gridCol w:w="469"/>
        <w:gridCol w:w="181"/>
        <w:gridCol w:w="109"/>
        <w:gridCol w:w="157"/>
      </w:tblGrid>
      <w:tr>
        <w:trPr/>
        <w:tc>
          <w:tcPr>
            <w:tcW w:w="2454"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w:t>
            </w:r>
          </w:p>
        </w:tc>
        <w:tc>
          <w:tcPr>
            <w:tcW w:w="266" w:type="dxa"/>
            <w:gridSpan w:val="2"/>
            <w:tcBorders/>
          </w:tcPr>
          <w:p>
            <w:pPr>
              <w:pStyle w:val="TableContents"/>
              <w:bidi w:val="0"/>
              <w:spacing w:before="0" w:after="283"/>
              <w:jc w:val="left"/>
              <w:rPr>
                <w:sz w:val="4"/>
                <w:szCs w:val="4"/>
              </w:rPr>
            </w:pPr>
            <w:r>
              <w:rPr>
                <w:sz w:val="4"/>
                <w:szCs w:val="4"/>
              </w:rPr>
            </w:r>
          </w:p>
        </w:tc>
      </w:tr>
      <w:tr>
        <w:trPr/>
        <w:tc>
          <w:tcPr>
            <w:tcW w:w="6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1,392,697 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1,778,852 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units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20,265,865 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20,263,588 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reserved for Twilio.org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375,735 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464,143 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committed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240,905 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350,270 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in escrow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in escrow and restricted stock awards subject to future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22,275,202 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22,892,127 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16. Income Taxes</w:t>
      </w:r>
      <w:r>
        <w:rPr>
          <w:color w:val="000000"/>
        </w:rPr>
        <w: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computed its provision for income taxes for interim periods using a forecasted annual effective tax rate (“AETR”) based on anticipated annual pretax income or loss, which was adjusted for discrete items recorded in the period. However, due to the level of forecasted provision for income taxes relative to the forecasted pre-tax income used in computing the effective tax rate, the effective tax rate is highly sensitive to fluctuations in pre-tax income and does not provide a reasonable estimate for income taxes in the interim period. As such, the Company computed its provision for income taxes based on the year-to-date actual effective tax rate for the three and nine months ended September 30, 2024. The Company plans to revert to applying a forecasted annual effective tax rate to year-to-date earnings and adjusting for discrete items once that method produces more reasonable results. The primary difference between the Company’s effective tax rate and the federal statutory rate is the full valuation allowance the Company has established on its federal, state and certain foreign net operating losses and credits.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recorded in the three months ended September 30, 2024 consists primarily of federal, state and foreign income taxes and withholding taxes in foreign jurisdictions in which the Company conducts business. The provision for income taxes recorded in the nine months ended September 30, 2024 consists primarily of the same factors and also income tax expense from a foreign audit settlement.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recorded in the three and nine months ended September 30, 2023 consists primarily of income taxes and withholding taxes, partially offset by an income tax benefit from the release of tax liabilities related to uncertain tax positions for which the statute of limitation had lapsed.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U.S. and various other state and foreign jurisdictions. Because the Company has net operating loss carryforwards for U.S. federal and state jurisdictions, the statute of limitations is open for all tax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17.</w:t>
      </w:r>
      <w:r>
        <w:rPr>
          <w:color w:val="000000"/>
        </w:rPr>
        <w:t xml:space="preserve"> </w:t>
      </w:r>
      <w:r>
        <w:rPr>
          <w:rFonts w:ascii="Times New Roman;sans-serif" w:hAnsi="Times New Roman;sans-serif"/>
          <w:b/>
          <w:color w:val="000000"/>
          <w:sz w:val="20"/>
        </w:rPr>
        <w:t>Related Party Transactions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the Company and Syniverse Corporation (“Syniverse”), an equity method investee, entered into a wholesale agreement pursuant to which Syniverse would process, route and deliver application-to-person messages originating and/or terminating between the Company’s customers and mobile network operators. For the three and nine months ended September 30, 2024, the value of the transactions that occurred between the Company and Syniverse were $34.6 million and $103.8 million, respectively. For the three and nine months ended September 30, 2023, the value of the transactions that occurred between the Company and Syniverse were $40.1 million and $110.2 million, respectively. These transactions were recorded as cost of revenue in the accompanying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of macroeconomic uncertainties and significant market volatility in the global economy on our customers, partners, employees and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future financial performance, including expectations regarding our revenue, revenue growth, cost of revenue, gross profit, gross margin and operating expenses, our ability to generate positive cash flow and ability to achieve and sustain profitability on GAAP and non-GAAP bases, the factors affecting our results of operations, the timing of future expenses, the end dates for certain types of expenses, and the assumptions underlying such expectations;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benefits and efficiencies we expect to derive from workforce reductions and other cost-saving initiatives, and from our cash bonus program;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business unit reorganization, including its expected costs and benefits, related accounting determinations and the shift in our segment reporting structure, and changes to our leadership 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on our business, corporate culture, and employees as a result of our leadership transition;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expectations regarding our Communications business, including anticipated efficiencies and strategy for streamlining the customer experience, including increased focus on self-service capabilities;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our expectations regarding our Segment business, including the targets set as a result of our operational review of Segment, new product releases, the expected benefits and timeline of the migration to a new infrastructure provider, increased investment and go-to-market focus to capture market share, and increased revenue growth;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retain and increase revenue from existing customers and attract new customers, including enterprises and international organizations;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maintain reliable service levels for our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anticipated investments in sales and marketing, research and development and additional systems and processes to support our growth;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anticipated results of our foreign currency hedging activities;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compete effectively in an intensely competitive market, including our ability to set optimal prices for our products and adapt and respond effectively to rising costs, rapidly changing technology and evolving customer needs, requirements, and preferences;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harm caused by compromises in security, data and infrastructure, including cybersecurity protections;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comply with modified or new industry standards, laws and regulations applying to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make progress on our environmental, social and governance (“ESG”) programs, goals and commitments;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manage changes in network service provider fees that we pay in connection with the delivery of communications on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investments and costs required to prevent, detect and remediate potential cybersecurity threats, incidents and breaches of ours or our customers’ systems or information;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optimize our network service provider coverage and connectivity;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work closely with email inbox service providers to maintain deliverability rates;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and expected results from changes in our relationships with our larger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form and expand partnerships with technology partners and consulting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anticipated technology trends, such as the use of and demand for cloud communications and customer engagement tools;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leverage artificial intelligence (“AI”) and machine learning (“ML”) and develop and deliver products that incorporate AI and ML and our expectations about CustomerAI and its potential;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enter into new markets and manage our international expansion;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sufficiency of our cash and cash equivalents to meet our liquidity needs;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expectations regarding our share repurchase programs;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maintain, protect and enhance our intellectual property;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defend litigation brought against us;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service the interest on our 3.625% senior notes due 2029 (“2029 Notes”) and on our 3.875% notes due 2031 (“2031 Notes,” and together with the 2029 Notes, the “Notes”), and repay such Notes;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customers’ and other platform users’ violation of our policies or other misuse of our platform;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integrate acquired businesses and realize the benefits of our past or future strategic acquisitions, divestitures or investments.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Quarterly Report on Form 10-Q.</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and financial condition. The outcome of the events described in these forward-looking statements is subject to risks, uncertainties and other factors described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40" w:after="283"/>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 and Results of Operations</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consolidated financial statements and related notes appearing elsewhere in this Quarterly Report on Form 10-Q </w:t>
      </w:r>
      <w:r>
        <w:rPr>
          <w:rFonts w:ascii="Times New Roman;sans-serif" w:hAnsi="Times New Roman;sans-serif"/>
          <w:b w:val="false"/>
          <w:i/>
          <w:color w:val="000000"/>
          <w:sz w:val="20"/>
          <w:shd w:fill="FFFFFF" w:val="clear"/>
        </w:rPr>
        <w:t xml:space="preserve">and our audited consolidated financial statements included in our Annual Report on Form 10-K for the year ended December 31, 2023, filed with the SEC on February 27, 2024. </w:t>
      </w:r>
      <w:r>
        <w:rPr>
          <w:rFonts w:ascii="Times New Roman;sans-serif" w:hAnsi="Times New Roman;sans-serif"/>
          <w:b w:val="false"/>
          <w:i/>
          <w:color w:val="000000"/>
          <w:sz w:val="20"/>
        </w:rPr>
        <w:t>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enable businesses of all sizes to revolutionize how they engage with their customers by delivering seamless, trusted and personalized customer experiences at scale. Our leading customer engagement platform comprises communications APIs that enable developers to embed numerous forms of messaging, voice, and email interactions into their customer-facing applications, as well as software products that target specific engagement needs, including our customer data platform, digital engagement centers, marketing campaigns and advanced account security solutions. This combination of flexible APIs and software solutions helps businesses of all sizes and across numerous industries to benefit from smarter and more streamlined engagement at every step of the customer journey, including reduced customer acquisition costs, lasting loyalty and increased customer value. Our platform, which combines our highly customizable communications APIs with customer data management capabilities, allows businesses to break down data silos and build a comprehensive single source for their customer data that is organized into unique profiles that are easily accessible by all their business teams. Empowered with this information and the insights it enables, businesses using our platform can provide robust, personalized and effective communications to their customers at every stage of their customer relationships. The value proposition of our offerings has become stronger and our products have become more strategic to our customers as more and more businesses have prioritized building more personalized and more differentiated customer engagement experiences through digital channels.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our business in two business units: Communications and Segment. Our Communications business consists of a variety of APIs and software solutions to optimize communications between our customers and their end users. Our key Communications offerings include Messaging, Voice, Flex, Email and Marketing Campaigns, and User Identity and Authentication. Our Segment business consists of software products that enable businesses to leverage their first-party data to create unique customer profiles and achieve more effective customer engagement. Together, our Communications and Segment products power our customer engagement platform. Our goal is to create a flywheel for effective customer engagement by combining Segment’s user profiles with our rich Communications data to drive more personalized and intelligent customer interactions.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revealed CustomerAI, our predictive and generative AI layer, which couples the power of large language models with the rich customer data that flows through our Customer Engagement Platform to help brands unlock enhanced consumer experiences. We believe that our CustomerAI capabilities and initiatives have the potential to increase the power and reach of our platform, make every interaction between our customers and their end users more personalized and intelligent, and accelerate our data and communications flywheel described above, benefiting both our Communications and Segment products.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three months ended September 30, 2024 and 2023, our revenue was $1.13 billion and $1.03 billion, respectively, and our net loss was $9.7 million and $141.7 million, respectively. In both the three months ended September 30, 2024 and 2023, our 10 largest Active Customer Accounts generated an aggregate of 10% of our total quarterly revenue.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Factors Affecting Our 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focused on profitable growth. To increase revenue and grow market share, we intend to drive product innovation, leverage predictive and generative AI, further enhance our ISV, reseller and other partner relationships, improve our self-service capabilities, cross-sell our products, expand internationally, enhance Segment data warehouse interoperability and reduce time to value for Segment. We also intend to optimize our business and take measures to reduce costs, including simplifying and further automating our business processes, modernizing our infrastructure, focusing on self-service, leveraging AI, and implementing other initiatives targeted at improving efficiencies in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is primarily derived from usage-based fees, which can lead to variability in our results of operations and at times create differences between our forecasts and actual results. Our usage-based revenue is also more immediately impacted by changes in consumer spending and macroeconomic conditions than our subscription-based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gross margin is impacted by a number of factors, including the timing and extent of our investments in our operations; our product mix; our ability to manage our cloud infrastructure</w:t>
        <w:noBreakHyphen/>
        <w:t xml:space="preserve">related and network service provider fees, including A2P SMS fees; the mix of U.S. messaging termination compared to international messaging termination (which has lower gross margins); changes in foreign exchange rates; the timing of amortization of capitalized software development costs and acquired intangibles; and the extent to which we periodically choose to adjust prices of our products.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gross profit is impacted by our product mix. Our cost of revenue and gross profit are also impacted by changes in hosting fees and network service providers’ fees and our ability to pass these costs through to our customers. We also experience seasonal trends due to increased consumer activity in the fourth quarter, which may result in lower sequential revenue in the first quarter.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migrating part of Segment’s architecture to a new infrastructure provider, which we expect will allow us to recognize greater operational efficiency and scale up new AI-driven products and features. This migration will result in overlapping expenses with our original and new vendors for the fourth quarter of 2024, which we expect to negatively impact Segment gross margins in such quarter. We expect to complete the migration by the end of 2024.</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expect that the wind-down of the software component of our Zipwhip business will negatively impact our revenue growth rates in the fourth quarter of 2024.</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2024, we introduced a company-wide annual cash bonus program to reduce our use of equity compensation. The bonus payout amount for each eligible participant is determined based on Company and individual full year performance metrics. In the three and nine months ended September 30, 2024, we recorded $45.8 million and $94.4 million of expense related to the program, respectively. The third quarter of 2024 included an additional $17.9 million of expense due to a higher anticipated bonus payout as a result of an increased outlook for the Company’s full year performance metrics. The program also provided for a 25% mid-year bonus cash payment in its initial year only, which resulted in a $24.3 million payment in July 2024. As of September 30, 2024, the accrued bonus liability was $70.2 million recorded in the accrued expenses and other current liabilities in our condensed consolidated balance sheet included elsewhere in this Quarterly Report on Form 10-Q.</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prior workforce restructurings to reduce our operating expenses in future periods. We also expect the new cash bonus program as described above to continue to increase our expenses in future periods.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one of our customers, Oi SA, a Brazilian telecom company, initiated reorganization proceedings in a Brazilian bankruptcy court and exposed us to risks on collections of pre-petition receivables and ongoing revenue. In April 2024, the creditors of Oi SA approved a Judicial Reorganization Plan (the “Oi Reorganization Plan”) that aims to ensure Oi SA’s operational feasibility and continuity of activities and further provides extended and discounted payment terms for pre-petition receivables. The Oi Reorganization Plan was subsequently ratified by the Brazilian bankruptcy court and contains various contingencies. As of September 30, 2024, we have $6.4 million in pre-petition receivables recorded in other long-term assets (net of $8.8 million in reserves) and $10.8 million in post-petition accounts receivable due from Oi SA. The customer has been making regular payments on post-petition receivables. If Oi SA fails to comply with its obligations under the Oi Reorganization Plan, if the contingencies contained in the Oi Reorganization Plan are not timely resolved, or if the customer ceases to make payment on post-petition receivables, we may incur additional bad debt expense or reductions in revenue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a number of operational and financial metrics, including Active Customer Accounts and Dollar-Based Net Expansion Rate, to evaluate our business, measure our performance, identify trends affecting our business, formulate business plans and make strategic decisions.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year-over-year revenue growth and Dollar-Based Net Expansion Rate for the three months ended September 30, 2024 and 2023, and the number of Active Customer Accounts as of September 30,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tbl>
      <w:tblPr>
        <w:tblW w:w="6300" w:type="dxa"/>
        <w:jc w:val="center"/>
        <w:tblInd w:w="0" w:type="dxa"/>
        <w:tblLayout w:type="fixed"/>
        <w:tblCellMar>
          <w:top w:w="28" w:type="dxa"/>
          <w:left w:w="28" w:type="dxa"/>
          <w:bottom w:w="28" w:type="dxa"/>
          <w:right w:w="28" w:type="dxa"/>
        </w:tblCellMar>
      </w:tblPr>
      <w:tblGrid>
        <w:gridCol w:w="913"/>
        <w:gridCol w:w="802"/>
        <w:gridCol w:w="804"/>
        <w:gridCol w:w="109"/>
        <w:gridCol w:w="109"/>
        <w:gridCol w:w="109"/>
        <w:gridCol w:w="196"/>
        <w:gridCol w:w="871"/>
        <w:gridCol w:w="256"/>
        <w:gridCol w:w="109"/>
        <w:gridCol w:w="109"/>
        <w:gridCol w:w="109"/>
        <w:gridCol w:w="196"/>
        <w:gridCol w:w="871"/>
        <w:gridCol w:w="256"/>
        <w:gridCol w:w="109"/>
        <w:gridCol w:w="109"/>
        <w:gridCol w:w="109"/>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Active Customer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1,133,649 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1,033,670 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Total Revenue Growth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Dollar-Based Net Expansion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781" w:type="dxa"/>
            <w:gridSpan w:val="16"/>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781" w:type="dxa"/>
            <w:gridSpan w:val="16"/>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pPr>
      <w:r>
        <w:rPr>
          <w:rFonts w:ascii="Times New Roman;sans-serif" w:hAnsi="Times New Roman;sans-serif"/>
          <w:b/>
          <w:i/>
          <w:color w:val="000000"/>
          <w:sz w:val="20"/>
        </w:rPr>
        <w:t>Active Customer Accounts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an Active Customer Account at the end of any period as an individual account, as identified by a unique account identifier, for which we have recognized at least $5 of revenue in the last month of the period. A single organization may constitute multiple unique Active Customer Accounts if it has multiple account identifiers, each of which is treated as a separate Active Customer Account. Active Customer Accounts excludes customer accounts from Zipwhip, Inc. (“Zipwhip”). Communications Active Customer Accounts and Segment Active Customer Accounts are calculated using the same methodology, but using only revenue recognized from accounts in the respective segment. When presented in this Quarterly Report on Form 10-Q, (i) the number of Active Customer Accounts is rounded down to the nearest thousand, (ii) the number of Communications Active Customer Accounts is rounded down to the nearest thousand, and (iii) the number of Segment Active Customer Accounts is rounded down to the nearest hundred.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and customer relationships have grown since we began reporting the number of Active Customer Accounts using the above definition, which is anchored to a minimum $5 monthly revenue figure. We have a large number of Active Customer Accounts with relatively low individual spend that in the aggregate do not drive a significant portion of our revenue. Due to this dynamic, we believe that the number of Active Customer Accounts, as currently defined, is less informative now as an indicator of the growth of our business and future revenue trends than it has been in prior periods. In the three months ended September 30, 2024 and 2023, revenue from Active Customer Accounts represented over 99% of total revenue in each period.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Dollar</w:t>
        <w:noBreakHyphen/>
        <w:t xml:space="preserve">Based Net Expansion Rate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Dollar-Based Net Expansion Rate compares the total revenue from all Active Customer Accounts and customer accounts from Zipwhip in a quarter to the same quarter in the prior year. To calculate the Dollar-Based Net Expansion Rate, we first identify the cohort of Active Customer Accounts and customer accounts from Zipwhip that were Active Customer Accounts or customer accounts from Zipwhip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 As a result, for the quarter ended September 30, 2024, our Dollar-Based Net Expansion Rate excludes the contributions from any acquisitions made after July 1, 2023. Revenue from divestitures does not impact the Dollar-Based Net Expansion Rate calculation beginning in the quarter the divestiture closed, unless the divestiture closing date is the last day of a quarter. As a result, for the quarter ended September 30, 2024, our Dollar-Based Net Expansion Rate excludes the contributions from any divestitures made after September 30, 2023. Communications Dollar-Based Net Expansion Rate and Segment Dollar-Based Net Expansion Rate are calculated using the same methodology, but using only revenue attributable to the respective segment and Active Customer Accounts and customer accounts from Zipwhip for that respective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measuring Dollar-Based Net Expansion Rate, on an aggregate basis and at the segment level, provides an important indication of the performance of our efforts to increase revenue from existing customers. Our ability to drive growth and generate incremental revenue depends, in part, on our ability to maintain and grow our relationships with existing Active Customer Accounts and to increase 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Components of Statements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We recognize revenue from our products on either a usage basis or a subscription basis, depending on the nature of the product and the type of customer contract. Our reportable segments contain products that may follow either revenue recognition model.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Communications reportable segment revenue is derived from usage-based fees. The usage-based fees are earned when customers access our cloud-based platform and start using the products. Some examples of our usage-based products are Messaging and Voice. For Messaging products, we primarily charge fees related to the number of text messages sent or received. For Voice products, we primarily charge fees for minutes of call duration. Some examples of the subscription-based Communications products are Email, Marketing Campaigns and Flex. For these products we recognize revenue evenly over the contract term.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Segment reportable segment revenue is derived from Segment products that are subscription-based. For these products we recognize revenue evenly over the contract term. When our usage-based products are embedded into our subscription-based products, we charge for each product separately on a usage or subscription basis, respectively, and record the revenue in the reportable segment in which each product resides.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usage-based customers gain access to our products and solutions through our e-commerce self-service sign-up format, which requires an upfront prepayment via credit card that is drawn down as they use our products. Pricing is generally based on a publicly available, self-serve pricing matrix that generally allows customers to receive tiered discounts as their usage of our products increases. Many of our larger usage-based customers enter into contractual arrangements with us for a period of at least 12 months. These contracts may include negotiated terms and typically include minimum revenue commitments of varying durations. Usage-based customers subject to such contracts are typically invoiced monthly in arrears for the products used. In the three months ended September 30, 2024 and 2023, we generated 72% and 71% of our revenue, respectively, from usage-based fees.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Subscription-based fees are earned in accordance with subscription pricing terms. For our subscription-based products, customers generally enter into negotiated contracts, which are typically one to three years in duration. Subscription customers are generally invoiced in advance at the start of the contract term. In the three months ended September 30, 2024 and 2023, we generated 28% and 29% of our revenue, respectively, from non-usage</w:t>
        <w:noBreakHyphen/>
        <w:t>based fees.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U.S. revenue as revenue from customers with IP addresses or mailing addresses at the time of registration in the United States. We define international revenue as revenue from customers with IP addresses or mailing addresses at the time of registration outside of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Cost of Revenue</w:t>
      </w:r>
      <w:r>
        <w:rPr>
          <w:rFonts w:ascii="Times New Roman;sans-serif" w:hAnsi="Times New Roman;sans-serif"/>
          <w:b w:val="false"/>
          <w:color w:val="000000"/>
          <w:sz w:val="20"/>
        </w:rPr>
        <w:t>. Cost of revenue consists primarily of fees paid to network service providers. Cost of revenue also includes cloud infrastructure fees, direct costs of personnel, such as salaries and stock</w:t>
        <w:noBreakHyphen/>
        <w:t>based compensation for our customer support employees, and other non</w:t>
        <w:noBreakHyphen/>
        <w:t>personnel costs, such as depreciation and amortization expense related to data centers and hosting equipment, and amortization of capitalized internal-use software development costs and acquired intangible assets. Costs of revenue are generally directly attributable to each segment. Certain costs of revenue are allocated to segments based on methodologies that best reflect the patterns of consumption of these costs.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arrangements with network service providers require us to pay fees based on the volume of phone calls initiated or text messages sent, as well as the number of telephone numbers acquired by us to service our customers. Our arrangements with our cloud infrastructure providers require us to pay fees based on our server capacity consumption.</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Gross profit represents revenue less cost of revenue.</w:t>
      </w:r>
    </w:p>
    <w:p>
      <w:pPr>
        <w:pStyle w:val="TextBody"/>
        <w:bidi w:val="0"/>
        <w:spacing w:lineRule="auto" w:line="288" w:before="240" w:after="283"/>
        <w:jc w:val="left"/>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components of operating expenses are personnel costs, which consist of salaries, benefits, sales commissions, bonuses and stock</w:t>
        <w:noBreakHyphen/>
        <w:t>based compensation. We also incur other non</w:t>
        <w:noBreakHyphen/>
        <w:t>personnel costs related to our general overhead expenses.</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 xml:space="preserve">Research and development expenses consist primarily of personnel costs, outsourced engineering services, cloud infrastructure fees for staging and development of our products, depreciation, amortization of capitalized internal-use software development costs and an allocation of our general overhead expenses. We capitalize the portion of our software development costs that meets the criteria for capitalization. Research and development expenses are generally directly attributable to each segment. Certain research and development expenses are allocated to segments based on methodologies that best reflect the patterns of consumption of these costs. A small percentage of research and development costs, such as costs related to digital architecture and information security, are not allocated to segments because they support company-wide processes and are managed on a company-wide level.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focusing our research and development investment in the highest impact product areas for our future. We are investing strategically in alignment with our focus on building a trusted, leading customer engagement platform.</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Sales and marketing expenses consist primarily of personnel costs, including commissions and bonuses to our sales employees. Sales and marketing expenses also include expenditures related to advertising, marketing, brand awareness activities, costs related to our SIGNAL customer and developer conferences, credit card processing fees, professional services fees, depreciation, amortization of acquired intangible assets and an allocation of our general overhead expenses. Sales and marketing expenses are generally directly attributable to each segment. Certain sales and marketing expenses are allocated to segments based on methodologies that best reflect the patterns of consumption of these costs. A small percentage of sales and marketing costs, such as costs related to corporate communications and global brand awareness, are not allocated to segments because they support company-wide processes and are managed on a company-wide level.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focus our sales and marketing efforts on generating awareness of our company, platform and products, creating sales leads, expanding relationships with existing customers and establishing and promoting our brand, both domestically and internationally. </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 xml:space="preserve">General and administrative expenses consist primarily of personnel costs for our accounting, finance, legal, human resources and administrative support personnel. General and administrative expenses also include costs related to business acquisitions and dispositions, legal and other professional services fees, certain taxes, depreciation and amortization, charitable contributions and an allocation of our general overhead expenses. General and administrative expenses are allocated to each segment when they are directly attributable to each segment or are allocated to segments based on methodologies that best reflect the patterns of consumption of these costs. A significant portion of general and administrative costs, such as costs related to corporate governance, and certain legal, human resources, finance and accounting functions, support company-wide processes and are managed on a company-wide level and, therefore, are considered corporate costs and are not allocated to segments.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we will incur costs associated with supporting the growth of our business. We may also incur higher than usual losses related to deterioration of quality of certain financial assets caused by macroeconomic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Restructuring Costs.</w:t>
      </w:r>
      <w:r>
        <w:rPr>
          <w:color w:val="000000"/>
        </w:rPr>
        <w:t xml:space="preserve"> </w:t>
      </w:r>
      <w:r>
        <w:rPr>
          <w:rFonts w:ascii="Times New Roman;sans-serif" w:hAnsi="Times New Roman;sans-serif"/>
          <w:b w:val="false"/>
          <w:color w:val="000000"/>
          <w:sz w:val="20"/>
        </w:rPr>
        <w:t>Restructuring costs consist primarily of personnel costs, such as employee severance payments, benefits and certain facilitation costs, associated with our workforce reductions. Restructuring costs also include stock-based compensation expense related to vesting of stock-based awards of the impacted employees.</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Impairment of Long-Lived Assets.</w:t>
      </w:r>
      <w:r>
        <w:rPr>
          <w:color w:val="000000"/>
        </w:rPr>
        <w:t xml:space="preserve"> </w:t>
      </w:r>
      <w:r>
        <w:rPr>
          <w:rFonts w:ascii="Times New Roman;sans-serif" w:hAnsi="Times New Roman;sans-serif"/>
          <w:b w:val="false"/>
          <w:color w:val="000000"/>
          <w:sz w:val="20"/>
        </w:rPr>
        <w:t xml:space="preserve">Impairment of long-lived assets consists of impairment of intangible assets and certain operating right-of-use assets and the associated leasehold improvements and property and equipment when the carrying amounts exceed their respective fair values.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(Expenses), Net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other income (expenses), net consist primarily of our share of losses from our equity method investment, impairment charges and gains and losses related to our strategic investments and marketable securities, including interest income; and debt-related costs, including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Provision for Income Taxes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provision for income taxes consists primarily of federal, state and foreign income taxes and withholding taxes in foreign jurisdictions in which the Company conducts business.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difference between our effective tax rate and the federal statutory rate relates to the valuation allowance the Company established on the federal, state and certain foreign net operating losses and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use the following non</w:t>
        <w:noBreakHyphen/>
        <w:t>GAAP financial information to evaluate our ongoing operations and for internal planning and forecasting purposes. We believe that this non</w:t>
        <w:noBreakHyphen/>
        <w:t>GAAP financial information may be helpful to investors because it provides consistency and comparability with past financial performance, facilitates period</w:t>
        <w:noBreakHyphen/>
        <w:t>to</w:t>
        <w:noBreakHyphen/>
        <w:t>period comparisons of results of operations and assists in comparisons with other companies, many of which use similar non</w:t>
        <w:noBreakHyphen/>
        <w:t>GAAP financial information to supplement their results of operations reported in accordance with generally accepted accounting principles (“GAAP”). We believe free cash flow and free cash flow margin provide useful supplemental information to help investors understand underlying trends in our business and our liquidity. Non</w:t>
        <w:noBreakHyphen/>
        <w:t>GAAP financial information is presented for supplemental informational purposes only, should not be considered a substitute for financial information presented in accordance with GAAP and may be different from similarly</w:t>
        <w:noBreakHyphen/>
        <w:t>titled non</w:t>
        <w:noBreakHyphen/>
        <w:t>GAAP measures used by other companies. Whenever we use a non</w:t>
        <w:noBreakHyphen/>
        <w:t>GAAP financial measure, a reconciliation is provided to the most closely applicable financial measure stated in accordance with GAAP. The users of our consolidated financial statements are encouraged to review the related GAAP financial measures and the reconciliation of these non</w:t>
        <w:noBreakHyphen/>
        <w:t>GAAP financial measures to their most directly comparable GAAP financial measures.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Non</w:t>
        <w:noBreakHyphen/>
        <w:t>GAAP Gross Profit and Non</w:t>
        <w:noBreakHyphen/>
        <w:t>GAAP Gross Margin</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we define non</w:t>
        <w:noBreakHyphen/>
        <w:t>GAAP gross profit and non</w:t>
        <w:noBreakHyphen/>
        <w:t>GAAP gross margin as GAAP gross profit and GAAP gross margin, respectively, adjusted to exclude, as applicable, certain expenses as presented in the table below:</w:t>
      </w:r>
    </w:p>
    <w:tbl>
      <w:tblPr>
        <w:tblW w:w="7576" w:type="dxa"/>
        <w:jc w:val="center"/>
        <w:tblInd w:w="0" w:type="dxa"/>
        <w:tblLayout w:type="fixed"/>
        <w:tblCellMar>
          <w:top w:w="28" w:type="dxa"/>
          <w:left w:w="28" w:type="dxa"/>
          <w:bottom w:w="28" w:type="dxa"/>
          <w:right w:w="28" w:type="dxa"/>
        </w:tblCellMar>
      </w:tblPr>
      <w:tblGrid>
        <w:gridCol w:w="1315"/>
        <w:gridCol w:w="1153"/>
        <w:gridCol w:w="1161"/>
        <w:gridCol w:w="109"/>
        <w:gridCol w:w="109"/>
        <w:gridCol w:w="109"/>
        <w:gridCol w:w="196"/>
        <w:gridCol w:w="736"/>
        <w:gridCol w:w="256"/>
        <w:gridCol w:w="109"/>
        <w:gridCol w:w="109"/>
        <w:gridCol w:w="109"/>
        <w:gridCol w:w="196"/>
        <w:gridCol w:w="736"/>
        <w:gridCol w:w="256"/>
        <w:gridCol w:w="109"/>
        <w:gridCol w:w="109"/>
        <w:gridCol w:w="109"/>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578,629 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516,319 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552,598 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i/>
          <w:color w:val="000000"/>
          <w:sz w:val="20"/>
        </w:rPr>
        <w:t>Non</w:t>
        <w:noBreakHyphen/>
        <w:t>GAAP Operating Expenses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we define non</w:t>
        <w:noBreakHyphen/>
        <w:t>GAAP operating expenses (including categories of operating expenses) as GAAP operating expenses (and categories of operating expenses) adjusted to exclude, as applicable, certain expenses as presented in the table below:</w:t>
      </w:r>
    </w:p>
    <w:tbl>
      <w:tblPr>
        <w:tblW w:w="7283" w:type="dxa"/>
        <w:jc w:val="center"/>
        <w:tblInd w:w="0" w:type="dxa"/>
        <w:tblLayout w:type="fixed"/>
        <w:tblCellMar>
          <w:top w:w="28" w:type="dxa"/>
          <w:left w:w="28" w:type="dxa"/>
          <w:bottom w:w="28" w:type="dxa"/>
          <w:right w:w="28" w:type="dxa"/>
        </w:tblCellMar>
      </w:tblPr>
      <w:tblGrid>
        <w:gridCol w:w="1315"/>
        <w:gridCol w:w="1155"/>
        <w:gridCol w:w="1160"/>
        <w:gridCol w:w="109"/>
        <w:gridCol w:w="109"/>
        <w:gridCol w:w="109"/>
        <w:gridCol w:w="196"/>
        <w:gridCol w:w="736"/>
        <w:gridCol w:w="109"/>
        <w:gridCol w:w="109"/>
        <w:gridCol w:w="109"/>
        <w:gridCol w:w="109"/>
        <w:gridCol w:w="196"/>
        <w:gridCol w:w="736"/>
        <w:gridCol w:w="109"/>
        <w:gridCol w:w="109"/>
        <w:gridCol w:w="109"/>
        <w:gridCol w:w="109"/>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divestiture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Charitable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pPr>
      <w:r>
        <w:rPr>
          <w:rFonts w:ascii="Times New Roman;sans-serif" w:hAnsi="Times New Roman;sans-serif"/>
          <w:b/>
          <w:i/>
          <w:color w:val="000000"/>
          <w:sz w:val="20"/>
        </w:rPr>
        <w:t>Non</w:t>
        <w:noBreakHyphen/>
        <w:t>GAAP Income from Operations and Non</w:t>
        <w:noBreakHyphen/>
        <w:t>GAAP Operating Margin</w:t>
      </w:r>
      <w:r>
        <w:rPr>
          <w:color w:val="000000"/>
        </w:rPr>
        <w:t xml:space="preserve"> </w:t>
      </w:r>
    </w:p>
    <w:p>
      <w:pPr>
        <w:pStyle w:val="TextBody"/>
        <w:bidi w:val="0"/>
        <w:spacing w:lineRule="auto" w:line="26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we define non</w:t>
        <w:noBreakHyphen/>
        <w:t>GAAP income from operations and non</w:t>
        <w:noBreakHyphen/>
        <w:t>GAAP operating margin as GAAP income (loss) from operations and GAAP operating margin, respectively, adjusted to exclude, as applicable, certain expenses as presented in the table below:</w:t>
      </w:r>
    </w:p>
    <w:tbl>
      <w:tblPr>
        <w:tblW w:w="7652" w:type="dxa"/>
        <w:jc w:val="center"/>
        <w:tblInd w:w="0" w:type="dxa"/>
        <w:tblLayout w:type="fixed"/>
        <w:tblCellMar>
          <w:top w:w="28" w:type="dxa"/>
          <w:left w:w="28" w:type="dxa"/>
          <w:bottom w:w="28" w:type="dxa"/>
          <w:right w:w="28" w:type="dxa"/>
        </w:tblCellMar>
      </w:tblPr>
      <w:tblGrid>
        <w:gridCol w:w="1314"/>
        <w:gridCol w:w="1155"/>
        <w:gridCol w:w="1161"/>
        <w:gridCol w:w="109"/>
        <w:gridCol w:w="109"/>
        <w:gridCol w:w="109"/>
        <w:gridCol w:w="196"/>
        <w:gridCol w:w="736"/>
        <w:gridCol w:w="256"/>
        <w:gridCol w:w="109"/>
        <w:gridCol w:w="109"/>
        <w:gridCol w:w="109"/>
        <w:gridCol w:w="196"/>
        <w:gridCol w:w="811"/>
        <w:gridCol w:w="256"/>
        <w:gridCol w:w="109"/>
        <w:gridCol w:w="109"/>
        <w:gridCol w:w="109"/>
        <w:gridCol w:w="109"/>
        <w:gridCol w:w="109"/>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divestiture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Charitable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Free Cash Flow and Free Cash Flow Margin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we define free cash flow and free cash flow margin as net cash provided by operating activities and operating cash flow margin, respectively, less capitalized software development costs and purchases of long-lived and intangible assets, as presented in the table below:</w:t>
      </w:r>
    </w:p>
    <w:tbl>
      <w:tblPr>
        <w:tblW w:w="7757" w:type="dxa"/>
        <w:jc w:val="center"/>
        <w:tblInd w:w="0" w:type="dxa"/>
        <w:tblLayout w:type="fixed"/>
        <w:tblCellMar>
          <w:top w:w="28" w:type="dxa"/>
          <w:left w:w="28" w:type="dxa"/>
          <w:bottom w:w="28" w:type="dxa"/>
          <w:right w:w="28" w:type="dxa"/>
        </w:tblCellMar>
      </w:tblPr>
      <w:tblGrid>
        <w:gridCol w:w="1325"/>
        <w:gridCol w:w="1165"/>
        <w:gridCol w:w="1170"/>
        <w:gridCol w:w="109"/>
        <w:gridCol w:w="109"/>
        <w:gridCol w:w="109"/>
        <w:gridCol w:w="196"/>
        <w:gridCol w:w="811"/>
        <w:gridCol w:w="256"/>
        <w:gridCol w:w="109"/>
        <w:gridCol w:w="109"/>
        <w:gridCol w:w="109"/>
        <w:gridCol w:w="196"/>
        <w:gridCol w:w="811"/>
        <w:gridCol w:w="256"/>
        <w:gridCol w:w="109"/>
        <w:gridCol w:w="109"/>
        <w:gridCol w:w="109"/>
        <w:gridCol w:w="109"/>
        <w:gridCol w:w="109"/>
        <w:gridCol w:w="109"/>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long-lived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189,113 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195,211 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(642,780)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(66,865)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 The period-to-period comparison of our historical results are not indicative of the results that may be expected in the future.</w:t>
      </w:r>
    </w:p>
    <w:tbl>
      <w:tblPr>
        <w:tblW w:w="10205" w:type="dxa"/>
        <w:jc w:val="left"/>
        <w:tblInd w:w="0" w:type="dxa"/>
        <w:tblLayout w:type="fixed"/>
        <w:tblCellMar>
          <w:top w:w="28" w:type="dxa"/>
          <w:left w:w="28" w:type="dxa"/>
          <w:bottom w:w="28" w:type="dxa"/>
          <w:right w:w="28" w:type="dxa"/>
        </w:tblCellMar>
      </w:tblPr>
      <w:tblGrid>
        <w:gridCol w:w="1521"/>
        <w:gridCol w:w="1309"/>
        <w:gridCol w:w="1316"/>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6"/>
      </w:tblGrid>
      <w:tr>
        <w:trPr/>
        <w:tc>
          <w:tcPr>
            <w:tcW w:w="152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share and per share amounts)</w:t>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3,077,995 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Cost of revenue </w:t>
            </w:r>
            <w:r>
              <w:rPr>
                <w:rFonts w:ascii="Times New Roman;sans-serif" w:hAnsi="Times New Roman;sans-serif"/>
                <w:b w:val="false"/>
                <w:color w:val="000000"/>
                <w:sz w:val="12"/>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1,565,231 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1,512,764 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Research and development </w:t>
            </w:r>
            <w:r>
              <w:rPr>
                <w:rFonts w:ascii="Times New Roman;sans-serif" w:hAnsi="Times New Roman;sans-serif"/>
                <w:b w:val="false"/>
                <w:color w:val="000000"/>
                <w:sz w:val="12"/>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Sales and marketing </w:t>
            </w:r>
            <w:r>
              <w:rPr>
                <w:rFonts w:ascii="Times New Roman;sans-serif" w:hAnsi="Times New Roman;sans-serif"/>
                <w:b w:val="false"/>
                <w:color w:val="000000"/>
                <w:sz w:val="12"/>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784,383 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General and administrative </w:t>
            </w:r>
            <w:r>
              <w:rPr>
                <w:rFonts w:ascii="Times New Roman;sans-serif" w:hAnsi="Times New Roman;sans-serif"/>
                <w:b w:val="false"/>
                <w:color w:val="000000"/>
                <w:sz w:val="12"/>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361,491 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costs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2,027,578 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(514,814)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(122,261)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(637,075)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per share attributable to common </w:t>
              <w:br/>
              <w:t>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Weighted-average shares used in computing net </w:t>
              <w:br/>
              <w:t xml:space="preserve">     loss per share attributable to common </w:t>
              <w:br/>
              <w:t>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159,091,110 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181,749,309 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170,063,452 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183,854,526 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rPr>
        <w:t>__________________________________</w:t>
        <w:br/>
      </w: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stock-based compensation expense as follows:</w:t>
      </w:r>
    </w:p>
    <w:tbl>
      <w:tblPr>
        <w:tblW w:w="7526"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509,367 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pPr>
      <w:r>
        <w:rPr>
          <w:rFonts w:ascii="Times New Roman;sans-serif" w:hAnsi="Times New Roman;sans-serif"/>
          <w:b w:val="false"/>
          <w:color w:val="000000"/>
          <w:sz w:val="20"/>
        </w:rPr>
        <w:t>____________________________________</w:t>
        <w:br/>
      </w: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Includes amortization of acquired intangibles as follows:</w:t>
      </w:r>
    </w:p>
    <w:tbl>
      <w:tblPr>
        <w:tblW w:w="7256"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each of the periods presented as a percentage of our total revenue:</w:t>
      </w:r>
    </w:p>
    <w:tbl>
      <w:tblPr>
        <w:tblW w:w="10205" w:type="dxa"/>
        <w:jc w:val="left"/>
        <w:tblInd w:w="0" w:type="dxa"/>
        <w:tblLayout w:type="fixed"/>
        <w:tblCellMar>
          <w:top w:w="28" w:type="dxa"/>
          <w:left w:w="28" w:type="dxa"/>
          <w:bottom w:w="28" w:type="dxa"/>
          <w:right w:w="28" w:type="dxa"/>
        </w:tblCellMar>
      </w:tblPr>
      <w:tblGrid>
        <w:gridCol w:w="2019"/>
        <w:gridCol w:w="1775"/>
        <w:gridCol w:w="1784"/>
        <w:gridCol w:w="109"/>
        <w:gridCol w:w="109"/>
        <w:gridCol w:w="109"/>
        <w:gridCol w:w="210"/>
        <w:gridCol w:w="211"/>
        <w:gridCol w:w="374"/>
        <w:gridCol w:w="132"/>
        <w:gridCol w:w="132"/>
        <w:gridCol w:w="132"/>
        <w:gridCol w:w="210"/>
        <w:gridCol w:w="211"/>
        <w:gridCol w:w="374"/>
        <w:gridCol w:w="109"/>
        <w:gridCol w:w="109"/>
        <w:gridCol w:w="109"/>
        <w:gridCol w:w="210"/>
        <w:gridCol w:w="211"/>
        <w:gridCol w:w="355"/>
        <w:gridCol w:w="125"/>
        <w:gridCol w:w="125"/>
        <w:gridCol w:w="125"/>
        <w:gridCol w:w="210"/>
        <w:gridCol w:w="211"/>
        <w:gridCol w:w="415"/>
      </w:tblGrid>
      <w:tr>
        <w:trPr/>
        <w:tc>
          <w:tcPr>
            <w:tcW w:w="2019"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 as a percentage of 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Less than 0.5% of revenue.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Columns may not add up to 100%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Three Months Ended September 30, 2024 and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tbl>
      <w:tblPr>
        <w:tblW w:w="7967" w:type="dxa"/>
        <w:jc w:val="center"/>
        <w:tblInd w:w="0" w:type="dxa"/>
        <w:tblLayout w:type="fixed"/>
        <w:tblCellMar>
          <w:top w:w="28" w:type="dxa"/>
          <w:left w:w="28" w:type="dxa"/>
          <w:bottom w:w="28" w:type="dxa"/>
          <w:right w:w="28" w:type="dxa"/>
        </w:tblCellMar>
      </w:tblPr>
      <w:tblGrid>
        <w:gridCol w:w="722"/>
        <w:gridCol w:w="636"/>
        <w:gridCol w:w="637"/>
        <w:gridCol w:w="109"/>
        <w:gridCol w:w="109"/>
        <w:gridCol w:w="109"/>
        <w:gridCol w:w="196"/>
        <w:gridCol w:w="871"/>
        <w:gridCol w:w="109"/>
        <w:gridCol w:w="109"/>
        <w:gridCol w:w="109"/>
        <w:gridCol w:w="109"/>
        <w:gridCol w:w="196"/>
        <w:gridCol w:w="871"/>
        <w:gridCol w:w="109"/>
        <w:gridCol w:w="109"/>
        <w:gridCol w:w="109"/>
        <w:gridCol w:w="109"/>
        <w:gridCol w:w="109"/>
        <w:gridCol w:w="109"/>
        <w:gridCol w:w="196"/>
        <w:gridCol w:w="646"/>
        <w:gridCol w:w="109"/>
        <w:gridCol w:w="109"/>
        <w:gridCol w:w="109"/>
        <w:gridCol w:w="109"/>
        <w:gridCol w:w="202"/>
        <w:gridCol w:w="204"/>
        <w:gridCol w:w="256"/>
        <w:gridCol w:w="109"/>
        <w:gridCol w:w="109"/>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470" w:type="dxa"/>
            <w:gridSpan w:val="10"/>
            <w:tcBorders/>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Twilio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Twilio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2024, Communications revenue increased by $100.0 million, or 10%, compared to the same period last year. This increase was primarily attributable to the increased usage of our products by our existing customers, as reflected in our Communications Dollar</w:t>
        <w:noBreakHyphen/>
        <w:t>Based Net Expansion Rate of 106%, as well as $51.1 million in revenue derived from our new Communications Active Customer Accounts.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2024, Segment revenue remained unchanged compared to the same period last year. We recognized $6.9 million in revenue derived from our new Segment Active Customer Accounts, offset by the decreased usage of our products due to churn and contraction affecting our existing customers, as reflected in our Segment Dollar</w:t>
        <w:noBreakHyphen/>
        <w:t>Based Net Expansion Rate of 91%.</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tbl>
      <w:tblPr>
        <w:tblW w:w="6872" w:type="dxa"/>
        <w:jc w:val="center"/>
        <w:tblInd w:w="0" w:type="dxa"/>
        <w:tblLayout w:type="fixed"/>
        <w:tblCellMar>
          <w:top w:w="28" w:type="dxa"/>
          <w:left w:w="28" w:type="dxa"/>
          <w:bottom w:w="28" w:type="dxa"/>
          <w:right w:w="28" w:type="dxa"/>
        </w:tblCellMar>
      </w:tblPr>
      <w:tblGrid>
        <w:gridCol w:w="451"/>
        <w:gridCol w:w="396"/>
        <w:gridCol w:w="398"/>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646"/>
        <w:gridCol w:w="109"/>
        <w:gridCol w:w="109"/>
        <w:gridCol w:w="109"/>
        <w:gridCol w:w="109"/>
        <w:gridCol w:w="164"/>
        <w:gridCol w:w="167"/>
        <w:gridCol w:w="256"/>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395" w:type="dxa"/>
            <w:gridSpan w:val="10"/>
            <w:tcBorders/>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2024, cost of revenue increased by $37.7 million, or 7%, compared to the same period last year. The increase was primarily attributable to a $43.9 million increase in network service providers’ costs, net of the impact of hedging instruments, and a $9.1 million increase in hosting fees. These increases were partially offset by a $13.4 million decrease in amortization of intangible assets.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2024, gross profit increased by $62.3 million, or 12%, compared to the same period last year. This increase was attributable to the factors impacting our revenue and cost of revenue,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8548" w:type="dxa"/>
        <w:jc w:val="center"/>
        <w:tblInd w:w="0" w:type="dxa"/>
        <w:tblLayout w:type="fixed"/>
        <w:tblCellMar>
          <w:top w:w="28" w:type="dxa"/>
          <w:left w:w="28" w:type="dxa"/>
          <w:bottom w:w="28" w:type="dxa"/>
          <w:right w:w="28" w:type="dxa"/>
        </w:tblCellMar>
      </w:tblPr>
      <w:tblGrid>
        <w:gridCol w:w="853"/>
        <w:gridCol w:w="750"/>
        <w:gridCol w:w="752"/>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721"/>
        <w:gridCol w:w="109"/>
        <w:gridCol w:w="109"/>
        <w:gridCol w:w="109"/>
        <w:gridCol w:w="109"/>
        <w:gridCol w:w="245"/>
        <w:gridCol w:w="250"/>
        <w:gridCol w:w="256"/>
        <w:gridCol w:w="109"/>
        <w:gridCol w:w="109"/>
        <w:gridCol w:w="109"/>
        <w:gridCol w:w="109"/>
        <w:gridCol w:w="109"/>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886" w:type="dxa"/>
            <w:gridSpan w:val="13"/>
            <w:tcBorders/>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2024, research and development expenses increased by $19.2 million, or 8%, compared to the same period last year. The increase was primarily attributable to a $14.6 million increase in total personnel costs, net of capitalized costs, despite a 6% decrease in average research and development headcount compared to the same period last year. The increase in personnel costs was primarily driven by a $27.2 million increase in bonus expenses as a result of the introduction of our new cash bonus program, partially offset by a $5.3 million increase in capitalized costs and an $8.0 million decrease in stock-based compensation expense. The increase in research and development expenses was also attributable to a $4.6 million increase in hosting fees to support development and staging of our products.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2024, sales and marketing expenses decreased by $50.3 million, or 19%, compared to the same period last year. The decrease was primarily attributable to a $20.6 million decrease in total personnel costs, which was primarily driven by a 16% decrease in average sales and marketing headcount compared to the same period last year. The decrease in headcount was primarily due to the restructuring of our workforce in December 2023. Sales and marketing expenses also decreased due to an $8.1 million decrease in advertising expenses, a $7.7 million decrease in amortization of intangible assets and a $6.7 million decrease in expenses related to corporate events.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2024, general and administrative expenses decreased by $7.7 million, or 7%, compared to the same period last year. The decrease was primarily attributable to a $15.8 million decrease in the provision for doubtful accounts, partially offset by a $7.0 million increase in professional services fees.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2024, restructuring costs increased by $0.3 million, or 7%, compared to the same period last year. Restructuring costs and related fluctuations were not significant.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2024, impairment of long-lived assets decreased by $3.2 million, or 100%, compared to the same period last year. The prior year charges were related to the impairment of certain of our operating leases and other long-lived assets as a result of permanent office closures in 2023. There were no such impairments in the current period.</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Other (Income) Expenses, net</w:t>
      </w:r>
    </w:p>
    <w:tbl>
      <w:tblPr>
        <w:tblW w:w="9136" w:type="dxa"/>
        <w:jc w:val="center"/>
        <w:tblInd w:w="0" w:type="dxa"/>
        <w:tblLayout w:type="fixed"/>
        <w:tblCellMar>
          <w:top w:w="28" w:type="dxa"/>
          <w:left w:w="28" w:type="dxa"/>
          <w:bottom w:w="28" w:type="dxa"/>
          <w:right w:w="28" w:type="dxa"/>
        </w:tblCellMar>
      </w:tblPr>
      <w:tblGrid>
        <w:gridCol w:w="1250"/>
        <w:gridCol w:w="1098"/>
        <w:gridCol w:w="1102"/>
        <w:gridCol w:w="109"/>
        <w:gridCol w:w="109"/>
        <w:gridCol w:w="109"/>
        <w:gridCol w:w="196"/>
        <w:gridCol w:w="646"/>
        <w:gridCol w:w="109"/>
        <w:gridCol w:w="109"/>
        <w:gridCol w:w="109"/>
        <w:gridCol w:w="109"/>
        <w:gridCol w:w="196"/>
        <w:gridCol w:w="646"/>
        <w:gridCol w:w="109"/>
        <w:gridCol w:w="109"/>
        <w:gridCol w:w="109"/>
        <w:gridCol w:w="109"/>
        <w:gridCol w:w="109"/>
        <w:gridCol w:w="109"/>
        <w:gridCol w:w="196"/>
        <w:gridCol w:w="721"/>
        <w:gridCol w:w="109"/>
        <w:gridCol w:w="109"/>
        <w:gridCol w:w="109"/>
        <w:gridCol w:w="109"/>
        <w:gridCol w:w="246"/>
        <w:gridCol w:w="249"/>
        <w:gridCol w:w="256"/>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232" w:type="dxa"/>
            <w:gridSpan w:val="7"/>
            <w:tcBorders/>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2024, other (income) expenses, net, increased by $32.3 million, or 104%, compared to the same period last year. The decrease was primarily attributable to a $27.3 million increase in other income, net, primarily related to the income earned on our securities in the current period and unrealized gains related to fluctuations in foreign currency exchange rates, and a $5.8 million decrease in our share of losses from our equity method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Results of Operations by Segment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for non-GAAP income (loss) from operations, as reviewed by our CODM, for each of our Communications and Segment reportable segments for the three months ended September 30, 2024 and 2023:</w:t>
      </w:r>
    </w:p>
    <w:tbl>
      <w:tblPr>
        <w:tblW w:w="10140" w:type="dxa"/>
        <w:jc w:val="center"/>
        <w:tblInd w:w="0" w:type="dxa"/>
        <w:tblLayout w:type="fixed"/>
        <w:tblCellMar>
          <w:top w:w="28" w:type="dxa"/>
          <w:left w:w="28" w:type="dxa"/>
          <w:bottom w:w="28" w:type="dxa"/>
          <w:right w:w="28" w:type="dxa"/>
        </w:tblCellMar>
      </w:tblPr>
      <w:tblGrid>
        <w:gridCol w:w="1606"/>
        <w:gridCol w:w="1415"/>
        <w:gridCol w:w="1418"/>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646"/>
        <w:gridCol w:w="109"/>
        <w:gridCol w:w="109"/>
        <w:gridCol w:w="109"/>
        <w:gridCol w:w="109"/>
        <w:gridCol w:w="201"/>
        <w:gridCol w:w="204"/>
        <w:gridCol w:w="256"/>
        <w:gridCol w:w="109"/>
        <w:gridCol w:w="109"/>
        <w:gridCol w:w="109"/>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Twilio Communications non-GAAP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Twilio Segment non-GAAP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2024, Communications non-GAAP income from operations increased by $47.2 million, or 21%, compared to the same period last year. The increase was primarily driven by an increase in Communications revenue of $100.0 million, as described in the Revenue section above, and a $15.6 million decrease in the provision for doubtful accounts. This increase was partially offset by a $43.9 million increase in network service providers’ costs, net of the impact of hedging instruments, and a $22.5 million increase in total Communications personnel costs, despite a 9% decrease in average Communications headcount during the period. The $22.5 million increase in total Communications personnel costs was primarily driven by a $26.8 million increase in bonus expenses as a result of the introduction of our new cash bonus program.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2024, Segment non-GAAP loss from operations decreased by $1.9 million, or 11%, compared to the same period last year. The decrease was driven by a decrease in Segment operating expenses of $5.8 million, partially offset by an increase in hosting fees of $3.0 million.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Nine Months Ended September 30, 2024 and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tbl>
      <w:tblPr>
        <w:tblW w:w="7892" w:type="dxa"/>
        <w:jc w:val="center"/>
        <w:tblInd w:w="0" w:type="dxa"/>
        <w:tblLayout w:type="fixed"/>
        <w:tblCellMar>
          <w:top w:w="28" w:type="dxa"/>
          <w:left w:w="28" w:type="dxa"/>
          <w:bottom w:w="28" w:type="dxa"/>
          <w:right w:w="28" w:type="dxa"/>
        </w:tblCellMar>
      </w:tblPr>
      <w:tblGrid>
        <w:gridCol w:w="722"/>
        <w:gridCol w:w="636"/>
        <w:gridCol w:w="637"/>
        <w:gridCol w:w="109"/>
        <w:gridCol w:w="109"/>
        <w:gridCol w:w="109"/>
        <w:gridCol w:w="196"/>
        <w:gridCol w:w="871"/>
        <w:gridCol w:w="109"/>
        <w:gridCol w:w="109"/>
        <w:gridCol w:w="109"/>
        <w:gridCol w:w="109"/>
        <w:gridCol w:w="196"/>
        <w:gridCol w:w="871"/>
        <w:gridCol w:w="109"/>
        <w:gridCol w:w="109"/>
        <w:gridCol w:w="109"/>
        <w:gridCol w:w="109"/>
        <w:gridCol w:w="109"/>
        <w:gridCol w:w="109"/>
        <w:gridCol w:w="196"/>
        <w:gridCol w:w="736"/>
        <w:gridCol w:w="109"/>
        <w:gridCol w:w="109"/>
        <w:gridCol w:w="109"/>
        <w:gridCol w:w="109"/>
        <w:gridCol w:w="120"/>
        <w:gridCol w:w="121"/>
        <w:gridCol w:w="256"/>
        <w:gridCol w:w="109"/>
        <w:gridCol w:w="109"/>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305" w:type="dxa"/>
            <w:gridSpan w:val="10"/>
            <w:tcBorders/>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Twilio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Twilio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Communications revenue increased by $181.8 million, or 6%, compared to the same period last year. This increase was primarily attributable to the increased usage of our products by our existing customers, as reflected in our Communications Dollar</w:t>
        <w:noBreakHyphen/>
        <w:t>Based Net Expansion Rate of 104%, as well as $148.6 million in revenue derived from our new Communications Active Customer Accounts and new customer accounts from Zipwhip. These increases were partially offset by a decrease of $52.8 million related to revenue from our Internet of Things and ValueFirst businesses which we divested during the second and third quarters of 2023, respectively.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Segment revenue increased by $3.4 million, or 2%, compared to the same period last year. This change was primarily attributable to $23.5 million in revenue derived from our new Segment Active Customer Accounts, partially offset by the decreased usage of our products due to churn and contraction affecting our existing customers, as reflected in our Segment Dollar</w:t>
        <w:noBreakHyphen/>
        <w:t>Based Net Expansion Rate of 92%.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tbl>
      <w:tblPr>
        <w:tblW w:w="7232" w:type="dxa"/>
        <w:jc w:val="center"/>
        <w:tblInd w:w="0" w:type="dxa"/>
        <w:tblLayout w:type="fixed"/>
        <w:tblCellMar>
          <w:top w:w="28" w:type="dxa"/>
          <w:left w:w="28" w:type="dxa"/>
          <w:bottom w:w="28" w:type="dxa"/>
          <w:right w:w="28" w:type="dxa"/>
        </w:tblCellMar>
      </w:tblPr>
      <w:tblGrid>
        <w:gridCol w:w="451"/>
        <w:gridCol w:w="396"/>
        <w:gridCol w:w="398"/>
        <w:gridCol w:w="109"/>
        <w:gridCol w:w="109"/>
        <w:gridCol w:w="109"/>
        <w:gridCol w:w="196"/>
        <w:gridCol w:w="871"/>
        <w:gridCol w:w="109"/>
        <w:gridCol w:w="109"/>
        <w:gridCol w:w="109"/>
        <w:gridCol w:w="109"/>
        <w:gridCol w:w="196"/>
        <w:gridCol w:w="871"/>
        <w:gridCol w:w="109"/>
        <w:gridCol w:w="109"/>
        <w:gridCol w:w="109"/>
        <w:gridCol w:w="109"/>
        <w:gridCol w:w="109"/>
        <w:gridCol w:w="109"/>
        <w:gridCol w:w="196"/>
        <w:gridCol w:w="736"/>
        <w:gridCol w:w="109"/>
        <w:gridCol w:w="109"/>
        <w:gridCol w:w="109"/>
        <w:gridCol w:w="109"/>
        <w:gridCol w:w="164"/>
        <w:gridCol w:w="167"/>
        <w:gridCol w:w="256"/>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395" w:type="dxa"/>
            <w:gridSpan w:val="10"/>
            <w:tcBorders/>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cost of revenue increased by $19.5 million, or 1%, compared to the same period last year. The increase was primarily attributable to a $30.2 million increase in network service providers’ costs, net of the impact of hedging instruments, and a $30.0 million increase in hosting fees. These increases were partially offset by a $41.6 million decrease in amortization of intangible assets.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gross profit increased by $165.8 million, or 11%, compared to the same period last year. This increase was attributable to the factors impacting our revenue and cost of revenue, as described above.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8908" w:type="dxa"/>
        <w:jc w:val="center"/>
        <w:tblInd w:w="0" w:type="dxa"/>
        <w:tblLayout w:type="fixed"/>
        <w:tblCellMar>
          <w:top w:w="28" w:type="dxa"/>
          <w:left w:w="28" w:type="dxa"/>
          <w:bottom w:w="28" w:type="dxa"/>
          <w:right w:w="28" w:type="dxa"/>
        </w:tblCellMar>
      </w:tblPr>
      <w:tblGrid>
        <w:gridCol w:w="853"/>
        <w:gridCol w:w="750"/>
        <w:gridCol w:w="752"/>
        <w:gridCol w:w="109"/>
        <w:gridCol w:w="109"/>
        <w:gridCol w:w="109"/>
        <w:gridCol w:w="196"/>
        <w:gridCol w:w="871"/>
        <w:gridCol w:w="109"/>
        <w:gridCol w:w="109"/>
        <w:gridCol w:w="109"/>
        <w:gridCol w:w="109"/>
        <w:gridCol w:w="196"/>
        <w:gridCol w:w="871"/>
        <w:gridCol w:w="109"/>
        <w:gridCol w:w="109"/>
        <w:gridCol w:w="109"/>
        <w:gridCol w:w="109"/>
        <w:gridCol w:w="109"/>
        <w:gridCol w:w="109"/>
        <w:gridCol w:w="196"/>
        <w:gridCol w:w="811"/>
        <w:gridCol w:w="109"/>
        <w:gridCol w:w="109"/>
        <w:gridCol w:w="109"/>
        <w:gridCol w:w="109"/>
        <w:gridCol w:w="245"/>
        <w:gridCol w:w="250"/>
        <w:gridCol w:w="256"/>
        <w:gridCol w:w="109"/>
        <w:gridCol w:w="109"/>
        <w:gridCol w:w="109"/>
        <w:gridCol w:w="109"/>
        <w:gridCol w:w="109"/>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886" w:type="dxa"/>
            <w:gridSpan w:val="13"/>
            <w:tcBorders/>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research and development expenses increased by $49.0 million, or 7%, compared to the same period last year. The increase was primarily attributable to a $30.7 million increase in total personnel costs, net of capitalized costs, which was primarily driven by a $55.6 million increase in bonus expenses as a result of our new cash bonus program, partially offset by a $20.3 million decrease in salaries expense due to a 17% decrease in average research and development headcount compared to the same period last year as a result of the restructuring of our workforce in February 2023 and December 2023. The increase in research and development expenses was also attributable to a $10.7 million increase in hosting fees to support development and staging of our products and an $8.8 million increase in software subscription expenses.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sales and marketing expenses decreased by $140.2 million, or 18%, compared to the same period last year. The decrease was primarily attributable to a $79.4 million decrease in total personnel costs, which was primarily driven by a 21% decrease in average sales and marketing headcount compared to the same period last year. The decrease in headcount was primarily driven by the restructuring of our workforce in February 2023 and December 2023. Sales and marketing expenses also decreased due to a $24.0 million decrease in amortization of intangible assets, a $13.4 million decrease in advertising expenses and an $8.5 million decrease in expenses related to corporate events.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general and administrative expenses decreased by $29.2 million, or 8%, compared to the same period last year. The decrease was primarily attributable to the $32.3 million loss on divested net assets recorded in the 2023 period related to the sale of our ValueFirst and Internet of Things businesses and a $22.7 million decrease in the provision for doubtful accounts. The decrease in general and administrative expenses was partially offset by a $14.0 million increase in professional services fees and a $13.9 million increase in charitable contributions that we made through Twilio.org during the first nine months of 2024.</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restructuring costs decreased by $127.0 million, or 90%, compared to the same period last year. The decrease was primarily attributable to the significant restructuring costs incurred in the 2023 period related to our February 2023 restructuring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impairment of long-lived assets decreased by $34.3 million, or 100%, compared to the same period last year. The prior year charges were related to the impairment of certain of our operating leases and other long-lived assets as a result of permanent office closures in the first half of 2023. There were no such impairments in the current period.</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Other Expenses, net</w:t>
      </w:r>
    </w:p>
    <w:tbl>
      <w:tblPr>
        <w:tblW w:w="9317" w:type="dxa"/>
        <w:jc w:val="center"/>
        <w:tblInd w:w="0" w:type="dxa"/>
        <w:tblLayout w:type="fixed"/>
        <w:tblCellMar>
          <w:top w:w="28" w:type="dxa"/>
          <w:left w:w="28" w:type="dxa"/>
          <w:bottom w:w="28" w:type="dxa"/>
          <w:right w:w="28" w:type="dxa"/>
        </w:tblCellMar>
      </w:tblPr>
      <w:tblGrid>
        <w:gridCol w:w="1250"/>
        <w:gridCol w:w="1098"/>
        <w:gridCol w:w="1102"/>
        <w:gridCol w:w="109"/>
        <w:gridCol w:w="109"/>
        <w:gridCol w:w="109"/>
        <w:gridCol w:w="196"/>
        <w:gridCol w:w="646"/>
        <w:gridCol w:w="109"/>
        <w:gridCol w:w="109"/>
        <w:gridCol w:w="109"/>
        <w:gridCol w:w="109"/>
        <w:gridCol w:w="196"/>
        <w:gridCol w:w="736"/>
        <w:gridCol w:w="109"/>
        <w:gridCol w:w="109"/>
        <w:gridCol w:w="109"/>
        <w:gridCol w:w="109"/>
        <w:gridCol w:w="109"/>
        <w:gridCol w:w="109"/>
        <w:gridCol w:w="196"/>
        <w:gridCol w:w="811"/>
        <w:gridCol w:w="109"/>
        <w:gridCol w:w="109"/>
        <w:gridCol w:w="109"/>
        <w:gridCol w:w="109"/>
        <w:gridCol w:w="248"/>
        <w:gridCol w:w="248"/>
        <w:gridCol w:w="256"/>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233" w:type="dxa"/>
            <w:gridSpan w:val="7"/>
            <w:tcBorders/>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other expenses, net, decreased by $114.6 million, or 94%, compared to the same period last year. The decrease was primarily attributable to a $46.2 million impairment of a strategic investment that occurred during the nine months ended September 30, 2023, a $54.9 million increase in other income, net, primarily related to an increase in income earned on our debt securities, and a $15.0 million decrease in our share of losses from our equity method investment.</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Results of Operations by Segment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for non-GAAP income (loss) from operations, as reviewed by our CODM, for each of our Communications and Segment reportable segments for the nine months ended September 30, 2024 and 2023:</w:t>
      </w:r>
    </w:p>
    <w:tbl>
      <w:tblPr>
        <w:tblW w:w="10156" w:type="dxa"/>
        <w:jc w:val="center"/>
        <w:tblInd w:w="0" w:type="dxa"/>
        <w:tblLayout w:type="fixed"/>
        <w:tblCellMar>
          <w:top w:w="28" w:type="dxa"/>
          <w:left w:w="28" w:type="dxa"/>
          <w:bottom w:w="28" w:type="dxa"/>
          <w:right w:w="28" w:type="dxa"/>
        </w:tblCellMar>
      </w:tblPr>
      <w:tblGrid>
        <w:gridCol w:w="1606"/>
        <w:gridCol w:w="1415"/>
        <w:gridCol w:w="1418"/>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736"/>
        <w:gridCol w:w="109"/>
        <w:gridCol w:w="109"/>
        <w:gridCol w:w="109"/>
        <w:gridCol w:w="109"/>
        <w:gridCol w:w="165"/>
        <w:gridCol w:w="166"/>
        <w:gridCol w:w="256"/>
        <w:gridCol w:w="109"/>
        <w:gridCol w:w="109"/>
        <w:gridCol w:w="109"/>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Twilio Communications non-GAAP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Twilio Segment non-GAAP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Communications non-GAAP income from operations increased by $173.1 million, or 29%, compared to the same period last year. The increase was primarily driven by an increase in Communications revenue of $181.8 million, as described in the Revenue section above, a $24.8 million decrease in the provision for doubtful accounts and a $10.9 million decrease in total Communications personnel costs, which was mainly due to the restructuring of our workforce in February 2023 and December 2023. These restructurings contributed to a 21% decrease in average Communications headcount compared to the same period last year. These drivers were partially offset by a $30.2 million increase in network service providers’ costs, net of the impact of hedging instruments, and a $23.1 million increase in hosting fees.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Segment non-GAAP loss from operations decreased by $1.3 million, or 2%, compared to the same period last year. The decrease was driven by a decrease in Segment operating expenses of $7.6 million and an increase in Segment revenue of $3.4 million, as described in the Revenue section above, partially offset by a $9.7 million increase in cost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we had cash and cash equivalents of $584.0 million and short-term marketable securities of $2.1 billion. Cash equivalents consist of money market funds and commercial paper. Short-term marketable securities consist primarily of U.S. treasury securities, non-U.S. government securities, high credit quality corporate debt securities and commercial paper. The cash and cash equivalents and short-term marketable securities are held for working capital purposes.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have been (i) the net proceeds of $979.0 million, $1.4 billion and $1.8 billion, net of underwriting discounts and offering expenses paid by us, from our public equity offerings in June 2019, August 2020 and February 2021, respectively; (ii) the aggregate net proceeds of approximately $984.7 million, after deducting purchaser discounts and debt issuance costs paid by us, from the issuance of our 2029 Notes and 2031 Notes in March 2021 (each, as defined below); (iii) the net proceeds of $228.4 million, after deducting transaction costs paid by us, from settlement of our capped call arrangements in June 2021; and (iv) the payments received from customers using our products.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uses of cash include operating costs, such as personnel-related costs, network service provider costs, cloud infrastructure costs, facility-related spending, as well as, from time to time, acquisitions, investments and share repurchases. Our principal contractual and other commitments consist of obligations under our 2029 Notes and 2031 Notes, our operating leases for office space that we occupy, sublease or hold to sublease, and contractual commitments to our cloud infrastructure and network service providers. Refer to Note 10 and Note 12(a) to our condensed consolidated financial statements included elsewhere in this Quarterly Report on Form 10-Q for discussions of our obligations and commitments related to leases, debt and other purchase obligations.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consider acquisitions of, or investments in, complementary businesses, products, services, capital infrastructure or technologies which might affect our liquidity requirements or cause us to secure additional financing or issue additional equity or debt securities. There can be no assurance that additional credit lines or financing instruments will be available in amounts or on terms acceptable to us, if at all.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cash equivalents and marketable securities balances, as well as the cash flows generated by our operations, will be sufficient to satisfy our anticipated cash needs for working capital and capital expenditure needs, including authorized share repurchases, for the next 12 months and beyond. However, our belief may prove to be incorrect, and we could utilize our available financial resources sooner than we currently expect. We may be required to seek additional equity or debt financing in order to meet our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Our future capital requirements, the adequacy of our available funds and our cash from operations depend on many factors and are affected by various risks and uncertainties, including those set forth in Part II, Item 1A, “Risk Factors.”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Share Repurchase Programs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our board of directors authorized a share repurchase program pursuant to which we may repurchase up to $1.0 billion in aggregate value of our common stock. In March 2024, our board of directors authorized a second share repurchase program for an additional $2.0 billion in aggregate value of our common stock. As of September 30, 2024, we have repurchased approximately $2.6 billion of our common stock in the open market under these programs, and approximately $412.0 million of the aggregate authorized amount remained available for future repurchases. Repurchases under these programs will be made through open market, private transactions or other means in compliance with applicable federal securities laws, and could include repurchases pursuant to Rule 10b5-1 trading plans. We have discretion in determining the conditions under which shares may be repurchased from time to time. The programs expire on December 31, 2024.</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and nine months ended September 30, 2024, we repurchased $633.0 million in aggregate value, or 10.6 million shares, and $1.9 billion in aggregate value, or 32.0 million shares, respectively, of our common stock on the open market under these programs.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2029 Notes and 2031 Notes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we issued and sold $1.0 billion aggregate principal amount of senior notes, consisting of $500.0 million principal amount of 3.625% notes due 2029 (the “2029 Notes”) and $500.0 million principal amount of 3.875% notes due 2031 (the “2031 Notes,” and together with the 2029 Notes, the “Notes”). These Notes are described in detail in Note 14 to our Annual Report on Form 10-K filed with the SEC on February 27,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w:t>
      </w:r>
    </w:p>
    <w:tbl>
      <w:tblPr>
        <w:tblW w:w="8764" w:type="dxa"/>
        <w:jc w:val="left"/>
        <w:tblInd w:w="0" w:type="dxa"/>
        <w:tblLayout w:type="fixed"/>
        <w:tblCellMar>
          <w:top w:w="28" w:type="dxa"/>
          <w:left w:w="28" w:type="dxa"/>
          <w:bottom w:w="28" w:type="dxa"/>
          <w:right w:w="28" w:type="dxa"/>
        </w:tblCellMar>
      </w:tblPr>
      <w:tblGrid>
        <w:gridCol w:w="2006"/>
        <w:gridCol w:w="1756"/>
        <w:gridCol w:w="1772"/>
        <w:gridCol w:w="109"/>
        <w:gridCol w:w="109"/>
        <w:gridCol w:w="109"/>
        <w:gridCol w:w="198"/>
        <w:gridCol w:w="747"/>
        <w:gridCol w:w="109"/>
        <w:gridCol w:w="109"/>
        <w:gridCol w:w="109"/>
        <w:gridCol w:w="109"/>
        <w:gridCol w:w="196"/>
        <w:gridCol w:w="736"/>
        <w:gridCol w:w="109"/>
        <w:gridCol w:w="109"/>
        <w:gridCol w:w="109"/>
        <w:gridCol w:w="109"/>
        <w:gridCol w:w="154"/>
      </w:tblGrid>
      <w:tr>
        <w:trPr/>
        <w:tc>
          <w:tcPr>
            <w:tcW w:w="200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(1,903,802)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Flows from Operating Activities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cash provided by operating activities consisted primarily of our net loss of $96.9 million adjusted for non-cash items, including $460.8 million of stock-based compensation expense, $156.2 million of depreciation and amortization expense, $57.0 million amortization of deferred commissions, $78.8 million of share of losses from equity method investments and $74.0 million of cumulative changes in operating assets and liabilities. With respect to changes in operating assets and liabilities, accounts receivable and prepaid expenses decreased $20.9 million primarily due to timing of cash receipts and pre-payments of certain operating expenses. Accounts payable and other current liabilities decreased $33.2 million, primarily driven by timing of payments to vendors. Operating lease liabilities decreased $35.4 million due to payments made against our operating lease obligations.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2023, cash provided by operating activities consisted primarily of our net loss of $650.0 million adjusted for non-cash items, including $509.4 million of stock-based compensation expense which included the impact of our February 2023 restructuring activities, $219.0 million of depreciation and amortization expense, $93.8 million of our share of losses from an equity method investment, $54.4 million of amortization of deferred commissions, $46.2 million of impairment of an investment that we acquired in 2021, $34.3 million of impairment of operating lease assets and other long-lived assets, $32.3 million loss on net assets divested, $21.8 million of non-cash reduction in our operating right-of-use asset, and $240.3 million of cumulative changes in operating assets and liabilities. With respect to changes in operating assets and liabilities, accounts receivable and prepaid expenses increased $125.6 million primarily due to revenue growth, timing of cash receipts and prepayments and certain operating expenses. Accounts payable and other current liabilities decreased $62.3 million, primarily driven by a $22.3 million decrease in the sabbatical benefit accrual as a result of lower headcount and sunsetting of the program and a decrease in personnel-related accruals due to lower headcount. Operating lease liabilities decreased $41.4 million due to payments made against our operating lease obligations. Other long-term assets increased $15.4 million primarily due to an increase in the sales commissions balances related to the growth of our business.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cash provided by investing activities was $1.2 billion, primarily consisting of $1.3 billion of maturities and sales of marketable securities, net of purchases, partially offset by $40.3 million related to capitalized software development costs and $3.5 million related to purchases of long-lived assets.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2023, cash provided by investing activities was $365.7 million primarily consisting of $372.9 million of proceeds from sales and maturities of marketable securities, net of purchases of marketable securities and other investments, and $38.2 million of proceeds from divestitures, net of cash divested, partially offset by $30.5 million related to capitalized software development costs and $9.0 million related to purchases of long-lived assets.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cash used in financing activities was $1.9 billion, primarily consisting of $1.9 billion of cash paid to repurchase 10.6 million shares of our common stock in the open market, including 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2023, cash used in financing activities was $536.2 million primarily consisting of $548.9 million of cash paid to repurchase 9.2 million shares of our Class A common stock in the open market, including related costs, and $13.8 million in principal payments on debt and finance leases, offset by $28.9 million in proceeds from stock options exercised by our employees and shares issued under our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our critical accounting policies as described in our Annual Report on Form 10-K filed with the SEC on February 27,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 Not Yet Adopted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2 to the unaudited condensed consolidated financial statements included elsewhere in this Quarterly Report on Form 10-Q for a discussion of recent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filings are available to be viewed and downloaded free of charge through our investor relations website after we file them with the SEC. Our filings include our Annual Report on Form 10-K, Quarterly Reports on Form 10-Q, our Proxy Statement for our annual meeting of stockholders, Current Reports on Form 8-K and other filings with the SEC. Our investor relations website is located at http://investors.twilio.com. The SEC also maintains a website that contains periodic and current reports, proxy statements and other information about issuers, like us, that file electronically with the SEC. The address of that website is www.sec.gov.</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Quarterly Report on Form 10-Q or in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certain market risks in the ordinary course of our business, including sensitivities as follows: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$584.0 million and marketable securities of $2.1 billion as of September 30, 2024. In any given period, cash, cash equivalents and restricted cash may consist of bank deposits, money market funds, reverse repurchase agreements and commercial paper. Marketable securities consist primarily of U.S. treasury securities, non-U.S. government securities, high credit quality corporate debt securities and commercial paper. The cash and cash equivalents and marketable securities are held for working capital purposes. Such interest</w:t>
        <w:noBreakHyphen/>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noBreakHyphen/>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unaudited condensed consolidated financial statements included elsewhere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Currency Exchange Risks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most of our foreign subsidiaries is the U.S. dollar. The local currencies of our foreign subsidiaries are the Australian dollar, the Bermuda dollar, the Brazilian real, the British pound, the Canadian dollar, the Colombian peso, the Czech Republic koruna, the Euro, the Hong Kong dollar, the Indian rupee, the Japanese yen, the Mexican peso, the Polish zloty, the Serbian dinar, the Singapore dollar and the Swedish krona.</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condensed consolidated statements of operations included elsewhere in this Quarterly Report on Form 10-Q.</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foreign currency derivative hedging transactions to mitigate our exposure to market risks that may result from changes in foreign currency exchange rates. For further information, refer to Note 7 to our unaudited condensed consolidated financial statements included elsewhere in this Quarterly Report on Form 10-Q.</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hypothetical 10% change in foreign exchange rates during any of the periods presented would not have had a material impact on our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Controls and Procedures</w:t>
      </w: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(a)    Evaluation of Disclosure Controls and Procedures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this evaluation, our Chief Executive Officer and Chief Financial Officer concluded that, as of September 30, 2024,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(b)    Changes in Internal Control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in connection with the evaluation required by Rule 13a-15(d) and 15d-15(d) of the Exchange Act that occurred during the three months ended September 30, 2024, that materially affected, or are reasonably likely to materially affect, our internal control over financial reporting.</w:t>
      </w:r>
    </w:p>
    <w:p>
      <w:pPr>
        <w:pStyle w:val="TextBody"/>
        <w:bidi w:val="0"/>
        <w:spacing w:lineRule="auto" w:line="417"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(c)    Inherent Limitations on Effectiveness of Controls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noBreakHyphen/>
        <w:t>effective control system, misstatements due to error or fraud may occur and not be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6197ac6e72b406b9b3351c668cb8357_13">
        <w:r>
          <w:rPr>
            <w:rStyle w:val="InternetLink"/>
            <w:rFonts w:ascii="Times New Roman;sans-serif" w:hAnsi="Times New Roman;sans-serif"/>
            <w:b w:val="false"/>
            <w:color w:val="0000FF"/>
            <w:sz w:val="20"/>
            <w:u w:val="single"/>
          </w:rPr>
          <w:t>Table of Contents</w:t>
        </w:r>
      </w:hyperlink>
    </w:p>
    <w:p>
      <w:pPr>
        <w:pStyle w:val="TextBody"/>
        <w:bidi w:val="0"/>
        <w:spacing w:before="24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 xml:space="preserve">Legal Proceedings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12(b) to our unaudited condensed consolidated financial statements included elsewhere in this Quarterly Report on Form 10-Q for a description of our current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Class A common stock (“common stock”) involves a high degree of risk. 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common stock. The risks and uncertainties described below may not be the only ones we face. If any of the risks actually occur, our business, results of operations and financial condition could be adversely affected. In that event, the market price of our common stock could decline, and you could lose part or all of your investment.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operations are subject to numerous risks and uncertainties, including those outside of our control, that could cause our business, results of operations, and financial condition to be harmed, including risks regarding the following:</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Our Business and Industry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impact of macroeconomic uncertainties;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fluctuations in our quarterly results and our ability to meet securities analysts’ and investors’ expectations;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effectiveness of actions taken to restructure our business in alignment with our strategic priorities;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business unit reorganization and further changes to our business organization and reporting segments;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maintain and grow our relationships with existing customers such that they increase their usage of our platform;</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attract new customers in a cost-effective manner;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increase adoption of our products by enterprises;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develop new products and enhancements that achieve market acceptance and adapt to changing technology and regulations, industry standards and interoperability requirements;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evolution of the markets for our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effectively manage our growth;</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compete effectively in intensely competitive markets;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history of losses and uncertainty about our future profitability;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hire, integrate and retain highly skilled personnel;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maintain and enhance our brand and increase market awareness of our company and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disruptions or deterioration in quality of service and connectivity by third-party service providers;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failure to set optimal prices for our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international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reliance on our largest customers to generate a significant amount of our revenue;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integrate and achieve the expected benefits of acquisitions, partnerships and investments;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Cybersecurity, Data Privacy and Intellectual Property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any breaches of or incidents impacting our networks or systems, or those of our third-party service providers;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actual or perceived failure to comply with increasingly stringent laws, regulations and obligations relating to privacy, data protection and data security;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protect our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use of open source software;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reliance on third-party technology and intellectual property;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use of AI technologies in our platform and business;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Legal and Regulatory Matters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 xml:space="preserve">our ability to comply with telecommunications-related regulations, and the impact of future legislative or regulatory actions;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obtain or retain geographical, mobile, regional, local or toll-free numbers and to effectively process requests to port such numbers in a timely manner due to industry regulations;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federal and state legislation and international laws imposing obligations on the senders of commercial emails;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fraudulent or illegal usage of or activity relating to our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changes in laws and regulations related to the Internet or its infrastructure;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compliance with applicable laws and regulations, including export control, economic trade sanctions, and anti-corruption regulations;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standards imposed by private entities and inbox service providers that interfere with the effectiveness of our platform;</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any legal proceedings or claims against us;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Financial and Accounting Matters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exposure to foreign currency exchange rate fluctuations;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substantial indebtedness that may decrease our business flexibility;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obtain additional capital to support our business and its availability on acceptable terms;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accuracy of our metrics, and assumptions and estimates used to calculate them;</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accuracy of our estimates and judgments related to our critical accounting policies;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changes in accounting standards that may cause adverse financial reporting fluctuations;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possibility that our goodwill or intangible assets could become impaired;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failure to maintain an effective system of disclosure controls and internal control over financial reporting;</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Tax Matters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use our net operating losses and certain other tax attributes to offset future taxable income and taxes;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additional tax liabilities or potentially adverse tax consequences on our global operations and structure;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changes in tax rules and regulations;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Ownership of Our Common Stock</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volatility of the trading price of our common stock;</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potential decline in the market price of our common stock due to substantial future sales of shares;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possibility that we may not realize the anticipated long-term stockholder value of our share repurchase programs;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securities or industry analysts changing their recommendations regarding our common stock;</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anti-takeover provisions contained in our governing documents and the exclusive forum provision in our bylaws;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General Risks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occurrence of natural catastrophic events and other events beyond our control;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initiatives, goals, commitments, and disclosures related to ESG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Global economic and political conditions, including macroeconomic uncertainties, may continue to adversely impact our business, results of operations and financial condition.</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Global economic and business activities continue to face widespread macroeconomic uncertainties, including changes in the labor market and supply chain disruptions, inflation and monetary supply shifts, volatility in the banking and financial services sectors, and recession risks, which may continue for an extended period. Additionally, the instability in the geopolitical environment in many parts of the world, including from the war in Ukraine and conflict in the Middle East, may continue to cause or exacerbate uncertain economic conditions. These macroeconomic conditions have resulted in, and may continue to result in, decreased business spending by our current and prospective customers and business partners, reduced demand for or usage of our products, lower renewal rates by our customers, longer or delayed sales cycles, including current and prospective customers delaying contract signing or contract renewals, reduced budgets or minimum commitments related to the products that we offer, or delays in customer payments or our ability to collect accounts receivable, all of which could have an adverse impact on our business, results of operations and financial condition. Additionally, the results of the 2024 U.S. presidential election could lead to changes in macroeconomic conditions and to the legal and regulatory environment in the United States and globally, including changes to international trade relations, economic and monetary policies or other legislation and regulations, any of which could have an adverse impact on the global economy and/or our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macroeconomic environment has constrained the budgets and financial resources of some of our current and prospective customers, which has caused them to become more budget-conscious and to delay and/or reduce spending. Given that a majority of our revenue is usage-based and impacted by general consumer sentiment and activity, our business may be more immediately and severely impacted by adverse macroeconomic conditions than those that rely primarily on software-as-a-service (“SaaS”) subscription revenue. The current macroeconomic environment has caused certain of our usage-based customers to reduce or terminate their usage of our products without notice or termination charges, which has negatively impacted, and, despite recent stabilization in usage volumes, may in the future negatively impact, our usage-based revenue. Similarly, the current macroeconomic environment has caused certain of our subscription-based customers to renegotiate existing contracts on less advantageous terms to us than those currently in place, reduce or limit their contract value, default on payments due on existing contracts, or fail to renew at the end of their current contract term, which has had, and may continue to have, a negative impact on our subscription-based revenue. A prolonged economic slowdown could exacerbate these negative effects on revenue and revenue growth in both our Communications and Segment business units. Additionally, when customers fail to pay us or reduce their spending with us, we may be adversely affected by an inability to collect amounts due, the costs of enforcing the terms of our contracts, including through litigation, and/or a reduction in revenue. For example, in February 2023, one of our customers, Oi SA, a Brazilian telecom company, initiated reorganization proceedings in a Brazilian bankruptcy court as well as a secondary proceeding under Chapter 15 in the United States and exposed us to risks on collections of pre-petition receivables and ongoing revenue, as detailed in Part I, Item 2, “Management’s Discussion and Analysis of Financial Condition and Results of Operations—Factors Affecting Our Results of Operations.” If the effects of the current macroeconomic environment continue to adversely affect our business and the businesses of our current and prospective customers, our results of operations and financial condition may continue to be harmed, and many of the other risks described in this “Risk Factors” section will be exacerbated.</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quarterly and annual results of operations have fluctuated in the past and may continue to do so in the future. As a result, we may fail to meet securities analysts’ and investors’ expectations, which could cause the price of our common stock to decline.</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results of operations have fluctuated in the past and may continue to do so in the future due to a variety of factors, many of which are outside of our control. These fluctuations and the related impacts to any earnings guidance we may issue from time to time could cause the price of our common stock to change significantly or experience declines. In addition to the other risks described in this “Risk Factors” section, some of the factors that may result in fluctuations to our results of operations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fluctuations in demand for, pricing of, or usage of, our products, including due to the effects of global macroeconomic conditions, competition, and differing levels of demand for our products based on changing customer priorities, resources, financial conditions and economic outlook;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general economic conditions, including a downturn or recession, heightened inflation and interest rates, and geopolitical uncertainty and instability;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the organization of our business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and timing of costs, and any adverse effects associated with, our workforce reductions;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attract and retain new customers, obtain renewals from existing customers and cross-sell or otherwise increase revenue from existing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introduce new products and enhance existing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leverage more of our self-service capabilities for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competition and the actions of our competitors, including pricing changes and the introduction of new technologies, products, services and geographies;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significant security breaches or incidents impacting our platform, or interruptions to the delivery and use of our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cloud infrastructure, network services and other third-party technology, including the fees charged by their providers;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productivity of our sales force;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length and complexity of the sales cycle for certain of our products or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the mix of products that our customers use during a particular period;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seasonal trends in consumer activity;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the mix or amount of products sold in the United States versus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and timing of operating costs and capital expenditures related to the operations and expansion of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expenses in connection with mergers, acquisitions, dispositions, or other strategic transactions;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of customer payments and our ability to collect accounts receivable from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control costs, including our operating expenses;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and timing of costs associated with recruiting, training and integrating new employees, and retaining existing employees;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foreign currency exchange rates and our ability to effectively hedge our foreign currency exposure;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extraordinary expenses such as litigation or other dispute-related settlement payments;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laws, industry standards and regulations that affect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sales tax and other tax determinations by authorities in the jurisdictions in which we conduct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of new accounting pronouncements;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fluctuations in stock-based compensation expenses.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occurrence of one or more of the foregoing and other factors may cause our results of operations to vary significantly. As such, comparing our operating results on a period-to-period basis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net income (loss) and margins in the short term. If we fail to meet or exceed the expectations of investors or securities analysts, then the trading price of our common stock could fall substantially, and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could face costly lawsuits, including securities class action suits, which, in turn, could harm our business, results of operations and financial condition.</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Actions that we are taking to restructure our business in alignment with our strategic priorities may not be as effective as anticipated.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reduced our workforce by approximately 35% since September 2022. While our reductions in force and other efforts to restructure our business were designed to streamline operations, reduce operating costs, improve operating margins, and realign our selling capacity, we may encounter challenges in the execution of these efforts that could prevent us from recognizing the intended benefits of such efforts or otherwise adversely affect our business, results of operations and financial condition.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reductions in force, we have incurred, and may continue to incur, additional costs in the short term, including cash expenditures for employee transitions, notice period and severance payments, employee benefits and related facilitation costs, as well as non-cash expenditures related to vesting of share-based awards. These additional cash and non-cash expenditures could have the effect of reducing our operating margins. Our reductions in force may result in unintended consequences, including employee attrition beyond our intended reduction in force; damage to our corporate culture and decreased employee morale among our remaining employees; diversion of management attention; damage to our reputation as an employer, which could make it more difficult for us to hire new employees in the future; and the loss of institutional knowledge and expertise of departing employees. If we experience any of these adverse consequences, our reductions in force and other restructuring efforts may not achieve or sustain their intended benefits, or the benefits, even if achieved, may not be adequate to meet our profitability and operational expectations, which could adversely affect our business, results of operations and financial condition. In addition, our reductions in force and other restructuring efforts could lead us to fail to meet, or cause delays in meeting, our operational and growth targets. While positions have been eliminated, functions that they performed remain necessary to our operations, and we may be unsuccessful in effectively and efficiently distributing the duties and obligations of departed employees among our remaining employees. The reduction in our workforce could also prevent us from pursuing new opportunities and initiatives or require us to adjust our growth strategy. As part of our reductions in force, we have reduced the size of our sales force to drive further efficiencies in our sales operations. With a smaller workforce, we are relying more heavily on our self-service model to drive sales of our Communications products to customers that do not require direct account coverage. Our self-service capabilities may not be as successful as we anticipate, and similarly, our efforts to accelerate Segment sales may not be effective or may take longer than we expect to drive growth. If we experience any of these adverse consequences, our reductions in force and other restructuring efforts may not achieve or sustain their intended benefits, or the benefits, even if achieved, may not be adequate to meet our profitability and operational expectations, which could adversely affect our business, results of operations and financial condition.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identify areas of cost savings and operating efficiencies, we may consider implementing further measures to reduce operating costs and improve operating margins. We may not be successful in implementing such initiatives, including as a result of factors beyond our control. If we are unable to realize the anticipated savings and efficiencies from our reductions in force, other restructuring efforts and future strategic initiatives, our business, results of operations and financial condition could be harmed.</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In the first quarter of 2023, we reorganized our business into business units, and we have since adopted a two-segment reporting structure and further modified our business units and reporting segments. These changes may be disruptive to our business and may not have the desired effects.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we reorganized our business into two business units—Communications and Data &amp; Applications (subsequently renamed Segment). Beginning with the quarter ended June 30, 2023, we changed our operating and reporting segment structure from one reportable segment to two reportable segments and revised our prior period presentation to conform to the new segments. In the fourth quarter of 2023, we further modified the organization of our business units by moving Flex and Marketing Campaigns from Segment to Communications.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unit reorganization and changes in our segment reporting structure have required, and will continue to require, significant expenditures, allocation of valuable management resources, and significant demands on our operational and financial infrastructure. This could lead to a number of risks, including: actual or perceived disruption of service or reduction in service standards to our customers; the failure to preserve adequate internal controls as we reorganize our general and administrative functions, including our information technology and financial reporting infrastructure; the failure to preserve partnership, sales and other important relationships and to resolve conflicts that may arise; loss of sales as we eliminate certain sales positions, reorganize our sales teams, and improve and expand our use of self-service capabilities; failure to develop effective cross-selling motions between the businesses; failure of the business units to drive efficiencies and leverage; diversion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management attention from ongoing business activities and core business objectives in order to manage operational changes; and the failure to maintain our corporate culture, employee morale and productivity, and to retain highly skilled employees due to reductions in our workforce and changes in leadership structure. Because of these and other factors, we cannot predict whether we will realize the purpose and anticipated benefits of our business reorganizations and segment reporting changes, and any similar changes in the future, and if we do not, our business, results of operations and financial condition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2024, we conducted an operational review of Segment and developed a plan that we believe will deliver a more effective Segment business. As we announced in March 2024, we are targeting break-even non-GAAP income from operations for Segment by the second quarter of 2025. There is no guarantee that we will achieve our announced operational and financial targets, and if we do not, it could negatively impact the trust of investors or securities analysts, and our results of operations and stock price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guarantee that investors, analysts or the market will understand or favorably view the changes we make to our financial reporting in connection with the shift from one to two segments or that any such changes will have the desired effect. Failure of investors or analysts to understand our revised segment reporting structure may negatively affect their ability to understand our business and operating results, which could adversely affect our stock price. In addition, we test for goodwill impairment at the reporting unit level and consider the difference between the fair value of a reporting unit and its carrying value when determining whether any impairment exists. There can be no assurance that changes to our segment reporting structure and business units will not result in impairment charges in future periods, which could harm our operating results.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depends on customers increasing their use of our products, and a loss of customers or decline in their use of our products could adversely affect our business, results of operations and financial condition.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grows as customers increase their usage of a product, extend their usage of a product to new applications or adopt a new product that we offer. The majority of our revenue is usage-based and our ability to grow and generate incremental revenue depends, in part, on our ability to maintain and grow our relationships with existing customers and to have them increase their usage of our products. If our customers do not increase their use of our products, then our revenue may decline or grow at rates lower than expected. Most of our usage-based customers do not have long-term contractual financial commitments to us and, therefore, may reduce or cease their use of our products at any time without penalty or termination charges. Our subscription-based customers generally base their contract value on anticipated usage, and if their anticipated levels of usage are not met, they may reduce their contract value or choose not to renew their contract upon its expiration.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Customers may terminate or reduce their use of our products for any number of reasons, including dissatisfaction with our products or with the value proposition of our products, our inability to meet their needs and expectations, their use of competitors’ products, macroeconomic conditions, or reductions in their budgets. Additionally, prior instances of disruptions in our cloud communications platform impacted our customers’ ability to use products on our platform for up to several hours at a time. Issues with our products have caused, and may in the future cause, us to incur certain costs associated with offering credits to our affected customers, which have had, and in the future may have, an adverse impact on customer satisfaction and our ability to retain or attract customers.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believe our ability to provide customers with high-quality, effective customer support services at all stages of the process is a crucial component of maintaining customer satisfaction, generating increased customer usage of our products and ultimately retaining customers. If we are unable to effectively assist our customers, it could adversely affect our ability to retain existing customers and could disincentivize prospective customers from adopting our products. The resources we dedicate to customer service at a particular time may prove insufficient, such as in the event we are unable to respond quickly enough to accommodate short-term increases in demand for customer support. We also may be unable to modify the nature, scope and delivery of our customer support in order to compete with changes in the support services provided by our competitors. Our sales are highly dependent on our business reputation and on positive recommendations from our customers. If we are unable to provide high-quality customer support, or if there is a market perception that we do not maintain high-quality customer support, it could erode the trust of current and potential customers and adversely affect our reputation.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usage of our products depends on factors generally outside of our control, including macroeconomic conditions, so it is difficult to accurately predict customers’ usage levels. The loss of customers or reductions in their usage levels of our products may each have a negative impact on our business, results of operations and financial condition. Our Dollar-Based Net Expansion Rate has recently stabilized as compared to prior periods, but it may decline in the future if customers are not satisfied with our products and related customer service experience, the value proposition of our products or our ability to meet their needs and expectations, or due to macroeconomic conditions or reductions in customers’ budgets. If a significant number of customers cease using, or reduce their usage of our products, then we may be required to spend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significantly more on sales and marketing than we currently expect in order to maintain or increase revenue from customers. Such additional sales and marketing expenditures could adversely affect our business, results of operations and financial condition. </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are unable to attract new customers or sell additional products to our existing customers in a cost-effective manner, our business, results of operations and financial condition would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grow our business, we must continue to attract new customers in a cost-effective manner, increase revenue from existing customers, and increase gross profits, each of which depends in part on our ability to increase adoption and usage of our products, and successfully market new products, including products with higher gross margins, in a cost-effective manner. We use a variety of marketing channels to promote our products and platform, such as developer events and developer evangelism, search engine marketing and optimization, regional customer events, email campaigns, billboard advertising and public relations initiatives. If the costs of the marketing channels we use increase, then we may choose to use alternative and less expensive channels, which may not be as effective as the channels we currently use. We have made in the past, and may make in the future, significant expenditures and investments of time and resources in new marketing campaigns and sales motions, and we cannot guarantee that any such investments will lead to wider adoption of our products or to the cost-effective acquisition of additional customers. In addition, new products that we develop may require increasingly sophisticated and more costly sales efforts and result in a longer sales cycle. If we are unable to maintain effective marketing programs, our ability to efficiently attract new customers could be adversely affected, and we may not be able to attract the number and types of new customers we are seeking. In addition, we are continuing to improve and expand our use of self-service capabilities, particularly for our Communications API customers, which may not be as effective as we anticipate in driving adoption or increased usage of our products. If we are unable to successfully increase adoption and usage of our existing and new products, or if our efforts to increase the usage of our products are more expensive or time-consuming than we expect, then our business, results of operations and financial condition would be adversely affected.</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are unable to increase adoption of our products by enterprises, our business, results of operations and financial condition may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a majority of our revenue has been generated as a result of software developers adopting our Communications API products through our self-service model. Our ability to increase our customer base, especially among enterprises, and achieve broader market acceptance of our products will depend, in part, on our ability to effectively organize, focus and train our sales, marketing and other employees. Our ability to convince enterprises to adopt our products will depend, in part, on our ability to attract and retain sales employees with experience selling to enterprises. We believe that there is significant competition for experienced sales professionals with the skills and technical knowledge that we require. Even if we are successful in hiring qualified sales employees, new hires require significant training and experience before they achieve full productivity, particularly for sales efforts targeted at enterprises and new territories. Our recent hires and planned hires may not become as productive as quickly as we expect, and we may encounter difficulties or be unable to hire or retain sufficient numbers of qualified individuals in the future in the markets where we do business. Because we do not have a long history of targeting our sales efforts at enterprises, we cannot predict whether, or to what extent, our sales will increase as we organize and train our sales force or how long it will take for sales employees to become productive.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 seek to increase the adoption of our products by enterprises, including our Segment product, which is primarily aimed at complex customer data platform implementations at larger companies, we expect to incur higher costs and longer sales cycles. In the enterprise market segment, the decision to adopt our products may require the approval of multiple technical and business decision makers, including legal, security, compliance, procurement, operations and information technology (“IT”). In addition, while enterprise customers may quickly deploy our products on a limited basis, before they will commit to deploying our products at scale, they often require extensive education about our products and significant customer support time and also engage in protracted pricing and contract negotiations, which may be exacerbated by changing inflationary pressure and reduced IT budgets and may result in higher costs and longer sales cycles. In addition, sales cycles for enterprises are inherently more complex and less predictable than the sales through our self-service model, and some enterprise customers may not use our products enough to generate revenue that justifies the cost to obtain such customers. These complex and resource-intensive sales efforts could place additional strain on our product and engineering resources. Further, enterprises, including some of our existing customers, may choose to develop their own solutions that do not include our products. They may also demand reductions in pricing as their usage of our products increases, notwithstanding increased costs incurred by us to provide such products, which could have an adverse impact on our gross margin. Additionally, we have experienced, and may continue to experience, certain of our customers failing to renew their contracts with us, reducing or limiting their contract values, and engaging in longer sales cycles as these customers focus on general cost reductions in the face of macroeconomic uncertainty. As a result of our limited experience selling and marketing to enterprises, our efforts to sell to these potential customers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be successful. If we are unable to increase the revenue that we derive from enterprises, then our business, results of operations and financial condition may be adversely affected.</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future success depends, in part, on our ability to develop new products and product enhancements that achieve market acceptance, as well as adapt and respond effectively to rapidly changing technology and regulations, dynamic industry standards, and evolving interoperability requirements.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attract new customers and increase revenue from existing customers depends in large part on our ability to enhance and improve our existing products and to introduce compelling new products that reflect the changing nature of our markets, technology, industry standards, and customer needs and preferences. The success of any enhancements or new products we introduce depends on several factors, including timely completion, adequate quality testing, actual performance quality, market-accepted pricing levels and overall market acceptance.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profits. Furthermore, our ability to increase the usage of our products depends, in part, on the development of new use cases for our products, which is typically driven by our developer community and may be outside of our control.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including the market for communications in general and cloud communications in particular, are subject to rapid technological change, evolving industry standards, and changing regulations, as well as changing customer needs, requirements and preferences. These are all uncertain and we cannot predict the consequences, effects, or introduction of new, disruptive, emerging technologies or the manner and pace at which our markets develop over time, and our ability to compete in these markets depends on predicting and adapting to these changing circumstances. The success of our business will depend, in part, on our ability to adapt and respond effectively to these changes on a timely basis, and anticipating these factors requires that we allocate significant resources without any guarantee that any such investments and efforts will result in initial or enhanced adoption of our products in the marketplace. For example, with the development of next-generation solutions that utilize new and advanced features, including AI and ML, we expect to commit significant resources to developing new products and enhancements and there is no guarantee that our investments and efforts will result in wider adoption of our products in the marketplace. If new technologies emerge that are able to deliver competitive products and services at lower prices, more efficiently, more conveniently or more securely or if new products are introduced into the market that could render our existing products obsolete, such technologies and products could adversely impact our ability to compete effectively and may lead to customers reducing or terminating their usage of our products. For example, if user authentication practices evolve to reduce or eliminate the use of one-time passwords, our revenue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success of our existing products and any new products we introduce depends, in part, on our ability to integrate them with third-party products used by us or our customers. The providers of such third-party products may modify the features, functionality, pricing, and other terms and conditions with respect to such products in a manner adverse to us and to our customers that use such third-party products in connection with our products. If we are unable to maintain the integrations between our products and such third-party products, our ability to meet the needs and expectations of our current and prospective customers could be adversely affected, which could adversely affect our business. Our platform must integrate with and leverage a variety of infrastructure, network, hardware, mobile and software platforms and technologies, and we need to continuously modify and enhance our products and platform to adapt to changes and innovation in these technologies. For example, Apple, Google, Yahoo and other cell-phone operating system providers or inbox service providers have developed, and may in the future develop, new applications or functions intended to filter spam and unwanted phone calls, messages or emails. Third-party platforms may also implement changes to their privacy policies or practices that may adversely impact us or our customers. In addition, our network service providers may adopt new filtering technologies in an effort to combat spam or robocalling. Such technologies may inadvertently filter desired messages or calls to or from our customers. If cell-phone operating system providers,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successfully and cost-effectively increase adoption and usage of our existing products, develop and drive adoption of new products, maintain integrations with third-party products, or anticipate and keep pace with changes in technology, customers’ needs and expectations, and industry standards, our business, results of operations and financial condition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The markets for our products continue to evolve and may decline or experience limited growth.</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continue to evolve, which makes our business and future prospects difficult to evaluate. If current and prospective customers do not recognize the need for and benefits of our products and platform, they may decide to adopt alternative products and services to satisfy some portion of their business needs. In order to grow our business and extend our market position, we intend to focus on educating developers and enterprises about the benefits of our products and platform, expanding and improving the functionality of our products and bringing new technologies to market to increase market acceptance and use of our platform. Our growth will depend, in part, on our ability to expand the markets that our products address. Our ability to do so depends upon a number of factors, including the cost, performance and perceived value associated with such products and platform. The markets for our products and platform could fail to grow significantly, or at all, or there could be a reduction in demand for our products as a result of any number of factors, including a lack of customer acceptance, technological challenges, competing products and services, decreases in spending by current and prospective customers, weakening macroeconomic conditions, and other causes. If these markets do not experience significant growth or demand for our products decreases, then our business, results of operations and financial condition could be adversely affected.</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fail to effectively manage our growth, then our business, results of operations and financial condition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cannot provide any assurance that our business will continue to grow at the same rate or at all in the future, we have experienced substantial growth in our business and operations, which has placed, and may continue to place, significant demands on our management and our operational and financial resources, especially as we continue to focus on improving our operating efficiency. Although we have conducted workforce reductions in the past, we may experience employee growth in the future. We have also experienced significant growth in the number of customers, usage and amount of data that our platform and associated infrastructure support. As a result of this growth, our organizational structure is becoming more complex as we improve our operational, financial and management controls as well as our reporting systems and procedures. The expansion of our systems and infrastructure, as well as the changes arising from our business reorganizations, has required, and will continue to require, us to commit substantial financial, operational, and technical resources. Our revenue may not increase as a result of our investments in these areas and, if revenue does increase, it may not increase enough to offset these investments, or it may take several periods before we begin to see the benefits of these investments. If we are unable to adequately manage our growth and other business changes in a manner that preserves the key aspects of our corporate culture, including as a result of our past reductions in force, reorganization of our business and changes to our leadership structure, the quality and performance of our products may suffer, which could negatively affect our brand, reputation and ability to retain and attract customers and employees. Finally, if we are unable to maintain reliable service levels for our customers or if the level of efficiency in our organization suffers as we grow and transform our operating model, then our business, results of operations and financial condition could be adversely affected.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scale the capacity of, and enhance the capability and reliability of, our technical infrastructure to support increased activity on our platform. Any failure to maintain performance, reliability, security, integrity and availability of our products and infrastructure to the satisfaction of our customers may harm our reputation and our ability to retain existing customers or attract new customers. If we fail to efficiently scale and manage our infrastructure, or if our customers experience service disruptions or outages, our business, financial condition and operating results may be adversely impacted.</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The markets in which we participate are intensely competitive, and if we do not compete effectively, our business, results of operations and financial condition could be harmed.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are rapidly evolving, significantly fragmented and highly competitive, with relatively low barriers to entry in some segments. The principal competitive factors in our market include completeness of offering, credibility with customers, global reach, ease of integration and programmability, product features, platform scalability, reliability, deliverability, security and performance, brand awareness and reputation, the strength of sales and marketing efforts, customer support, and the cost of deploying and using products. In our Communications business, our competitors are primarily (i) CPaaS companies that offer communications products and applications, (ii) other software companies that compete with portions of our communications product line, and (iii) regional network service providers that offer limited developer functionality on top of their own physical infrastructure. In our Segment business, our competitors are primarily (i) SaaS companies and marketing cloud platform vendors that offer bundled applications and platforms, (ii) CRM and customer experience vendors and (iii) standalone customer data platform vendors.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competitors and potential competitors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us to decrease prices in order to remain competitive.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With the introduction of new products and services and new market entrants, we expect competition to intensify in the future.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 effectively. For example, certain of our competitors have engaged in acquisition activity and we expect that our competitors will continue to evaluate the acquisition of companies and technologies that could increase competition with our products in the future. In addition, some of our competitors have lower list prices than us, which may be attractive to certain customers even if those products have different or lesser functionality.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results of operations and financial condition also depends, in part, on our ability to establish and maintain relationships through resellers, distributors, and strategic partners. A portion of our revenue is derived from sales made by these partners and any one of them may later decide to sell their own products or those of third parties that may be competitive with our products. A loss or reduction in sales of our products through these third-party intermediaries could adversely affect our revenue and other results of operations.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have a history of losses and may not achieve or sustain profitability in the future.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in each year since our inception, including net losses of $96.9 million, $1.0 billion and $1.3 billion in the nine months ended September 30, 2024 and the years ended December 31, 2023 and 2022, respectively. We had an accumulated deficit of $7.1 billion as of September 30, 2024. We will need to generate and sustain increased revenue levels, and manage our operating expenses, in future periods to become profitable and achieve our stated profitability goals and, even if we do, we may not be able to maintain or increase our level of profitability. We expect to continue to expend substantial financial and other resources on, among other things: investments in our engineering team; improvements in security and data protection; the development of new products, features and functionality and enhancements to our platform; sales and marketing; expansion of our operations and infrastructure, both domestically and internationally; and general administration, including legal, accounting and other expenses related to being a public company. Our efforts to grow our business may be more costly than we expect, and we may not be able to increase our revenue enough to offset our associated operating expenses. We may incur significant losses in the future for a number of reasons, including the other risks described herein, and unforeseen expenses, difficulties, complications and delays and other unknown events. If we are unable to achieve and sustain profitability, or if we incur significant losses, the value of our business and common stock may significantly decrease.</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depend largely on the continued services of highly skilled personnel, including our senior management and other key employees, and the inability to attract, integrate or retain such employees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performance depends on the continued services and contributions of highly skilled personnel, including our senior management and other key employees, to execute on our business plan, to develop our products and platform, to deliver our products to customers, to attract and retain customers and to identify and pursue opportunities to expand our business. We believe that there is, and will continue to be, intense competition for highly skilled management, technical, sales and other employees with experience in our industry. In addition, we have conducted reductions in force and experienced and may continue to experience employee attrition, which could significantly delay or prevent the achievement of our business objectives, and any resulting influx of new employees may require us to expend time, attention and resources to recruit and retain employees, restructure parts of our organization and train and integrate new personnel. If we fail to effectively manage attrition, and to hire, integrate and adequately incentivize our personnel, our efficiency and ability to meet our operational and growth targets, as well as our corporate culture, employee morale, productivity and retention, could suffer, and our business and operating results would be adversely impacted.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loss of services of senior management or other key employees could significantly delay or prevent the achievement of our development and strategic objectives. In January 2024, our co-founder, Jeff Lawson, resigned as Chief Executive Officer and as a member of our board of directors, and Khozema Shipchandler, our former President, Twilio Communications, was appointed as Chief Executive Officer and as a member of our board of directors. We have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expenses in connection with the transition and we may face challenges in connection with the transition, such as potential changes to our strategy, corporate culture, and other changes in our management structure or roles. Any of our executive officers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any loss of services of any such key employee for any reason could significantly delay or prevent the achievement of our business objectives and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labor market for our business is subject to external factors that are beyond our control, including our industry’s highly competitive market for skilled workers and leaders. We must provide competitive compensation packages and a high-quality work environment to hire, retain and motivate employees. Volatility in, or the actual or perceived lack of performance of, our stock price may affect our ability to attract, motivate and retain key employees. We have also implemented reductions in force, which may have an impact on our ability to hire, retain and motivate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are not able to maintain and enhance our brand and increase market awareness of our company and products, then our business, results of operations and financial condition may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the “Twilio” brand identity and increasing market awareness of our company and products, particularly among developers and enterprises, is critical to achieving widespread acceptance of our platform, to strengthening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promotion of our brand also requires us to make substantial expenditures, and we anticipate that these expenditures will increase as our markets become more competitive and as we expand into new markets. To the extent that these activities increase revenue, this revenue still may not be enough to offset the increased expenses we incur.</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To deliver our products, we rely on network service providers and internet service providers for our network service and connectivity, and disruption or deterioration in the quality of these services or changes in provider fees that we pay in connection with the delivery of communications on our platform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interconnect with fixed and mobile network service providers around the world to enable our customers to use our products over their networks. Although we are in the process of acquiring authorization in many countries for direct access to phone numbers and for the provision of voice and messaging services on the networks of fixed and mobile network service providers, we expect that we will continue to rely on network service providers for these services. Where we do not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and we can be subject to the imposition of additional fees, penalties, or other administrative or technical requirements, and even service interruption, due to regulatory, competitive, or other industry related changes over which we have little to no control. We typically do not change our customers’ pricing as rapidly and, as a result, such fee increases could adversely affect our business and 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in recent years, multiple major U.S. mobile carriers have introduced A2P SMS service offerings that added a new fee for A2P SMS messages delivered to their respective subscribers, and, from time to time, other U.S. mobile carriers have added similar fees. While we have historically responded to these types of fee increases through a combination of further negotiating efforts with our network service providers, absorbing the increased costs or passing the fees through to customers, there is no guarantee that we will continue to be able to respond in these ways in the future without a material negative impact to our business. Passing these fees through to our customers typically has the effect of increasing our Communications revenue and cost of revenue, but typically does not impact the gross profit dollars received for sending these messages and, as a result, has a negative impact on our gross margins. Additionally, our ability to respond to any new fees may be constrained if all network service providers in a particular market impose equivalent fee structures, if the magnitude of the fees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disproportionately large when compared to the underlying prices paid by our customers, or if the market conditions limit our ability to increase the price we charge our customers.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such problems have in the past caused, and may in the future cause, errors, service outages, security incidents, or poor-quality communications on our products, and we could encounter difficulty identifying the source of the problem. The occurrence of errors, service outages, security incidents, or poor-quality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interconnect with internet service providers around the world to enable the use of our email products by our customers, and we expect to continue to rely on internet service providers for network connectivity going forward. Our reliance on internet service providers reduces our control over quality of service and exposes us to potential service outages and rate fluctuations. The occurrence of poor-quality of service or service outages on our products may result in the loss of our existing customers or the delay of adoption of our products by potential customers and may adversely affect our business, results of operations and financial condition. Similarly,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Failure to set optimal prices for our products could adversely impact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certain of our products, we primarily charge our customers based on their usage of such products. One of the challenges of this usage-based pricing model is the variability of the fees that we pay to network service providers over whose networks we transmit communications. Such network fees can vary daily or weekly and are affected by volume and other factors that may be outside of our control, and which are difficult to predict. This can result in us incurring increased costs that we may be unable or unwilling to pass through to our customers, which could adversely impact our business, results of operations and financial condition. If we elect to pass through increased fees to our customers, it could adversely affect our relationship with our customers and our customers may look for lower cost alternatives.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adjust the pricing models for our products from time to time and expect that we will continue to do so. Many of our usage-based customers enter into contracts with negotiated pricing, and our subscription customers are also subject to negotiated pricing. As competitors introduce new products or services that compete with ours or reduce their prices, we may be unable to attract new customers or retain existing customers based on our historical pricing. If we are required or choose to reduce our prices, it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international operations expose us to risks inherent in global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2024 and the years ended December 31, 2023 and 2022, we derived 35%, 34% and 34% of our revenue from customer accounts located outside the United States, respectively. The future success of our business will depend, in part, on our ability to strategically maintain and expand our customer base worldwide. Operating in international markets requires significant resources and management attention and subjects us to regulatory, economic and political risks in addition to those we face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face risks in doing business internationally that could adversely affect our business,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difficulty of managing and staffing international operations and the increased operations, travel, infrastructure and legal compliance costs associated with servicing international customers and operating numerous international locations;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effectively price our products in competitive international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new and different sources of competition or other changes to our current competitive landscape;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potentially greater difficulty collecting accounts receivable and longer payment cycles;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higher or more variable network service provider fees outside of the United States;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need to adapt and localize our products and support for specific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understanding, reconciling, and implementing technical controls to address, different technical standards, data privacy and telecommunications regulations, and registration and certification requirements outside the United States, which could prevent customers from deploying our products or limit their usage;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comply with laws, regulations and industry standards relating to data privacy, data protection, data localization and data security, as well as sustainability and other ESG matters, enacted in countries and other regions in which we operate or do business, and the associated costs and management attention required to support such compliance;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in understanding and complying with local laws, regulations and customs in non-U.S. jurisdictions;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compliance with export controls and economic sanctions regulations administered by U.S. and foreign governmental entities in jurisdictions in which we operate, including the Department of Commerce's Bureau of Industry and Security and the Treasury Department’s Office of Foreign Assets Control;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compliance with various anti-bribery and anti-corruption laws such as the U.S. Foreign Corrupt Practices Act, as amended (“FCPA”) and United Kingdom Bribery Act of 2010;</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international trade policies, tariffs and other non-tariff barriers, such as quotas and local content rules;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more limited protection for intellectual property rights in some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adverse tax consequences;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fluctuations in currency exchange rates, which could increase the price of our products outside of the United States, increase the expenses of our international operations and expose us to foreign currency exchange rate risk;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fluctuations in inflation and interest rates;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currency control regulations, which might restrict or prohibit our conversion of other currencies into U.S. dollars;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restrictions on the transfer of funds;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deterioration of political relations between the United States and other countries;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of natural disasters and public health epidemics or pandemics such as COVID-19 on employees, contingent workers, partners, travel and the global economy and the ability to operate freely and effectively in a region that may be fully or partially on lockdown;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Also, due to costs from our international operations and network service provider fees outside of the United States, which generally are higher than domestic rates, our gross margin for messages terminating internationally is typically lower than our gross margin for messages terminating domestically. As a result, our Communications gross margin has been, and may continue to be, adversely impacted by our international operations. Our failure to manage any of these risks successfully could harm our international operations, and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currently generate significant revenue from our largest customers, and the loss or decline in revenue from any of these customers could harm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nine months ended September 30, 2024 and the years ended December 31, 2023 and 2022, our 10 largest Active Customer Accounts generated an aggregate of 10%, 10% and 12% of our revenue, respectively. If any of these customers, or other large customers, do not continue to use our products, use fewer of our products, or use our products in a more limited capacity, or not at all, our business, results of operations and financial condition could be adversely affected. Additionally, the usage of our products by customers that do not have long-term contracts with us may change between periods. Those with no long-term contract with us may reduce or fully terminate their usage of our products at any time without notice, penalty or termination charges, which may adversely impact our results of operations.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may not realize potential benefits from our acquisitions, partnerships and investments because of difficulties related to integration, the achievement of synergies, and other challenges.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acquired and invested in businesses and technologies that are complementary to our business through acquisitions, partnerships or investments, and we expect to continue to selectively evaluate strategic opportunities in the future.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larger or more complex companies, products, or technology in a successful manner is unproven. If we are not able to successfully integrate these acquired businesses with ours or pursue our customer and product strategy successfully, the anticipated benefits of such acquisitions may not be realized fully or may take longer than expected to be realized. Further, it is possible that there could be a loss of our key employees and customers, disruption of ongoing businesses or unexpected issues, higher than expected costs and an overall post-completion process that takes longer than originally anticipated. In addition, the following issues, among others, must be addressed in order to realize the anticipated benefits of our acquisitions, partnerships or investments: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combining the acquired businesses’ corporate functions with our corporate functions;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combining acquired businesses with our existing business in a manner that permits us to achieve the synergies anticipated to result from such acquisitions, the failure of which would result in the anticipated benefits of our acquisitions not being realized in the time frame currently anticipated or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maintaining existing agreements with customers, distributors, providers, talent and vendors and avoiding delays in entering into new agreements with prospective customers, distributors, providers, talent and vendors;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determining whether and how to address possible differences in corporate cultures and management philosophies;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integrating the companies’ compliance, administrative and IT infrastructure;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developing products and technology that allow value to be unlocked in the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evaluating and forecasting the financial impact of such acquisitions, partnerships and investments, including accounting charges;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effecting potential actions that may be required in connection with obtaining regulatory approvals.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at times the attention of certain members of our management and resources may be focused on integration of the acquired businesses and diverted from day-to-day business operations, which may disrupt our ongoing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and may continue to incur, significant, nonrecurring costs in connection with our acquisitions, partnerships and investments and integrating our operations with those of the acquired businesses, including costs to maintain employee morale and to retain key employees. Management cannot ensure that the elimination of duplicative costs or the realization of other efficiencies will offset the transaction and integration costs in the near term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also divest or stop investing in certain businesses or products. For example, in the second quarter of 2023, we sold our Internet of Things assets and liabilities, and in the third quarter of 2023, we sold our ValueFirst business. The sale of a business or product has in the past and may in the future require us to restructure operations and/or terminate employees, and could expose us to unanticipated ongoing obligations and liabilities, including as a result of our indemnification obligations. During the pendency of a divestiture, we may be subject to risks related to a decline in the business, loss of employees, customers, or suppliers, and that the transaction may not close, which could have an adverse effect on the business to be divested and on us. Additionally, we expect that the wind-down of the software component of our Zipwhip business in 2024 will negatively impact our revenue growth rates in the fourth quarter of 2024. Divestitures or winding down businesses or products could disrupt our customer, supplier and/or employee relationships and divert the time and attention of our management and employees. Additionally, we may experience harm to our financial results, including loss of revenue, and we may not realize the expected benefits and cost savings of these actions and our operating results may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Related to Cybersecurity, Data Privacy and Intellectual Property</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Breaches of or incidents impacting our networks or systems, or those of our third-party service providers, could degrade our ability to conduct our business, compromise the integrity of our products, platform and data, result in significant loss or unavailability of data and the theft of our intellectual property, damage our reputation, expose us to liability to third parties and require us to incur significant additional costs to maintain the security of our networks and data.</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upon our IT systems to conduct virtually all of our business operations, ranging from our internal operations and research and development activities to our marketing and sales efforts and communications with our customers and business partners. We have in the past and will in the future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or service provider misconduct or error, ransomware attacks, supply-chain attacks, software bugs, server malfunctions, software or hardware failures, loss or unavailability of data or other information technology assets, adware, telecommunications failures, earthquakes, fires, floods, natural disasters, and other similar threats.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Individuals or entities have in the past attempted and will in the future attempt to penetrate the security of our platform, or of our network or systems,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in magnitude generally, and cloud-based companies have been targeted in the past. In addition to threats from traditional computer hackers, malicious code, software vulnerabilities, supply chain attacks and vulnerabilities through our third-party partners, employees theft or misuse, password spraying, phishing, smishing, vishing,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cloud services), internal networks, our customers’ systems, our service providers’ networks, and the information that they store and process. Ransomware and cyber extortion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or reduce the negative impact of a ransomware attack, but we may be unwilling or unable to make such payments due to, for example, applicable laws or regulations prohibiting such payments. Because the techniques used to access, disrupt or sabotage devices, systems and networks change frequently and may not be recognized until launched against a target, we expect to be required to make further investments over time to protect data and infrastructure as cybersecurity threats develop, evolve and grow more complex over time. We may also be unable to anticipate these techniques, and we may not become aware in a timely manner of any security breach or incident, which could exacerbate any damage we experience.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upon our employees and contractors to appropriately handle confidential and sensitive data, including customer data, and to deploy our IT resources in a safe and secure manner that does not expose our network systems to security breaches or incidents or the loss, alteration, unavailability, or other unauthorized processing of data. We have been and expect to be subject to cybersecurity threats and incidents, including denial-of-service attacks, employee errors or individual attempts to gain unauthorized access to information systems. We also continue to incorporate AI solutions and features into our platform, which may result in security incidents or otherwise increase cybersecurity risks. Further, AI technologies may be used in connection with certain cybersecurity attacks, resulting in heightened risks of security breaches and incidents. Any data security incidents, including internal malfeasance or inadvertent disclosures by our employees or a third-party’s fraudulent inducement of our employees to disclose information, unauthorized access or usage, the introduction of viruses or other malicious code or any other breach or incident or disruption of our platform, systems, or networks or those of our service providers, could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corruption, unavailability, or other unauthorized processing of confidential information, and any such event, or the perception that it has occurred, may result in damage to our reputation, erosion of customer trust, loss of customers, litigation, regulatory investigations, fines, penalties and other liabilities. For example, in June and August 2022, we became aware that threat actors had conducted sophisticated social engineering campaigns against some of our employees after having obtained employee names and cell phone numbers from unknown sources. The attack identified in August 2022, which involved smishing text messages that purported to be from our IT department, resulted in the threat actor obtaining some of our employees’ credentials and access to certain data of approximately 209 customers out of our total customer base of approximately 270,000 at that time. We notified and worked with our affected customers. We also notified appropriate regulators and addressed their questions about the incident. We also took steps to remediate the incident, including enhancing our security training, improving our two factor authentication requirements, implementing additional layers of control within our VPN, reducing access to certain internal applications and tools, and increasing the refresh frequency for access to certain internal applications. Industry reports indicate that the threat actors also attacked other technology, telecommunication and cryptocurrency companies.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on various third-party service providers to operate our platform and deliver our products, including network service providers, internet service providers, telecommunications carriers, providers of cloud infrastructure and cloud communications, and third-party technology and intellectual property. Our service providers (or their sub-service providers) have in the past experienced, and may in the future experience, security breaches and incidents, including unauthorized access or inadvertent disclosures, that have exposed and may expose or make available to threat actors our data or that of our customers. Even when our systems are not compromised, if our service providers experience breaches or incidents that impact our data or our customers’ data, then our reputation, customer trust, business, results of operations and financial condition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are required to comply with laws and regulations that require us to maintain the security of personal information and we may have contractual and other legal obligations to notify customers, regulators, government agencies, impacted individuals or other relevant stakeholders of security breaches.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Consequences associated with such security incidents may include: government enforcement actions and other actions or proceedings (for example, investigations, audits, and inspections), and related fines, penalties, required remedial actions, or other obligations and liabilities; additional reporting requirements and/or oversight; restrictions on processing or transferring data (including personal data); claims, demands, and litigation (including class claims); indemnification obligations; monetary fund diversions; interruptions in our operations (including availability of data); financial loss and other similar harms. Actual and perceived security incidents and attendant consequences could also lead to negative publicity and reputational harm, may cause our customers to lose confidence in the effectiveness of our security measures and require us to expend significant capital and other resources to respond to and/or mitigate the security incident. Accordingly, if our cybersecurity measures or those of our service providers fail to protect against unauthorized access, attacks (which may include sophisticated cyberattacks), or if our employees or contractors compromise or mishandle data, then our reputation, customer trust, business, results of operations and financial condition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we maintain errors, omissions and cyber liability insurance policies covering certain security and privacy damages, we cannot be certain that our existing insurance coverage will continue to be available on acceptable terms or will be available, and in sufficient amounts, to cover the potentially significant losses that may result from a security incident or breach or that the insurer will not deny coverage as to any future claim.</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actual or perceived failure to comply with increasingly stringent laws, regulations and contractual obligations relating to privacy, data protection and data security could harm our reputation and subject us to significant fines and liability or loss of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customers are subject to numerous domestic (for example, the California Consumer Privacy Act (“CCPA”)) and foreign (for example, the General Data Protection Regulation (“GDPR”) in the European Union (“EU”)) privacy, data protection and data security laws and regulations that restrict the collection, use, disclosure and processing of personal information, including financial and health data. These laws and regulations are expanding globally, evolving, and being tested in courts, may result in increasing regulatory and public scrutiny of our practices relating to personal information and may increase our exposure to regulatory enforcement action, sanctions and litigation. The breadth and depth of changes in data protection obligations has required significant time and resources, including a review of our technology and systems currently in use against the requirements of GDPR.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CCPA (as amended by the California Privacy Rights Act of 2020) imposes obligations on businesses to which it applies. These obligations include, but are not limited to, providing specific disclosures in privacy notices and affording California residents (both consumers and employees) certain rights related to their personal information. The CCPA allows for statutory fines for noncompliance. Similar laws have been enacted in 18 other states with 7 laws currently in effect and the remainder becoming effective later in 2024, 2025 and 2026. Numerous other states, and the U.S. federal government, also have proposed general privacy legislation recently. Additionally, other states have proposed, and in certain cases enacted, other laws and regulations addressing privacy and data security, such as Washington’s My Health, My Data Act, which includes a private right of action. If we become subject to new privacy, data protection and data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an increasing number of laws, regulations, and industry standards apply to privacy, data protection and data security. For example, the GDPR, the United Kingdom’s General Data Protection Regulation and Data Protection Act 2018 (“UK GDPR”) and the new Swiss Federal Act on Data Protection, impose strict requirements for processing the personal information of individuals protected by the legislation, whether their data is processed within or outside the European Economic Area (“EEA”), the United Kingdom (“UK”) and Switzerland, respectively (such jurisdictions, collectively, “Europe”). For example, the GDPR imposes significant requirements regarding the processing of individuals’ personal information, including in relation to transparency, lawfulness of processing, individuals’ privacy rights, compliant contracting, data minimization, data breach notification, data re-usage, data retention, security of processing and international data transfers. Under the GDPR and UK GDPR, government regulators may impose temporary or definitive bans on data processing or data transfers, require a company to delete data, as well as impose significant fines, potentially ranging up to 20 million Euros under the GDPR, 17.5 million GBP under the UK GDPR, or 4% of a company’s worldwide revenue, whichever is higher. Further, individuals may initiate compensation claims or litigation related to our processing of their personal information. Other privacy laws in Europe impose strict requirements around marketing communications and the deployment of cookies on users’ devices. As another example, Brazil’s General Data Protection Law (Lei Geral de Proteção de Dados Pessoais, or “LGPD”) (Law No. 13,709/2018) may apply to our operations. The LGPD broadly regulates processing of personal information of individuals in Brazil and imposes compliance obligations and penalties comparable to those of the GDPR. Additionally, we expect an increase in the regulation of the use of AI and ML in products and services. For example, in Europe, the Artificial Intelligence Act (“AI Act”), once in force, will impose onerous obligations related to the development, placing on the market and use of AI-related systems. We may have to change our business practices to comply with obligations under these or other new and evolving regimes.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 For example, the EU’s Digital Services Act, Digital Markets Act and Data Act entered into force in 2024.</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Similarly, with our registration as an interconnected VoIP provider for certain products with the Federal Communications Commission (“FCC”), we also must comply with privacy laws associated with customer proprietary network information rules in the United States. If we fail or are perceived to have failed to maintain compliance with these requirements, we could be subject to regulatory audits or inquiries, civil and criminal penalties, fines and breach of contract claims, as well as reputational damage, which could impact the willingness of customers to do business with us.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legal obligations, our contractual obligations relating to privacy, data protection and data security have become increasingly stringent due to changes in laws and regulations and the expansion of our offerings. Certain privacy, data protection and data security laws, such as the GDPR and the CCPA, require our customers to impose specific contractual restrictions on their service providers. In addition, we support customer workloads that involve the processing of protected health information and are required to sign business associate agreements with customers that subject us to requirements under the federal Health Insurance Portability and Accountability Act of 1996, as amended by the Health Information Technology for Economic and Clinical Health Act of 2009, as well as state laws that govern health information.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actual or perceived failure to comply with laws, regulations, contractual commitments, or other actual or asserted obligations, including certain industry standards, regarding privacy, data protection and data security could lead to costly legal action, adverse publicity, significant liability, inability to process data, and decreased demand for our services, which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cumulative example of these risks, because our primary data processing facilities are in the United States, we have experienced hesitancy, reluctance, or refusal by European or multinational customers to continue to use our services due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risks posed as a result of the Court of Justice’s July 2020 ruling in the “Schrems II” case, as well as related guidance from regulators and enforcement action against Meta by the Irish Data Protection Commission. For example, absent appropriate safeguards or other circumstances, the GDPR and laws in Switzerland and the UK generally restrict the transfer of personal information to countries outside of the EEA, Switzerland and the UK such as the United States. On July 10, 2023, the European Commission adopted its adequacy decision for the EU-U.S. Data Privacy Framework. Based on this decision, personal information can flow from the EU to U.S. companies participating in the EU-U.S. Data Privacy Framework without having to put in place additional data protection safeguards. We are certified under the EU-U.S. Data Privacy Framework, the UK Extension to the EU-U.S. Data Privacy Framework, and the Swiss-U.S. Data Privacy Framework. If we cannot maintain a valid mechanism for cross-border data transfers, we and our customers may face increased exposure to regulatory actions, substantial fines, and injunctions against processing or transferring personal information from Europe or elsewhere. The inability to transfer personal information to the United States could significantly and negatively impact our business operations; limit our ability to collaborate with parties that are subject to data privacy and security laws; or require us to increase our personal information processing capabilities in Europe and/or elsewhere at significant expense. In addition, outside of Europe, other jurisdictions have proposed and enacted laws relating to cross-border data transfer or requiring personal information, or certain subcategories of personal information, to be stored in the jurisdiction of origin. If we are unable to increase our data processing capabilities and storage in Europe and other countries to limit or eliminate the need for data transfers out of Europe and other applicable countries quickly enough, and valid solutions for personal information transfers to the United States or other countries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across borders.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Evolving laws, regulations, and other actual and asserted obligations relating to privacy, data protection, and data security, as well as any new or evolving obligations relating to the use of AI and ML technologies, could reduce demand for our platform, increase our costs, impair our ability to grow our business, or restrict our ability to store and process data or, in some cases, impact our ability to offer our service in some locations and may subject us to liability. Further, in view of new or modified federal, state or foreign laws and regulations, industry standards, contractual obligations and other actual and asserted obligations, or any changes in their interpretation, we may find it necessary or desirable to fundamentally change our business activities and practices or to expend significant resources to modify our practices and platform and otherwise adapt to these changes. We may be unable to make such changes and modifications in a commercially reasonable manner or at all, and our ability to develop new products and features could be limited.</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could incur substantial costs in protecting or defending our intellectual property rights, and any failure to protect our intellectual property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protect our brand and the proprietary methods and technologies that we develop under patent and other intellectual property laws. We rely on a combination of patents, copyrights, trademarks, service marks, trade secret laws and other intellectual property laws, contractual provisions, and internal processes, procedures, and controls in an effort to establish, maintain, enforce, and protect our intellectual property and proprietary rights. However, the steps we take to protect our intellectual property may be inadequate. While we have been issued patents in the United States and other countries and have additional patent applications pending, we may be unable to obtain patent protection for the technology covered in our patent applications. In addition, any patents issued to us in the future may not provide us with competitive advantages or may be successfully challenged by third parties. Further, the laws of some countries do not protect intellectual property or proprietary rights to the same extent as the laws of the United States, and mechanisms for enforcement of such rights in some foreign countries may be inadequate. To the extent we expand our international activities, our exposure to unauthorized copying and use of our products and proprietary information may increase. Accordingly, despite our efforts, we may be unable to prevent third parties from infringing upon or misappropriating our technology and intellectual property.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in part, on contractual confidentiality obligations we impose on our business partners, employees, consultants, advisors, customers and others in our efforts to protect our proprietary technology, processes and methods. These obligations may not effectively prevent unauthorized disclosure or use of our confidential information, and it may be possible for unauthorized parties to copy or access our software or other proprietary technology or information, or to develop similar products independently without us having an adequate remedy for unauthorized use or disclosure of our confidential information. In addition, others may independently discover our trade secrets and proprietary information, and in these cases, we may not be able to assert any trade secret rights against those parties.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required to spend significant resources to monitor, enforce, maintain, and protect our intellectual property and proprietary rights. Litigation brought to protect and enforce our intellectual property or proprietary rights could be costly, time-consuming and distracting to management, result in a diversion of significant resources, or the narrowing or invalidation of portions of our intellectual property. Our efforts to enforce our intellectual property or proprietary rights may be met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defenses, counterclaims and countersuits attacking the validity and enforceability of such rights. Our failure to meaningfully protect our intellectual property and proprietary rights, could have an adverse effect on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been sued and may, in the future, be sued by third parties for alleged infringement of their intellectual or other proprietary rights, which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considerable patent and other intellectual property development activity in our industry. We may also introduce or acquire new products or technologies, including in areas where we historically have not participated, which could increase our exposure to intellectual property infringement claims brought by third parties. Our future success depends, in part, on not infringing the intellectual property or proprietary rights of others and we may be unaware of such rights that may cover some or all of our technology or intellectual property. We have from time to time been subject to claims that our products or platform and underlying technology are infringing upon third-party intellectual property or proprietary rights. We may be subject to such claims in the future and we may be found to be infringing upon such rights. Any claims or litigation could cause us to incur significant expenses (including settlement payments and costs associated with litigation) and, if successfully asserted against us, could require that we pay substantial damages or ongoing royalty payments, prevent us from offering our products, or require that we comply with other unfavorable terms.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agreements with customers and other third parties typically include indemnification or other provisions under which we agree to indemnify or are otherwise liable to them for losses suffered or incurred by them as a result of claims of intellectual property infringement. Although we typically limit our liability with respect to such obligations through such agreements, we may still incur substantial liability related to our indemnification obligations.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Regardless of the merits or ultimate outcome of any claims of infringement, misappropriation, or violation of intellectual or other proprietary rights that have been or may be brought against us or that we may bring against others, these types of claims, disputes, and lawsuits are time-consuming and expensive to resolve, divert management’s time and attention, and could harm our reputation. Litigation is inherently unpredictable and we cannot predict the timing, nature, controversy or outcome of disputes brought against us or assure you that the results of any of these actions will not have an adverse effect on our business, results of operations or financial condition.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use of open source software could negatively affect our ability to sell our products and subject us to possible litigation.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the source code for any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or have not, complied with the terms and conditions of the license for such open source software,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damage our reputation, give rise to increased scrutiny regarding our use of open source software, result in customer dissatisfaction and may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rely on technology and intellectual property of third parties, the loss of which could limit the functionality of our products and disrupt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technology and intellectual property licensed from third parties in certain of our products and our platform, and we expect to license additional third-party technology and intellectual property in the future. Licensed technology and intellectual property may not continue to be available on commercially reasonable terms, or at all. The loss of the right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and distribute third-party technology could limit the functionality of our products or platform and could require us to redesign our products or platform. In addition, if the third-party technology and intellectual property we use has errors, service outages, security vulnerabilities, or otherwise malfunctions, the functionality of our products and platform may be negatively impacted, our customers may experience outages or reduced service levels, and our business may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we outsource a substantial majority of our cloud infrastructure to Amazon Web Services (“AWS”), which hosts our products and platform. Our customers need to be able to reliably access our platform, without material interruption or degradation of performance. AWS runs its own platform that we access, and we are, therefore, vulnerable to service interruptions at AWS. We have experienced, and expect that we may experience interruptions, delays and outages in service and availability in the future due to a variety of factors, including infrastructure changes, human or software errors, website hosting disruptions and capacity constraints. Capacity constraints could be caused by a number of potential causes, including technical failures, natural disasters, public health epidemics or pandemics, fraud or security attacks. In addition, if our security, or that of AWS, is compromised, if our products, platform or customer data become unavailable, or if our users are unable to use our products within a reasonable amount of time or at all, any one of which may be due to circumstances beyond our control, then our business, results of operations and financial condition could be adversely affected. In some instances, we may encounter difficulties or otherwise not be able to identify the cause or causes of these performance problems within a period of time acceptable to our customers. It may become increasingly difficult to maintain and improve our platform performance and to troubleshoot performance issues, especially during peak usage times, as our products become more complex and the usage of our products increases. To the extent that we do not effectively address capacity constraints, either through AWS or alternative providers of cloud infrastructure, or through other factors that may result in interruptions, delays and outages in service and availability of our products and/or services, our business, results of operations and financial condition may be adversely affected. In addition, if Amazon.com, Inc. (“Amazon”) requires that we comply with unfavorable terms in order to continue our use of AWS or if Amazon implements any changes in its service levels for AWS, the changes may adversely affect our ability to meet our customers’ requirements, result in negative publicity which could harm our reputation and brand and may adversely affect the usage of our platform.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substantial majority of the services we use from AWS are for cloud-based reserve service capacity and, to a lesser extent, storage and other optimization offerings. AWS enables us to order and reserve service capacity in varying amounts and sizes distributed across multiple regions. We access AWS infrastructure through standard IP connectivity protocols. AWS provides us with computing and storage capacity pursuant to an agreement that continues until terminated by either party. AWS may terminate the agreement if we fail to cure a breach of the agreement within 30 days of our being notified of the breach and, in some cases, AWS may suspend the agreement immediately for cause upon notice. Although we expect that we could procure similar services from other third parties, if any of our arrangements with AWS are terminated, we could experience interruptions to our platform and encounter difficulties in our ability to make our products reliably accessible by customers, as well as delays and additional expenses in procuring, implementing, and transitioning to alternative cloud infrastructure services. Any of the above circumstances or events may harm our reputation, erode customer trust, cause customers to stop using or reduce their usage of our products, discourage customers from renewing their contracts,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The use of AI technologies in our platform and our business may not produce the desired benefits, and may result in increased liability, reputational harm, or other adverse consequences.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incorporate additional AI solutions and features into our platform and our business, and these solutions and features may become more important to our operations or to our future growth over time. We expect to rely on AI solutions and features to help drive future growth in our business, but there can be no assurance that we will realize the desired or anticipated benefits from AI. Our investments in AI solutions and features have and may continue to negatively impact our cost of revenue and gross margins until we are able to increase revenue enough to offset these investments. We may also fail to properly implement or market our AI solutions and features. Our competitors or other third parties may incorporate AI into their products, offerings, and solutions more quickly or more successfully than us, which could impair our ability to compete effectively and adversely affect our results of operations. Our ability to effectively implement and market our AI solutions and features will depend, in part, on our ability to attract and retain employees with AI expertise, and we expect significant competition for professionals with the skills and technical knowledge that we will require. Additionally, our offerings based on AI may expose us to additional claims, demands and proceedings by private parties and regulatory authorities and subject us to legal liability as well as brand and reputational harm. For example, our business, financial condition and results of operations may be adversely affected if content or recommendations that AI solutions or features assist in producing are or are alleged to be deficient, inaccurate, or biased, or if such content, recommendations, solutions, or features or their development or deployment (including the collection, use, or other processing of data used to train or create such AI solutions or features) are found to have or alleged to have infringed upon or misappropriated third-party intellectual property rights or violated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laws, regulations, or other actual or asserted legal or contractual obligations to which we are or may become subject. The legal, regulatory, and policy environments around AI are evolving rapidly, and we may become subject to new and evolving legal and other obligations. These and other developments may require us to make significant changes to our use of AI, including by limiting or restricting our use of AI, and which may require us to make significant changes to our policies and practices, which may necessitate expenditure of significant time, expense, and other resources. AI also presents emerging ethical issues, and if our use of AI becomes controversial, we may experience brand or reputational harm.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Related to Legal and Regulatory Matters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Certain of our products are subject to telecommunications-related regulations, and future legislative or regulatory actions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provider of communications products, we are subject to existing or potential FCC and state regulations relating to privacy, telecommunications, consumer protection and other requirements. In addition, the extension of telecommunications regulations to our non-interconnected VoIP services could result in additional federal and state regulatory obligations and taxes. We are also in discussions with certain jurisdictions regarding potential sales and other taxes for prior periods that we may owe. In the event any of these jurisdictions disagree with management’s assumptions and analysis, the assessment of our tax exposure could differ materially from management's current estimates, which may increase our costs of doing business and negatively affect the prices our customers pay for our services. If we do not comply with FCC rules and regulations, we could be subject to FCC enforcement actions, fines, loss of licenses and possibly restrictions on our ability to operate or offer certain of our products. For example, on January 25, 2023, we received a “cease-and-desist” letter from the FCC related to reported fraudulent traffic on our messaging platform. We subsequently removed the identified traffic. In response to written questions from the FCC, we sent a follow-up letter to the agency on February 10, 2023 detailing our fraud mitigation practices and various planned improvements to reduce future risks. There has been no further communication from the agency on this matter. Any enforcement action by the FCC, which may be a public process, would hurt our reputation in the industry, could erode customer trust, possibly impair our ability to sell our VoIP, other telecommunications products and/or other services to customers and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products are subject to a number of FCC regulations and laws that are administered by the FCC. Among others, we must comply (in whole or in part) with: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Communications Act of 1934, as amended, which regulates communications services and the provision of such services;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Telephone Consumer Protection Act, which limits the use of automatic dialing systems for calls and texts, artificial or prerecorded voice messages and fax machines;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Communications Assistance for Law Enforcement Act, which requires covered entities to assist law enforcement in undertaking electronic surveillance;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Pallone-Thune Telephone Robocall Abuse Criminal Enforcement and Deterrence Act (“TRACED”);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requirements to safeguard the privacy of certain customer information;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payment of annual FCC regulatory fees and contributions to FCC-administered funds based on our interstate and international revenues;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rules pertaining to access to our services by people with disabilities and contributions to the Telecommunications Relay Services fund.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Congress and the FCC are attempting to mitigate the prevalence of robocalls by requiring participation in a technical standard called Signature-based Handling of Asserted Information Using toKENs (“SHAKEN”) and Secure Telephone Identity Revisited (“STIR”) (together, “SHAKEN/STIR”), which allows voice carriers to authenticate caller ID, prohibiting malicious spoofing. The FCC has implemented orders and has open proceedings relating to robocalls and robotexts. While we do not currently expect the FCC to require more than the robocall and robotexting measures that we have started to implement, if the FCC were to implement new regulations or requirements that limited the types of customers allowed to use our platform or overly burdensome requirements for our customers, those actions could limit the customers that we are able to 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Similarly, 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National Institute of Standards and Technology issued a Secure Software Development Framework (SSDF) on September 30, 2021 and Software Supply Chain Security Guidance (incorporating the SSDF), on February 4, 2022, and on March 7, 2022, the Office of Management and Budget directed federal agencies to incorporate both documents into their software lifecycle and acquisitions practices. The Executive Order also may lead to the development of additional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internationally, we have become subject to telecommunications laws and regulations in the foreign countries where we offer our products. Internationally, we currently offer our products in more than 180 countries and territories.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international operations are subject to country-specific governmental regulation and related actions that have increased and will continue to increase our compliance costs or impact our products and platform or prevent us from offering or providing our products in certain countries. Moreover, the regulation of CPaaS companies like us is continuing to evolve internationally and many existing regulations may not fully contemplate the CPaaS business model or how they fit into the communications regulatory framework. As a result, interpretation and enforcement of regulations often involve significant uncertainties. In many countries, including those in the European Union,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provision of emergency services, provision of information to support emergency services and number portability as well as requirements to combat scams and fraud.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from time to time we implement Know-Your-Customer and/or Know-Your-Traffic related processes in the jurisdictions in which we operate, which may create friction for our customers, require management attention, and increase our compliance costs.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Moreover, certain of our products may be used by customers located in countries where voice and other forms of Internet Protocol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or if we use a local partner to provide services in a country and the local partner does not comply with applicable governmental regulations. Any such penalties or governmental action may be costly and may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or retain geographical, mobile, regional, local or toll-free numbers, or to effectively process requests to port such numbers in a timely manner due to industry regulations, our business and results of operations may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or of network service providers from whom we can provision Numbering Resources, such as offering these Numbering Resources with conditional minimum volume call level requirements, the cost of these Numbering Resources and the level of overall competitive demand for new Numbering Resources.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order to obtain allocations of, assign and retain Numbering Resources in the EU or certain other regions, we are often required to be licensed by local telecommunications regulatory authorities, some of which have been increasingly monitoring and regulating the categories of Numbering Resources that are eligible for provisioning to our customers, including restricting the use of types of numbers for particular use cases.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Due to our or our customers’ assignment and/or use of Numbering Resources in certain countries in a manner that may violate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forced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their limited availability, there are certain popular area code prefixes that we generally cannot obtain. Our inability to acquire or retain Numbering Resources for our operations may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Numbering Resources. It may become increasingly difficult to source larger quantities of Numbering Resources as we scale and we may need to pay higher costs for Numbering Resources, and Numbering Resources may become subject to more stringent regulation or conditions of usage such as the registration and on-going compliance requirements discussed above.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the fact that we depend on network service providers to transfer these numbers, a process that we do not control, and these network service providers may refuse or substantially delay the transfer of these numbers to us. Number portability is considered an important feature by many potential customers, and if we fail to reduce any related delays, then we may experience increased difficulty in acquiring new customers.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United States federal and state legislation and international laws impose certain obligations on the senders of commercial emails, which could minimize the effectiveness of our platform, and establish financial penalties for non-compliance, which could increase the costs of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Controlling the Assault of Non-Solicited Pornography and Marketing Act of 2003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Utah and Michigan prohibit the sending of email messages that advertise products or services that minors are prohibited by law from purchasing or that contain content harmful to minors to email addresses listed on specified child protection registries. Some portions of these 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customers’ and other users’ violation of our policies or other misuse of our platform to transmit unwanted, offensive or illegal messages, spam, phishing scams, and website links to harmful applications or for other fraudulent or illegal activity could damage our reputation, and we may face a risk of litigation and liability for illegal activities on our platform and unauthorized, inaccurate, or fraudulent information distributed via our platform.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(“TCPA”) restricts telemarketing and the use of automatic SMS text messages without explicit customer consent. TCPA violations can result in significant financial penalties, as businesses can incur penalties or criminal fines imposed by the FCC or be fined up to $1,500 per violation through private litigation or state attorneys general or other state actor enforcement. Class action suits are the most common method for private enforcement. This has resulted in civil claims against our company and requests for information through third-party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we could face direct liability.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Moreover, certain customers may use our platform to transmit unwanted,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in particular, our Acceptable Use Policy. For example, on January 25, 2023, we received a cease-and-desist letter from the FCC alleging that we were transmitting illegal robocall traffic that originated from an independent software vendor customer and their end user customer. In response, we suspended the customers’ accounts and sent the FCC a follow-up letter on February 10, 2023 detailing our fraud mitigation practices and various planned improvements to reduce future risks. There has been no further communication from the agency on this matter. Failure to respond appropriately to the FCC’s allegations could allow domestic carriers to begin blocking all voice traffic transmitting from our network. However,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Furthermore, enacting more stringent controls on our customers’ use of our platform to combat such violations of our Acceptable Use Policy could increase friction for our legitimate customers and decrease their use of our platform.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and other users’ promotion of their products and services through our platform might not comply with federal, state, and foreign laws or of contractual requirements imposed by carriers, such as the CTIA Shortcode Agreement, The Campaign Registry, and associated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 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If we are found liable for our customers’ or other users’ activities, we could be required to pay fines or penalties, redesign business methods or otherwise expend resources to remedy any damages caused by such actions and to avoid future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products may be subject to fraudulent usage, including but not limited to revenue share fraud, domestic traffic pumping, subscription fraud, premium text message scams and other fraudulent schemes.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cybersecurity breach of our customers’ systems could result in exposure of their authentication credentials, unauthorized access to their accounts or fraudulent calls on their accounts, any of which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Changes in laws and regulations related to the Internet or changes in the Internet infrastructure itself may diminish the demand for our products, and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legislative and regulatory landscape regarding the regulation of the Internet is subject to uncertainty. For example, in January 2018, the FCC released an order that repealed the “open Internet rules,” often known as “net neutrality,” which could affect the services used by us and our customers. In response to this decision California and a number of states implemented their own net neutrality rules which mirrored parts of the repealed federal regulations. In April 2024, the FCC voted to reinstate substantially all of the net neutrality rules that had been in place prior to the 2018 repeal. Those rules have temporarily been blocked and remain under review by a federal appeals court. In addition, the results of the 2024 presidential election may influence whether the FCC maintains, modifies or, again, repeals these net neutrality rules. If the net neutrality rules are repealed, we cannot predict whether internet service providers may increase fees, limit our users’ ability to access our platform or may make our platform a less attractive alternative compared to our competitors’ applications. In a related regulatory context, while the EU requires equal access to internet content, under its Digital Single Market initiative the EU may impose additional requirements that could increase our costs. If new FCC, EU, or other rules directly or inadvertently impose costs on online providers like our business, our expenses may rise. Were any of these outcomes to occur, our ability to retain existing users or attract new users may be impaired, our costs may increase, and our business may be significantly harmed.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Our global operations subject us to potential liability under export control, economic trade sanctions, anti-corruption, and other laws and regulations, and such violations could impair our ability to compete in international markets and could subject us to liability for compliance violations.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products and services may be subject to export control and economic sanctions laws and regulations, including the U.S. Export Administration Regulations, U.S. Customs regulations, and various economic and trade sanctions regulations administered by the U.S. Treasury Department’s Office of Foreign Assets Control as well as similar laws and regulations in other countries in which we do business. Exports of our products and the provision of our services must be made in compliance with these requirements. We take precautions to prevent our products and services from being provided in violation of such laws; however, we are aware of exports of certain of our products to a small number of persons and organizations that are the subject of U.S. sanctions or are located in countries or regions subject to U.S. sanctions.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Any change in trade protection laws, policies, export, sanctions and other regulatory requirements affecting trade and investments, shift in the enforcement or scope of existing regulations, or change in the countries, governments, persons or technologies targeted by such regulations,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also result in decreased use of our products and services, or in our decreased ability to export our products or provide our services to existing or prospective customers with international operations. Any decreased use of our products and services or limitations on our ability to export our products and provide our services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U.S. and foreign anti-corruption and anti-bribery laws, including the FCPA, the UK Bribery Act 2010, and other anti-corruption laws and regulations in the countries in which we conduct activities. Anti-corruption laws are interpreted broadly and generally prohibit companies, their employees, agents, representatives, business partners, and third-party intermediaries from directly or indirectly authorizing, offering, or providing, improper payments or things of value to recipients in the public or private sector, and also require that we maintain accurate books and records and adequate internal controls and compliance procedures designed to prevent violations. We sometimes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It is possible that our employees, agents, representatives, business partners or third-party intermediaries could fail to comply with our policies and applicable laws and regulations, for which we may ultimately be held responsible. Any allegations or violation of the FCPA or other applicable anti-bribery and anti-corruption laws and anti-money laundering laws could result in whistleblower complaints, sanctions, settlements, prosecution, enforcement actions, significant fines and penalties,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would likely result in a materially significant diversion of management’s attention and resources, significant defense costs and other professional fees.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The standards imposed by private entities and inbox service providers to regulate the use and delivery of email have in the past interfered with, and may continue to interfere with, the effectiveness of our platform and our ability to conduct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private entities and inbox service providers impose requirements that impact our and our customers’ ability to use and deliver email. For example,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 In the first quarter of 2024, Google and Yahoo began enforcing new email sender requirements aimed at sender authentication, including Domain-based Message Authentication, Reporting and Conformance (“DMARC”) record requirements. These requirements have required us to devote time and resources toward compliance efforts, and these or similar authentication requirements imposed in the future could result in reduced volumes for our email products and could adversely affect our business, financial condition and 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effectiveness of our platform and cancel their accounts. This, in turn, could harm our business, financial condition and results of operations.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Any legal proceedings or claims against us could be costly and time-consuming to defend and could harm our reputation regardless of the outcome.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or the costs to defend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 If we are required to make substantial payments or implement significant changes to our operations as a result of legal proceedings or claims, our business, results of operations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Related to Financial and Accounting Matters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face exposure to foreign currency exchange rate fluctuations, and such fluctuations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our international operations expand, our exposure to the effects of fluctuations in currency exchange rates grows. For example, global geopolitical events, such as the war in Ukraine and conflict in the Middle East, economic events, public health epidemics and pandemics such as the COVID-19 pandemic, trade tariff developments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 in the respective local currency. Fluctuations in the exchange rates between the U.S. dollar and other currencies could result in an increase to the U.S. dollar equivalent of such expenses.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common stock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have incurred substantial indebtedness that may decrease our business flexibility, access to capital, and/or increase our borrowing costs, and we may still incur substantially more debt, which may adversely affect our operations and financial results.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$1.0 billion of indebtedness outstanding (excluding intercompany indebtedness). Our indebtedness may: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 our ability to obtain additional financing to fund future working capital, capital expenditures, business opportunities, acquisitions or other general corporate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require a portion of our cash flows to be dedicated to debt service payments instead of other purposes, thereby reducing the amount of cash flows available for working capital, capital expenditures, business opportunities, acquisitions and other general corporate purposes;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 our vulnerability to adverse changes in general economic, industry and competitive conditions;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expose us to the risk of increased interest rates as certain of our borrowings, including borrowings under a future revolving credit facility, may be at variable rates of interest;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place us at a competitive disadvantage compared to our less leveraged competitors;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increase our cost of borrowing.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indenture which governs our 3.625% notes due 2029 (the “2029 Notes”) and our 3.875% notes due 2031 (the “2031 Notes,” and together with the 2029 Notes, the “Notes”) contains restrictive covenants that limit our ability to engage in activities that may be in our long-term best interest. Our failure to comply with those covenants could result in an event of default which, if not cured or waived, could permit the trustee, or permit the holders of the Notes to cause the trustee, to declare all or part of the Notes to be immediately due and payable or to exercise any remedies provided to the trustee and/or result in the acceleration of substantially all of our indebtedness. Any such event would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cash flows and capital resources are insufficient to fund our debt service obligations, we could face substantial liquidity problems and may be forced to reduce or delay investments and capital expenditures. We may be forced to sell assets, seek additional capital, or restructure or refinance our indebtedness, including the Notes. Our ability to restructure or refinance our debt will depend on, among other things, the condition of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and our financial condition. In the absence of such cash flows and resources, we could face substantial liquidity problems and might be required to dispose of material assets or operations to meet our debt service and other obligations. </w:t>
      </w:r>
    </w:p>
    <w:p>
      <w:pPr>
        <w:pStyle w:val="TextBody"/>
        <w:bidi w:val="0"/>
        <w:spacing w:lineRule="auto" w:line="276"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our business, and this capital might not be available on acceptable terms, if at all.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our ability to repurchase stock,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pStyle w:val="TextBody"/>
        <w:bidi w:val="0"/>
        <w:spacing w:lineRule="auto" w:line="276"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rely on assumptions and estimates to calculate certain of our business metrics, and real or perceived inaccuracies in such metrics could adversely affect our reputation and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assumptions and estimates to calculate certain of our business metrics that we disclose in SEC filings, press releases and other materials, such as Dollar-Based Net Expansion Rate. Our metrics are not based on any standardized industry methodology and are not necessarily calculated in the same manner or comparable to similarly titled measures presented by other companies. Similarly, our metrics may differ from estimates published by third parties or from similarly titled metrics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competitors due to differences in methodology. The numbers that we use to calculate our metrics are based on internal data and may be compiled from multiple systems, including systems that are organically developed or acquired through business combinations. While these numbers are based on what we believe to be reasonable judgments and estimates for the applicable period of measurement, there are inherent challenges in measuring our business or components of our business. We regularly review our processes for calculating these metrics, and from time to time we may make adjustments to improve their accuracy or relevance. Further, as our business develops, we may revise or cease reporting metrics if we determine that such metrics are no longer appropriate measures of our performance. If investors or analysts do not perceive our metrics to be accurate representations of our business, or if they disagree with our methodologies, or if we discover material inaccuracies in our metrics, our reputation, business, results of operations, and financial condition would be harmed.</w:t>
      </w:r>
    </w:p>
    <w:p>
      <w:pPr>
        <w:pStyle w:val="TextBody"/>
        <w:bidi w:val="0"/>
        <w:spacing w:lineRule="auto" w:line="276"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generally accepted accounting principles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pStyle w:val="TextBody"/>
        <w:bidi w:val="0"/>
        <w:spacing w:lineRule="auto" w:line="276"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Changes in accounting standards or practices may cause adverse, unexpected financial reporting fluctuations and affect our 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Accounting Standards Codification (“ASC”) 842, “Leases” that became effective January 1, 2019, had a material impact on our consolidated financial statements as described in detail in Note 2 to the consolidated financial statements included in our Annual Report on Form 10-K for the year ended December 31, 2020.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our goodwill or intangible assets become impaired, we may be required to record a significant charge to earnings.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review our intangible assets for impairment when events or changes in circumstances indicate the carrying value may not be recoverable. Goodwill is required to be tested for impairment at least annually. As of September 30, 2024, we carried a net $5.5 billion of goodwill and intangible assets. An adverse change in market conditions or significant changes in accounting conclusions, particularly if such changes have the effect of changing one of our critical assumptions or estimates, could result in a change to the estimation of fair value that could result in an impairment charge to our goodwill or intangible assets. For example, during the year ended December 31, 2023, we recorded an impairment of intangible assets related to Segment totaling approximately $285.7 million, as described in additional detail in Note 6 to our consolidated financial statements included in our Annual Report on Form 10-K filed with the SEC on February 27, 2024. Any such charges may adversely affect our results of operations.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common stock. In addition, if we are unable to continue to meet these requirements, we may not be able to remain listed on the New York Stock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Risks Related to Tax Matters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losses and certain other tax attributes to offset future taxable income and taxes may be subject to certain limitations.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U.S. federal, state and foreign net operating loss carryforwards (“NOLs”), of $3.4 billion, $2.6 billion and $1.0 billion, respectively. Utilization of these NOL carryforwards depends on our future taxable income, and there is risk that a portion of our existing NOLs could expire unused, and that even if we achieve profitability, the use of our unexpired NOLs would be subject to limitations, which could materially and adversely affect our operating results. U.S. federal NOLs generated in taxable years beginning before January 1, 2018, may be carried forward only 20 years to offset future taxable income, if any. Under current law, U.S. federal NOLs generated in taxable years beginning after December 31, 2017, can be carried forward indefinitely, but the deductibility of such U.S. federal NOLs in taxable years beginning after December 31, 2020, is limited to 80% of taxable income. It is uncertain if and to what extent various states will conform to federal law.</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Sections 382 and 383 of the Internal Revenue Code of 1986, as amended (the “Code”), and corresponding provisions of state law,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other pre-change tax attributes to offset post-change taxable income and taxes. Our existing NOLs and other tax attributes may be subject to limitations arising from previous ownership changes, and if we undergo an ownership change in the future, our ability to utilize NOLs could be further limited by Section 382 of the Code. Future changes in our stock ownership, some of which may be outside of our control, could result in an ownership change under Section 382 of the Code. In addition, at the state level, there may be periods during which the use of NOL carryforwards is suspended or otherwise limited, which could accelerate or permanently increase state taxes owed.</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may have additional tax liabilities, which could harm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arm’s-length pricing standards for our intercompany transactions and our indirect tax positions. In determining the adequacy of our provision for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operations in many tax jurisdictions throughout the United States and internationally. In many of these jurisdictions, non-income-based taxes, such as sales, value-added tax, goods and services tax, and telecommunications taxes, are assessed on our operations or our sales to customers. We are subject to indirect taxes, and may be subject to certain other taxes, in some of these jurisdictions. We collect certain telecommunications-based taxes from our customers in certain jurisdictions, and we expect to continue expanding the number of jurisdictions in which we will collect these taxes in the future.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states are also pursuing legislative expansion of the scope of goods and services that are subject to sales and similar taxes as well as the circumstances in which a vendor of goods and services must collect such taxes. Following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we have not billed or collected taxes in certain jurisdictions and, in accordance with GAAP, we have recorded a provision for our tax exposure in these jurisdictions when it is both probable that a liability has been incurred and the amount of the exposure can be reasonably estimated. We reserved $18.5 million and $19.7 million for domestic jurisdictions and jurisdictions outside of the United States, respectively, on our September 30, 2024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For example, in 2020, San Francisco City and County assessed us for $38.8 million in taxes, including interest and penalties, which exceeded the $11.5 million we had accrued for that assessment. We paid the full amount under protest and filed a lawsuit on May 27, 2021 contesting the assessment. We entered into a settlement agreement in November 2023 pursuant to which San Francisco paid us $18.0 million in settlement of our claims.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global operations and structure subject us to potentially adverse tax consequences.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Changes in, or interpretations of, tax rules and regulations or our tax positions may materially and adversely affect our income taxes.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both the United States and numerous international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subject to audit by various tax authorities. In accordance with GAAP, we recognize income tax benefits, net of required valuation allowances and accrual for uncertain tax positions. Although we believe our tax estimates are reasonable, the final determination of tax audits and any related litigation could be materially different than that which is reflected in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tax laws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For example, on August 16, 2022, the Inflation Reduction Act of 2022 was signed into law, with tax provisions primarily focused on implementing a 15% minimum tax on global adjusted financial statement income of corporations with adjusted financial statement income exceeding $1.0 billion,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for tax years beginning after December 31, 2022, and a 1% excise tax on share repurchases occurring after December 31, 2022, which resulted in an excise tax payable calculated on our 2023 and 2024 share repurchases.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another example, beginning in 2022, the Tax Cuts and Jobs Act of 2017 (the “Tax Act”) eliminates the option to deduct research and development expenditures currently and requires taxpayers to capitalize and amortize them over five or fifteen years pursuant to Section 174 of the Code, which impacts our effective tax rate and our cash tax liability in 2024. If the requirement to capitalize Section 174 expenditures is not modified by legislation, it will continue to impact our effective tax rate and our cash tax liability.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8, 2021, the Organization for Economic Co-operation and Development (the “OECD”) announced the OECD/G20 Inclusive Framework on Base Erosion and Profit Shifting (the “Framework”) which agreed to a two-pillar solution to address tax challenges arising from digitalization of the economy. On December 20, 2021, the OECD released Pillar Two Model Rules defining the global minimum tax rules, which contemplate a minimum tax rate of 15% for large multinational companies. On December 15, 2022, the European Union (EU) Member States formally adopted the EU’s Pillar Two Directive and various countries have enacted or are in the process of enacting legislation on these rules. These changes, when enacted by various countries in which we do business, may increase our taxes in these countries.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these and other areas in relation to international tax reform, including future actions taken by foreign governments in response to the Tax Act, could increase uncertainty and may adversely affect our tax rate and cash flow in future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The trading price of our common stock has been volatile and may continue to be volatile, and you could lose all or part of your investment.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has, and may continue to, fluctuate significantly in response to numerous factors, many of which are beyond our control and may not be related to our operating performance,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volatility in the trading prices and trading volumes of technology stocks;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sales of shares of our common stock by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issuance or repurchase of shares of our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short selling of our common stock or related derivatives;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financial estimates or the publication of reports or statements by securities analysts or investors who follow our company, or our failure to meet these estimates or the expectations of investors;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financial projections we may provide to the public, any changes in those projections or our failure to meet those projections;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by us or our competitors of new products or services;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public’s reaction to our press releases, other public announcements and filings with the SEC;</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laws, industry standards, regulations or regulatory enforcement in the United States or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actual or anticipated changes in our results of operations or fluctuations in our results of operations or actual or anticipated changes in our strategy or the organization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actual or anticipated developments in our business, our competitors’ businesses or the competitive landscape generally;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litigation involving us, our industry or both, or investigations by regulators into our operations or those of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announced or completed acquisitions of businesses, products, services or technologies by us or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accounting standards, policies, guidelines, interpretations or principles;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significant change in our management, including changes in the pace of hiring;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general political, social, economic and market conditions, in both domestic and foreign markets, including the effects of the war in Ukraine and conflict in the Middle East on the global economy, changes in the labor market, supply chain disruptions, heightened inflation or interest rates, instability and volatility in the banking and financial services sector, and slow or negative growth of our markets.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Substantial future sales of shares of our common stock could cause the market price of our common stock to decline.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decline as a result of substantial sales of our common stock, particularly sales by our directors, executive officers and significant stockholders, or the perception in the market that holders of a large number of shares intend to sell their shares. Additionally, the shares of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may not realize the anticipated long-term stockholder value of our share repurchase programs, and any failure to repurchase our common stock after we have announced our intention to do so may negatively impact our stock price.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our board of directors authorized the repurchase of up to $1.0 billion of our common stock from time to time through a share repurchase program. In March 2024, our board of directors authorized an additional $2.0 billion share repurchase program. Through September 30, 2024, we have repurchased $2.6 billion of our common stock on the open market under this program, such that up to $412.0 million remained available for repurchase as of September 30, 2024. Under our share repurchase programs, we may make repurchases of stock through a variety of methods, including open share market purchases, privately negotiated purchases, entering into one or more confirmations or other contractual arrangements with a financial institution counterparty to effectuate one or more accelerated stock repurchase contracts, forward purchase contracts or similar derivative instruments, Dutch auction tender offers, or through a combination of any of the foregoing, in accordance with applicable federal securities laws. Our share repurchase programs terminate at 11:59 pm Pacific Time on December 31, 2024, do not obligate us to repurchase any specific number of shares, and may be suspended at any time at our discretion and without prior notice. The timing and amount of any repurchases, if any, will be subject to liquidity, stock price, market and economic conditions, compliance with applicable legal requirements such as Delaware surplus and solvency tests and other relevant factors. Any failure to repurchase stock after we have announced our intention to do so may negatively impact our reputation and investor confidence in us and may negatively impact our stock price.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existence of our share repurchase programs could cause our stock price to be higher than it otherwise would be and could potentially reduce the market liquidity for our stock. Although our share repurchase programs are intended to enhance long-term stockholder value, there is no assurance that it will do so because the market price of our common stock may decline below the levels at which we repurchase shares, and short-term stock price fluctuations could reduce the effectiveness of the program.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Repurchasing our common stock reduces the amount of cash we have available to fund working capital, capital expenditures, strategic acquisitions or business opportunities, and other general corporate purposes, and we may fail to realize the anticipated long-term stockholder value of any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change their recommendations regarding our common stock adversely, the trading price of our common stock and trading volume could decline.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is influenced by the research and reports that securities or industry analysts may publish about us, our business, our market or our competitors. If any of the analysts who cover us change their recommendation regarding our common stock adversely, or provide more favorable relative recommendations about our competitors, the trading price of our common stock would likely decline. If any analyst who covers us were to cease coverage of our company or fail to regularly publish reports on us, we could lose visibility in the financial markets, which in turn could cause the trading price of our common stock or trading volume to decline.</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certificate of incorporation and bylaws, as well as provisions of Delaware law, could impair a takeover attempt.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bylaws and Delaware law contain provisions which could have the effect of rendering more difficult, delaying, or preventing an acquisition deemed undesirable by our board of directors. Among other things, our certificate of incorporation and bylaws include provisions: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authorizing “blank check” preferred stock, which could be issued by our board of directors without stockholder approval and may contain voting, liquidation, dividend and other rights superior to our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limiting the liability of, and providing indemnification to, our directors and officers;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limiting the ability of our stockholders to call and bring business before special meetings;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providing that our board of directors is classified into three classes of directors with staggered three-year terms;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prohibiting stockholder action by written consent, instead requiring all stockholder actions to be taken at a meeting of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requiring advance notice of stockholder proposals for business to be conducted at meetings of our stockholders and for nominations of candidates for election to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controlling the procedures for the conduct and scheduling of board of directors and stockholder meetings;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or prevent hostile takeovers and changes in control or changes in our management.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provision of our certificate of incorporation,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bylaws provide that the Court of Chancery of the State of Delaware is the exclusive forum for the following types of actions or proceedings under Delaware statutory or common law:</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derivative action or proceeding brought on our behalf;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action asserting a breach of fiduciary duty owed by our directors, officers, employees or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any action asserting a claim against us arising under the Delaware General Corporation Law; and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action asserting a claim against us that is governed by the internal-affairs doctrine (the “Delaware Forum Provision”).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bylaws to be inapplicable or unenforceable in an action, we may incur additional costs associated with resolving the dispute in other jurisdictions, which could seriously harm our business.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do not expect to declare any dividends in the foreseeable future.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paid dividends and we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the risks of pandemics, earthquakes, fire, floods and other natural catastrophic events, and to interruption by man-made problems such as power disruptions, computer viruses, data security breaches, terrorism or war.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operations are subject to interruption by natural disasters, flooding, fire, power shortages, public health epidemics or pandemics,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such as the war in Ukraine and conflict in the Middle East, could cause disruptions in our or our customers’ businesses, national economies or the world economy as a whole.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reputation and/or business could be negatively impacted by ESG matters and/or our reporting of such matters.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is an increasing focus from regulators, certain investors, and other stakeholders concerning ESG matters, both in the United States and internationally. We communicate certain ESG-related initiatives, goals, and/or commitments regarding environmental matters, diversity, responsible sourcing and social investments, and other matters in our annual Impact and DEI Report, on our website, in our filings with the SEC, and elsewhere. These initiatives, goals, or commitments could be difficult to achieve and costly to implement. We could fail to achieve, or be perceived to fail to achieve, our ESG-related initiatives, goals, or commitments. In addition, we could be criticized for the timing, scope or nature of these initiatives, goals, or commitments, or for any revisions to them. To the extent that our required and voluntary disclosures about ESG matters increase, we could be criticized for the accuracy, adequacy, or completeness of such disclosures. Our actual or perceived failure to achieve our ESG-related initiatives, goals, or commitments could negatively impact our reputation, result in ESG-focused investors not purchasing and holding our stock, or otherwise materially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2. </w:t>
      </w:r>
      <w:r>
        <w:rPr>
          <w:rFonts w:ascii="Times New Roman;sans-serif" w:hAnsi="Times New Roman;sans-serif"/>
          <w:b/>
          <w:i/>
          <w:color w:val="000000"/>
          <w:sz w:val="20"/>
        </w:rPr>
        <w:t>Unregistered Sales of Equity Securities and Use of Proceeds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2024, we issued 22,102 shares of our common stock to an independent donor advised fund to further our Twilio.org philanthropic goals. The shares were “restricted securities” for purposes of Rule 144 under the Securities Act, and had an aggregate fair market value on the date of donation of $1.3 million. The foregoing transaction did not involve any underwriters, any underwriting discounts or commissions, or any public offering. We believe the offer, sale and issuance of the above shares were exempt from registration under the Securities Act by virtue of Section 4(a)(2) of the Securities Act because the issuance of the shares did not involve a public offering. </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share repurchase activity for the three months ended September 30, 2024:</w:t>
      </w:r>
    </w:p>
    <w:tbl>
      <w:tblPr>
        <w:tblW w:w="10205" w:type="dxa"/>
        <w:jc w:val="left"/>
        <w:tblInd w:w="0" w:type="dxa"/>
        <w:tblLayout w:type="fixed"/>
        <w:tblCellMar>
          <w:top w:w="28" w:type="dxa"/>
          <w:left w:w="28" w:type="dxa"/>
          <w:bottom w:w="28" w:type="dxa"/>
          <w:right w:w="28" w:type="dxa"/>
        </w:tblCellMar>
      </w:tblPr>
      <w:tblGrid>
        <w:gridCol w:w="460"/>
        <w:gridCol w:w="243"/>
        <w:gridCol w:w="247"/>
        <w:gridCol w:w="109"/>
        <w:gridCol w:w="109"/>
        <w:gridCol w:w="109"/>
        <w:gridCol w:w="486"/>
        <w:gridCol w:w="443"/>
        <w:gridCol w:w="445"/>
        <w:gridCol w:w="109"/>
        <w:gridCol w:w="109"/>
        <w:gridCol w:w="109"/>
        <w:gridCol w:w="279"/>
        <w:gridCol w:w="792"/>
        <w:gridCol w:w="155"/>
        <w:gridCol w:w="109"/>
        <w:gridCol w:w="109"/>
        <w:gridCol w:w="109"/>
        <w:gridCol w:w="109"/>
        <w:gridCol w:w="109"/>
        <w:gridCol w:w="768"/>
        <w:gridCol w:w="741"/>
        <w:gridCol w:w="743"/>
        <w:gridCol w:w="109"/>
        <w:gridCol w:w="109"/>
        <w:gridCol w:w="109"/>
        <w:gridCol w:w="673"/>
        <w:gridCol w:w="1449"/>
        <w:gridCol w:w="377"/>
        <w:gridCol w:w="109"/>
        <w:gridCol w:w="109"/>
        <w:gridCol w:w="160"/>
      </w:tblGrid>
      <w:tr>
        <w:trPr/>
        <w:tc>
          <w:tcPr>
            <w:tcW w:w="4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 Number of Shares Purchased</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 Price Paid Per Share</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 Number of Shares Purchased as Part of Publicly Announced Plans or Programs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Approximate Dollar Value of Shares that May Yet Be Purchased Under the Plans or Programs</w:t>
            </w:r>
            <w:r>
              <w:rPr>
                <w:rFonts w:ascii="Times New Roman;sans-serif" w:hAnsi="Times New Roman;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July 1 - 31,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4,892 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4,892 </w:t>
            </w:r>
          </w:p>
        </w:tc>
        <w:tc>
          <w:tcPr>
            <w:tcW w:w="7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August 1 - 31,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3,085 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3,085 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September 1 - 30,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2,666 </w:t>
            </w:r>
          </w:p>
        </w:tc>
        <w:tc>
          <w:tcPr>
            <w:tcW w:w="7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10,643 </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10,643 </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ans-serif" w:hAnsi="Times New Roman;sans-serif"/>
          <w:b w:val="false"/>
          <w:i/>
          <w:color w:val="000000"/>
          <w:sz w:val="18"/>
        </w:rPr>
      </w:pPr>
      <w:r>
        <w:rPr>
          <w:rFonts w:ascii="Times New Roman;sans-serif" w:hAnsi="Times New Roman;sans-serif"/>
          <w:b w:val="false"/>
          <w:i/>
          <w:color w:val="000000"/>
          <w:sz w:val="18"/>
        </w:rPr>
        <w:t>_____________________________</w:t>
      </w:r>
    </w:p>
    <w:p>
      <w:pPr>
        <w:pStyle w:val="TextBody"/>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 February 2023, our board of directors authorized a share repurchase program to repurchase up to $1.0 billion in aggregate value of our Class A common stock. In March 2024, our board of directors authorized an additional $2.0 billion share repurchase program. Repurchases under these programs can be made through open market transactions, privately negotiated transactions and other means in compliance with applicable federal securities laws, including through Rule 10b5-1 plans. We have discretion in determining the conditions under which shares may be repurchased from time to time. The programs expire on December 31, 2024. Refer to Note 13 — Stockholders' Equity in Part I, Item 1, of this Quarterly Report on Form 10-Q for additional information related to share repurchases.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ans-serif" w:hAnsi="Times New Roman;sans-serif"/>
          <w:b/>
          <w:color w:val="000000"/>
          <w:sz w:val="20"/>
        </w:rPr>
        <w:t xml:space="preserve">Item 5. </w:t>
      </w:r>
      <w:r>
        <w:rPr>
          <w:rFonts w:ascii="Times New Roman;sans-serif" w:hAnsi="Times New Roman;sans-serif"/>
          <w:b/>
          <w:i/>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Securities Trading Plans of Directors and Executive Officers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none of our directors or officers adopted or terminated a “Rule 10b5-1 trading arrangement” or a “non-Rule 10b5-1 trading arrangement”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Item 6.     </w:t>
      </w:r>
      <w:r>
        <w:rPr>
          <w:rFonts w:ascii="Times New Roman;sans-serif" w:hAnsi="Times New Roman;sans-serif"/>
          <w:b/>
          <w:i/>
          <w:color w:val="000000"/>
          <w:sz w:val="20"/>
        </w:rPr>
        <w:t>Exhibits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documents listed in the Exhibit Index of this Quarterly Report on Form 10-Q are incorporated by reference or are filed with this Quarterly Report on Form 10-Q, in each case as indicated therein.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2"/>
        <w:gridCol w:w="231"/>
        <w:gridCol w:w="232"/>
        <w:gridCol w:w="109"/>
        <w:gridCol w:w="109"/>
        <w:gridCol w:w="109"/>
        <w:gridCol w:w="1778"/>
        <w:gridCol w:w="1598"/>
        <w:gridCol w:w="1603"/>
        <w:gridCol w:w="109"/>
        <w:gridCol w:w="109"/>
        <w:gridCol w:w="109"/>
        <w:gridCol w:w="170"/>
        <w:gridCol w:w="170"/>
        <w:gridCol w:w="171"/>
        <w:gridCol w:w="109"/>
        <w:gridCol w:w="109"/>
        <w:gridCol w:w="109"/>
        <w:gridCol w:w="247"/>
        <w:gridCol w:w="235"/>
        <w:gridCol w:w="183"/>
        <w:gridCol w:w="109"/>
        <w:gridCol w:w="109"/>
        <w:gridCol w:w="109"/>
        <w:gridCol w:w="210"/>
        <w:gridCol w:w="210"/>
        <w:gridCol w:w="211"/>
        <w:gridCol w:w="109"/>
        <w:gridCol w:w="109"/>
        <w:gridCol w:w="109"/>
        <w:gridCol w:w="396"/>
        <w:gridCol w:w="296"/>
        <w:gridCol w:w="367"/>
      </w:tblGrid>
      <w:tr>
        <w:trPr/>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INDEX</w:t>
            </w:r>
          </w:p>
        </w:tc>
      </w:tr>
      <w:tr>
        <w:trPr/>
        <w:tc>
          <w:tcPr>
            <w:tcW w:w="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80"/>
                  <w:sz w:val="16"/>
                  <w:u w:val="single"/>
                </w:rPr>
                <w:t>A</w:t>
              </w:r>
            </w:hyperlink>
            <w:hyperlink r:id="rId4">
              <w:r>
                <w:rPr>
                  <w:rStyle w:val="InternetLink"/>
                  <w:rFonts w:ascii="Times New Roman;sans-serif" w:hAnsi="Times New Roman;sans-serif"/>
                  <w:b w:val="false"/>
                  <w:color w:val="000080"/>
                  <w:sz w:val="16"/>
                  <w:u w:val="single"/>
                </w:rPr>
                <w:t>mended Chief Ex</w:t>
              </w:r>
            </w:hyperlink>
            <w:hyperlink r:id="rId5">
              <w:r>
                <w:rPr>
                  <w:rStyle w:val="InternetLink"/>
                  <w:rFonts w:ascii="Times New Roman;sans-serif" w:hAnsi="Times New Roman;sans-serif"/>
                  <w:b w:val="false"/>
                  <w:color w:val="000080"/>
                  <w:sz w:val="16"/>
                  <w:u w:val="single"/>
                </w:rPr>
                <w:t>ecutive Officer Severa</w:t>
              </w:r>
            </w:hyperlink>
            <w:hyperlink r:id="rId6">
              <w:r>
                <w:rPr>
                  <w:rStyle w:val="InternetLink"/>
                  <w:rFonts w:ascii="Times New Roman;sans-serif" w:hAnsi="Times New Roman;sans-serif"/>
                  <w:b w:val="false"/>
                  <w:color w:val="000080"/>
                  <w:sz w:val="16"/>
                  <w:u w:val="single"/>
                </w:rPr>
                <w:t>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October 4, 2024</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80"/>
                  <w:sz w:val="16"/>
                  <w:u w:val="single"/>
                </w:rPr>
                <w:t>A</w:t>
              </w:r>
            </w:hyperlink>
            <w:hyperlink r:id="rId8">
              <w:r>
                <w:rPr>
                  <w:rStyle w:val="InternetLink"/>
                  <w:rFonts w:ascii="Times New Roman;sans-serif" w:hAnsi="Times New Roman;sans-serif"/>
                  <w:b w:val="false"/>
                  <w:color w:val="000080"/>
                  <w:sz w:val="16"/>
                  <w:u w:val="single"/>
                </w:rPr>
                <w:t>mended Senior Executive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October 4, 2024</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40930xex311.htm">
              <w:r>
                <w:rPr>
                  <w:rStyle w:val="InternetLink"/>
                  <w:rFonts w:ascii="Times New Roman;sans-serif" w:hAnsi="Times New Roman;sans-serif"/>
                  <w:b w:val="false"/>
                  <w:color w:val="0000FF"/>
                  <w:sz w:val="16"/>
                  <w:u w:val="single"/>
                </w:rPr>
                <w:t>Certification of the Chief Executive Officer pursuant to Exchange Act Rules 13a-14(a) or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40930xex312.htm">
              <w:r>
                <w:rPr>
                  <w:rStyle w:val="InternetLink"/>
                  <w:rFonts w:ascii="Times New Roman;sans-serif" w:hAnsi="Times New Roman;sans-serif"/>
                  <w:b w:val="false"/>
                  <w:color w:val="0000FF"/>
                  <w:sz w:val="16"/>
                  <w:u w:val="single"/>
                </w:rPr>
                <w:t>Certification of the Chief Financial Officer pursuant to Exchange Act Rules 13a-14(a) or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40930xex321.htm">
              <w:r>
                <w:rPr>
                  <w:rStyle w:val="InternetLink"/>
                  <w:rFonts w:ascii="Times New Roman;sans-serif" w:hAnsi="Times New Roman;sans-serif"/>
                  <w:b w:val="false"/>
                  <w:color w:val="0000FF"/>
                  <w:sz w:val="16"/>
                  <w:u w:val="single"/>
                </w:rPr>
                <w:t>Certification of the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Furnished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with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__________________________________________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Indicates a management contract or compensatory plan or arrangement.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as amended, the registrant has duly caused this report to be signed on its behalf by the undersigned thereunto duly authorized. </w:t>
      </w:r>
    </w:p>
    <w:tbl>
      <w:tblPr>
        <w:tblW w:w="6715" w:type="dxa"/>
        <w:jc w:val="center"/>
        <w:tblInd w:w="0" w:type="dxa"/>
        <w:tblLayout w:type="fixed"/>
        <w:tblCellMar>
          <w:top w:w="28" w:type="dxa"/>
          <w:left w:w="28" w:type="dxa"/>
          <w:bottom w:w="28" w:type="dxa"/>
          <w:right w:w="28" w:type="dxa"/>
        </w:tblCellMar>
      </w:tblPr>
      <w:tblGrid>
        <w:gridCol w:w="494"/>
        <w:gridCol w:w="434"/>
        <w:gridCol w:w="436"/>
        <w:gridCol w:w="109"/>
        <w:gridCol w:w="109"/>
        <w:gridCol w:w="109"/>
        <w:gridCol w:w="1469"/>
        <w:gridCol w:w="1469"/>
        <w:gridCol w:w="2086"/>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TWILIO INC.</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31,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KHOZEMA Z. SHIPCHANDLER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Khozema Z. Shipchandler</w:t>
            </w:r>
          </w:p>
          <w:p>
            <w:pPr>
              <w:pStyle w:val="TableContents"/>
              <w:bidi w:val="0"/>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Director and Chief Executive Officer (Principal Executive Officer)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31,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AIDAN VIGGIANO</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Aidan Viggiano</w:t>
            </w:r>
          </w:p>
          <w:p>
            <w:pPr>
              <w:pStyle w:val="TableContents"/>
              <w:bidi w:val="0"/>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 (Principal Accounting and Financial Officer)</w:t>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 RULE 13a-14(a) OR 15d-14(a)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SECURITIES EXCHANGE ACT OF 1934,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SARBANES-OXLEY ACT OF 2002</w:t>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Khozema Z. Shipchandler, certify that: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1.</w:t>
      </w:r>
      <w:r>
        <w:rPr>
          <w:rFonts w:ascii="Times New Roman;sans-serif" w:hAnsi="Times New Roman;sans-serif"/>
          <w:b w:val="false"/>
          <w:color w:val="000000"/>
          <w:sz w:val="18"/>
        </w:rPr>
        <w:t>I have reviewed this Quarterly Report on Form 10-Q of Twilio Inc.;</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(a)</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(b)</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(c)</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(d)</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(a)</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(b)</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October 31, 2024</w:t>
      </w:r>
    </w:p>
    <w:tbl>
      <w:tblPr>
        <w:tblW w:w="4181" w:type="dxa"/>
        <w:jc w:val="left"/>
        <w:tblInd w:w="0" w:type="dxa"/>
        <w:tblLayout w:type="fixed"/>
        <w:tblCellMar>
          <w:top w:w="28" w:type="dxa"/>
          <w:left w:w="28" w:type="dxa"/>
          <w:bottom w:w="28" w:type="dxa"/>
          <w:right w:w="28" w:type="dxa"/>
        </w:tblCellMar>
      </w:tblPr>
      <w:tblGrid>
        <w:gridCol w:w="1380"/>
        <w:gridCol w:w="1213"/>
        <w:gridCol w:w="1216"/>
        <w:gridCol w:w="109"/>
        <w:gridCol w:w="109"/>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RULE 13a-14(a) OR 15d-14(a)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SECURITIES EXCHANGE ACT OF 1934,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Aidan Viggiano, certify that: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1.</w:t>
      </w:r>
      <w:r>
        <w:rPr>
          <w:rFonts w:ascii="Times New Roman;sans-serif" w:hAnsi="Times New Roman;sans-serif"/>
          <w:b w:val="false"/>
          <w:color w:val="000000"/>
          <w:sz w:val="18"/>
        </w:rPr>
        <w:t>I have reviewed this Quarterly Report on Form 10-Q of Twilio Inc.;</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(a)</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(b)</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(c)</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(d)</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(a)</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(b)</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October 31, 2024</w:t>
      </w:r>
    </w:p>
    <w:tbl>
      <w:tblPr>
        <w:tblW w:w="5366" w:type="dxa"/>
        <w:jc w:val="left"/>
        <w:tblInd w:w="0" w:type="dxa"/>
        <w:tblLayout w:type="fixed"/>
        <w:tblCellMar>
          <w:top w:w="28" w:type="dxa"/>
          <w:left w:w="28" w:type="dxa"/>
          <w:bottom w:w="28" w:type="dxa"/>
          <w:right w:w="28" w:type="dxa"/>
        </w:tblCellMar>
      </w:tblPr>
      <w:tblGrid>
        <w:gridCol w:w="1810"/>
        <w:gridCol w:w="1587"/>
        <w:gridCol w:w="1597"/>
        <w:gridCol w:w="109"/>
        <w:gridCol w:w="109"/>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 (Principal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CHIEF EXECUTIVE OFFICER AND CHIEF FINANCIAL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 set forth in Rule 13a-14(b) of the Securities Exchange Act of 1934, as amended, (the “Exchange Act”) and Section 1350 of Chapter 63 of Title 18 of the United States Code (18 U.S.C. §1350), as adopted pursuant to §906 of the Sarbanes-Oxley Act of 2002, Khozema Z. Shipchandler, Chief Executive Officer of Twilio Inc. (the “Company”), and Aidan Viggiano, Chief Financial Officer of the Company, each hereby certifies that, to the best of their knowledge:</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1.</w:t>
      </w:r>
      <w:r>
        <w:rPr>
          <w:rFonts w:ascii="Times New Roman;sans-serif" w:hAnsi="Times New Roman;sans-serif"/>
          <w:b w:val="false"/>
          <w:color w:val="000000"/>
          <w:sz w:val="18"/>
        </w:rPr>
        <w:t>The Company’s Quarterly Report on Form 10-Q for the quarter ended September 30, 2024, to which this Certification is attached as Exhibit 32.1 (the “Periodic Report”), fully complies with the requirements of Section 13(a) or Section 15(d) of the Exchange Act; and</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2.</w:t>
      </w:r>
      <w:r>
        <w:rPr>
          <w:rFonts w:ascii="Times New Roman;sans-serif" w:hAnsi="Times New Roman;sans-serif"/>
          <w:b w:val="false"/>
          <w:color w:val="000000"/>
          <w:sz w:val="18"/>
        </w:rPr>
        <w:t>The information contained in the Periodic Report fairly presents, in all material respects, the financial condition and results of operations of the Company.</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October 31, 2024 </w:t>
      </w:r>
    </w:p>
    <w:tbl>
      <w:tblPr>
        <w:tblW w:w="5367" w:type="dxa"/>
        <w:jc w:val="center"/>
        <w:tblInd w:w="0" w:type="dxa"/>
        <w:tblLayout w:type="fixed"/>
        <w:tblCellMar>
          <w:top w:w="28" w:type="dxa"/>
          <w:left w:w="28" w:type="dxa"/>
          <w:bottom w:w="28" w:type="dxa"/>
          <w:right w:w="28" w:type="dxa"/>
        </w:tblCellMar>
      </w:tblPr>
      <w:tblGrid>
        <w:gridCol w:w="1810"/>
        <w:gridCol w:w="1591"/>
        <w:gridCol w:w="1594"/>
        <w:gridCol w:w="109"/>
        <w:gridCol w:w="109"/>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 (Principal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47669/000144766924000159/exhibit101twilioincamended.htm" TargetMode="External"/><Relationship Id="rId4" Type="http://schemas.openxmlformats.org/officeDocument/2006/relationships/hyperlink" Target="https://www.sec.gov/Archives/edgar/data/1447669/000144766924000159/exhibit101twilioincamended.htm" TargetMode="External"/><Relationship Id="rId5" Type="http://schemas.openxmlformats.org/officeDocument/2006/relationships/hyperlink" Target="https://www.sec.gov/Archives/edgar/data/1447669/000144766924000159/exhibit101twilioincamended.htm" TargetMode="External"/><Relationship Id="rId6" Type="http://schemas.openxmlformats.org/officeDocument/2006/relationships/hyperlink" Target="https://www.sec.gov/Archives/edgar/data/1447669/000144766924000159/exhibit101twilioincamended.htm" TargetMode="External"/><Relationship Id="rId7" Type="http://schemas.openxmlformats.org/officeDocument/2006/relationships/hyperlink" Target="https://www.sec.gov/Archives/edgar/data/1447669/000144766924000159/exhibit102twilioincamended.htm" TargetMode="External"/><Relationship Id="rId8" Type="http://schemas.openxmlformats.org/officeDocument/2006/relationships/hyperlink" Target="https://www.sec.gov/Archives/edgar/data/1447669/000144766924000159/exhibit102twilioincamended.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50617</Words>
  <Characters>287449</Characters>
  <CharactersWithSpaces>336020</CharactersWithSpaces>
  <Paragraphs>3724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