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p>
      <w:pPr>
        <w:pStyle w:val="TextBody"/>
        <w:bidi w:val="0"/>
        <w:spacing w:lineRule="auto" w:line="288" w:before="160" w:after="283"/>
        <w:jc w:val="center"/>
        <w:rPr/>
      </w:pPr>
      <w:r>
        <w:rPr>
          <w:rFonts w:ascii="Times New Roman;serif" w:hAnsi="Times New Roman;serif"/>
          <w:b/>
          <w:color w:val="000000"/>
          <w:sz w:val="26"/>
        </w:rPr>
        <w:t>FORM 10-Q</w:t>
      </w:r>
      <w:r>
        <w:rPr>
          <w:color w:val="000000"/>
        </w:rPr>
        <w:t xml:space="preserve">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tbl>
      <w:tblPr>
        <w:tblW w:w="9810" w:type="dxa"/>
        <w:jc w:val="center"/>
        <w:tblInd w:w="0" w:type="dxa"/>
        <w:tblLayout w:type="fixed"/>
        <w:tblCellMar>
          <w:top w:w="28" w:type="dxa"/>
          <w:left w:w="28" w:type="dxa"/>
          <w:bottom w:w="28" w:type="dxa"/>
          <w:right w:w="28" w:type="dxa"/>
        </w:tblCellMar>
      </w:tblPr>
      <w:tblGrid>
        <w:gridCol w:w="141"/>
        <w:gridCol w:w="124"/>
        <w:gridCol w:w="126"/>
        <w:gridCol w:w="2759"/>
        <w:gridCol w:w="2759"/>
        <w:gridCol w:w="390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2025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8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001-37806</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p>
      <w:pPr>
        <w:pStyle w:val="TextBody"/>
        <w:bidi w:val="0"/>
        <w:spacing w:before="80" w:after="283"/>
        <w:jc w:val="center"/>
        <w:rPr/>
      </w:pPr>
      <w:r>
        <w:rPr/>
        <w:drawing>
          <wp:inline distT="0" distB="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TWILIO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26-2574840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101 Spear Street, Fifth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California 94105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(415) 390-2337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w:t>
      </w:r>
    </w:p>
    <w:p>
      <w:pPr>
        <w:pStyle w:val="TextBody"/>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847" w:type="dxa"/>
        <w:jc w:val="center"/>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TWLO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12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July 25, 2025, 153,433,606 shares of the registrant’s Class A common stock were outstanding.</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40" w:after="283"/>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No</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9"/>
        <w:gridCol w:w="246"/>
        <w:gridCol w:w="247"/>
        <w:gridCol w:w="2961"/>
        <w:gridCol w:w="2961"/>
        <w:gridCol w:w="2967"/>
        <w:gridCol w:w="158"/>
        <w:gridCol w:w="158"/>
        <w:gridCol w:w="228"/>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01c892e8b54e6a9f4bc7312d868411_16">
              <w:r>
                <w:rPr>
                  <w:rStyle w:val="InternetLink"/>
                  <w:rFonts w:ascii="Times New Roman;serif" w:hAnsi="Times New Roman;serif"/>
                  <w:b/>
                  <w:color w:val="0000FF"/>
                  <w:sz w:val="18"/>
                  <w:u w:val="single"/>
                </w:rPr>
                <w:t>PART I - FINANCIAL INFORMATION</w:t>
              </w:r>
            </w:hyperlink>
          </w:p>
        </w:tc>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0">
              <w:r>
                <w:rPr>
                  <w:rStyle w:val="InternetLink"/>
                  <w:rFonts w:ascii="Times New Roman;serif" w:hAnsi="Times New Roman;serif"/>
                  <w:b w:val="false"/>
                  <w:color w:val="0000FF"/>
                  <w:sz w:val="20"/>
                  <w:u w:val="single"/>
                </w:rPr>
                <w:t>Item 1.</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0">
              <w:r>
                <w:rPr>
                  <w:rStyle w:val="InternetLink"/>
                  <w:rFonts w:ascii="Times New Roman;serif" w:hAnsi="Times New Roman;serif"/>
                  <w:b w:val="false"/>
                  <w:color w:val="0000FF"/>
                  <w:sz w:val="20"/>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0">
              <w:r>
                <w:rPr>
                  <w:rStyle w:val="InternetLink"/>
                  <w:rFonts w:ascii="Times New Roman;serif" w:hAnsi="Times New Roman;serif"/>
                  <w:b w:val="false"/>
                  <w:color w:val="0000FF"/>
                  <w:sz w:val="20"/>
                  <w:u w:val="single"/>
                </w:rPr>
                <w:t>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3">
              <w:r>
                <w:rPr>
                  <w:rStyle w:val="InternetLink"/>
                  <w:rFonts w:ascii="Times New Roman;serif" w:hAnsi="Times New Roman;serif"/>
                  <w:b w:val="false"/>
                  <w:color w:val="000080"/>
                  <w:sz w:val="20"/>
                  <w:u w:val="single"/>
                </w:rPr>
                <w:t xml:space="preserve">Condensed Consolidated Balance Sheets as of </w:t>
              </w:r>
            </w:hyperlink>
            <w:hyperlink w:anchor="ic701c892e8b54e6a9f4bc7312d868411_43">
              <w:r>
                <w:rPr>
                  <w:rStyle w:val="InternetLink"/>
                  <w:rFonts w:ascii="Times New Roman;serif" w:hAnsi="Times New Roman;serif"/>
                  <w:b w:val="false"/>
                  <w:color w:val="000080"/>
                  <w:sz w:val="20"/>
                  <w:u w:val="single"/>
                </w:rPr>
                <w:t>June 30</w:t>
              </w:r>
            </w:hyperlink>
            <w:hyperlink w:anchor="ic701c892e8b54e6a9f4bc7312d868411_43">
              <w:r>
                <w:rPr>
                  <w:rStyle w:val="InternetLink"/>
                  <w:rFonts w:ascii="Times New Roman;serif" w:hAnsi="Times New Roman;serif"/>
                  <w:b w:val="false"/>
                  <w:color w:val="000080"/>
                  <w:sz w:val="20"/>
                  <w:u w:val="single"/>
                </w:rPr>
                <w:t>, 2025 and December 31,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3">
              <w:r>
                <w:rPr>
                  <w:rStyle w:val="InternetLink"/>
                  <w:rFonts w:ascii="Times New Roman;serif" w:hAnsi="Times New Roman;serif"/>
                  <w:b w:val="false"/>
                  <w:color w:val="0000FF"/>
                  <w:sz w:val="20"/>
                  <w:u w:val="single"/>
                </w:rPr>
                <w:t>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6">
              <w:r>
                <w:rPr>
                  <w:rStyle w:val="InternetLink"/>
                  <w:rFonts w:ascii="Times New Roman;serif" w:hAnsi="Times New Roman;serif"/>
                  <w:b w:val="false"/>
                  <w:color w:val="000080"/>
                  <w:sz w:val="20"/>
                  <w:u w:val="single"/>
                </w:rPr>
                <w:t xml:space="preserve">Condensed Consolidated Statements of Operations for the Three </w:t>
              </w:r>
            </w:hyperlink>
            <w:hyperlink w:anchor="ic701c892e8b54e6a9f4bc7312d868411_46">
              <w:r>
                <w:rPr>
                  <w:rStyle w:val="InternetLink"/>
                  <w:rFonts w:ascii="Times New Roman;serif" w:hAnsi="Times New Roman;serif"/>
                  <w:b w:val="false"/>
                  <w:color w:val="000080"/>
                  <w:sz w:val="20"/>
                  <w:u w:val="single"/>
                </w:rPr>
                <w:t xml:space="preserve">and Six </w:t>
              </w:r>
            </w:hyperlink>
            <w:hyperlink w:anchor="ic701c892e8b54e6a9f4bc7312d868411_46">
              <w:r>
                <w:rPr>
                  <w:rStyle w:val="InternetLink"/>
                  <w:rFonts w:ascii="Times New Roman;serif" w:hAnsi="Times New Roman;serif"/>
                  <w:b w:val="false"/>
                  <w:color w:val="000080"/>
                  <w:sz w:val="20"/>
                  <w:u w:val="single"/>
                </w:rPr>
                <w:t xml:space="preserve">Months Ended </w:t>
              </w:r>
            </w:hyperlink>
            <w:hyperlink w:anchor="ic701c892e8b54e6a9f4bc7312d868411_46">
              <w:r>
                <w:rPr>
                  <w:rStyle w:val="InternetLink"/>
                  <w:rFonts w:ascii="Times New Roman;serif" w:hAnsi="Times New Roman;serif"/>
                  <w:b w:val="false"/>
                  <w:color w:val="000080"/>
                  <w:sz w:val="20"/>
                  <w:u w:val="single"/>
                </w:rPr>
                <w:t>June 30</w:t>
              </w:r>
            </w:hyperlink>
            <w:hyperlink w:anchor="ic701c892e8b54e6a9f4bc7312d868411_46">
              <w:r>
                <w:rPr>
                  <w:rStyle w:val="InternetLink"/>
                  <w:rFonts w:ascii="Times New Roman;serif" w:hAnsi="Times New Roman;serif"/>
                  <w:b w:val="false"/>
                  <w:color w:val="000080"/>
                  <w:sz w:val="20"/>
                  <w:u w:val="single"/>
                </w:rPr>
                <w:t>,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6">
              <w:r>
                <w:rPr>
                  <w:rStyle w:val="InternetLink"/>
                  <w:rFonts w:ascii="Times New Roman;serif" w:hAnsi="Times New Roman;serif"/>
                  <w:b w:val="false"/>
                  <w:color w:val="0000FF"/>
                  <w:sz w:val="20"/>
                  <w:u w:val="single"/>
                </w:rPr>
                <w:t>4</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9">
              <w:r>
                <w:rPr>
                  <w:rStyle w:val="InternetLink"/>
                  <w:rFonts w:ascii="Times New Roman;serif" w:hAnsi="Times New Roman;serif"/>
                  <w:b w:val="false"/>
                  <w:color w:val="000080"/>
                  <w:sz w:val="20"/>
                  <w:u w:val="single"/>
                </w:rPr>
                <w:t xml:space="preserve">Condensed Consolidated Statements of Comprehensive Income (Loss) for the Three </w:t>
              </w:r>
            </w:hyperlink>
            <w:hyperlink w:anchor="ic701c892e8b54e6a9f4bc7312d868411_49">
              <w:r>
                <w:rPr>
                  <w:rStyle w:val="InternetLink"/>
                  <w:rFonts w:ascii="Times New Roman;serif" w:hAnsi="Times New Roman;serif"/>
                  <w:b w:val="false"/>
                  <w:color w:val="000080"/>
                  <w:sz w:val="20"/>
                  <w:u w:val="single"/>
                </w:rPr>
                <w:t xml:space="preserve">and Six </w:t>
              </w:r>
            </w:hyperlink>
            <w:hyperlink w:anchor="ic701c892e8b54e6a9f4bc7312d868411_49">
              <w:r>
                <w:rPr>
                  <w:rStyle w:val="InternetLink"/>
                  <w:rFonts w:ascii="Times New Roman;serif" w:hAnsi="Times New Roman;serif"/>
                  <w:b w:val="false"/>
                  <w:color w:val="000080"/>
                  <w:sz w:val="20"/>
                  <w:u w:val="single"/>
                </w:rPr>
                <w:t xml:space="preserve">Months Ended </w:t>
              </w:r>
            </w:hyperlink>
            <w:hyperlink w:anchor="ic701c892e8b54e6a9f4bc7312d868411_49">
              <w:r>
                <w:rPr>
                  <w:rStyle w:val="InternetLink"/>
                  <w:rFonts w:ascii="Times New Roman;serif" w:hAnsi="Times New Roman;serif"/>
                  <w:b w:val="false"/>
                  <w:color w:val="000080"/>
                  <w:sz w:val="20"/>
                  <w:u w:val="single"/>
                </w:rPr>
                <w:t>June 30</w:t>
              </w:r>
            </w:hyperlink>
            <w:hyperlink w:anchor="ic701c892e8b54e6a9f4bc7312d868411_49">
              <w:r>
                <w:rPr>
                  <w:rStyle w:val="InternetLink"/>
                  <w:rFonts w:ascii="Times New Roman;serif" w:hAnsi="Times New Roman;serif"/>
                  <w:b w:val="false"/>
                  <w:color w:val="000080"/>
                  <w:sz w:val="20"/>
                  <w:u w:val="single"/>
                </w:rPr>
                <w:t>,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49">
              <w:r>
                <w:rPr>
                  <w:rStyle w:val="InternetLink"/>
                  <w:rFonts w:ascii="Times New Roman;serif" w:hAnsi="Times New Roman;serif"/>
                  <w:b w:val="false"/>
                  <w:color w:val="0000FF"/>
                  <w:sz w:val="20"/>
                  <w:u w:val="single"/>
                </w:rPr>
                <w:t>5</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2">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c701c892e8b54e6a9f4bc7312d868411_52">
              <w:r>
                <w:rPr>
                  <w:rStyle w:val="InternetLink"/>
                  <w:rFonts w:ascii="Times New Roman;serif" w:hAnsi="Times New Roman;serif"/>
                  <w:b w:val="false"/>
                  <w:color w:val="000080"/>
                  <w:sz w:val="20"/>
                  <w:u w:val="single"/>
                </w:rPr>
                <w:t xml:space="preserve">and Six </w:t>
              </w:r>
            </w:hyperlink>
            <w:hyperlink w:anchor="ic701c892e8b54e6a9f4bc7312d868411_52">
              <w:r>
                <w:rPr>
                  <w:rStyle w:val="InternetLink"/>
                  <w:rFonts w:ascii="Times New Roman;serif" w:hAnsi="Times New Roman;serif"/>
                  <w:b w:val="false"/>
                  <w:color w:val="000080"/>
                  <w:sz w:val="20"/>
                  <w:u w:val="single"/>
                </w:rPr>
                <w:t xml:space="preserve">Months Ended </w:t>
              </w:r>
            </w:hyperlink>
            <w:hyperlink w:anchor="ic701c892e8b54e6a9f4bc7312d868411_52">
              <w:r>
                <w:rPr>
                  <w:rStyle w:val="InternetLink"/>
                  <w:rFonts w:ascii="Times New Roman;serif" w:hAnsi="Times New Roman;serif"/>
                  <w:b w:val="false"/>
                  <w:color w:val="000080"/>
                  <w:sz w:val="20"/>
                  <w:u w:val="single"/>
                </w:rPr>
                <w:t>June</w:t>
              </w:r>
            </w:hyperlink>
            <w:hyperlink w:anchor="ic701c892e8b54e6a9f4bc7312d868411_52">
              <w:r>
                <w:rPr>
                  <w:rStyle w:val="InternetLink"/>
                  <w:rFonts w:ascii="Times New Roman;serif" w:hAnsi="Times New Roman;serif"/>
                  <w:b w:val="false"/>
                  <w:color w:val="000080"/>
                  <w:sz w:val="20"/>
                  <w:u w:val="single"/>
                </w:rPr>
                <w:t xml:space="preserve"> 3</w:t>
              </w:r>
            </w:hyperlink>
            <w:hyperlink w:anchor="ic701c892e8b54e6a9f4bc7312d868411_52">
              <w:r>
                <w:rPr>
                  <w:rStyle w:val="InternetLink"/>
                  <w:rFonts w:ascii="Times New Roman;serif" w:hAnsi="Times New Roman;serif"/>
                  <w:b w:val="false"/>
                  <w:color w:val="000080"/>
                  <w:sz w:val="20"/>
                  <w:u w:val="single"/>
                </w:rPr>
                <w:t>0</w:t>
              </w:r>
            </w:hyperlink>
            <w:hyperlink w:anchor="ic701c892e8b54e6a9f4bc7312d868411_52">
              <w:r>
                <w:rPr>
                  <w:rStyle w:val="InternetLink"/>
                  <w:rFonts w:ascii="Times New Roman;serif" w:hAnsi="Times New Roman;serif"/>
                  <w:b w:val="false"/>
                  <w:color w:val="000080"/>
                  <w:sz w:val="20"/>
                  <w:u w:val="single"/>
                </w:rPr>
                <w:t>,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2">
              <w:r>
                <w:rPr>
                  <w:rStyle w:val="InternetLink"/>
                  <w:rFonts w:ascii="Times New Roman;serif" w:hAnsi="Times New Roman;serif"/>
                  <w:b w:val="false"/>
                  <w:color w:val="0000FF"/>
                  <w:sz w:val="20"/>
                  <w:u w:val="single"/>
                </w:rPr>
                <w:t>6</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5">
              <w:r>
                <w:rPr>
                  <w:rStyle w:val="InternetLink"/>
                  <w:rFonts w:ascii="Times New Roman;serif" w:hAnsi="Times New Roman;serif"/>
                  <w:b w:val="false"/>
                  <w:color w:val="000080"/>
                  <w:sz w:val="20"/>
                  <w:u w:val="single"/>
                </w:rPr>
                <w:t xml:space="preserve">Condensed Consolidated Statements of Cash Flows for the </w:t>
              </w:r>
            </w:hyperlink>
            <w:hyperlink w:anchor="ic701c892e8b54e6a9f4bc7312d868411_55">
              <w:r>
                <w:rPr>
                  <w:rStyle w:val="InternetLink"/>
                  <w:rFonts w:ascii="Times New Roman;serif" w:hAnsi="Times New Roman;serif"/>
                  <w:b w:val="false"/>
                  <w:color w:val="000080"/>
                  <w:sz w:val="20"/>
                  <w:u w:val="single"/>
                </w:rPr>
                <w:t>Six</w:t>
              </w:r>
            </w:hyperlink>
            <w:hyperlink w:anchor="ic701c892e8b54e6a9f4bc7312d868411_55">
              <w:r>
                <w:rPr>
                  <w:rStyle w:val="InternetLink"/>
                  <w:rFonts w:ascii="Times New Roman;serif" w:hAnsi="Times New Roman;serif"/>
                  <w:b w:val="false"/>
                  <w:color w:val="000080"/>
                  <w:sz w:val="20"/>
                  <w:u w:val="single"/>
                </w:rPr>
                <w:t xml:space="preserve"> Months Ended </w:t>
              </w:r>
            </w:hyperlink>
            <w:hyperlink w:anchor="ic701c892e8b54e6a9f4bc7312d868411_55">
              <w:r>
                <w:rPr>
                  <w:rStyle w:val="InternetLink"/>
                  <w:rFonts w:ascii="Times New Roman;serif" w:hAnsi="Times New Roman;serif"/>
                  <w:b w:val="false"/>
                  <w:color w:val="000080"/>
                  <w:sz w:val="20"/>
                  <w:u w:val="single"/>
                </w:rPr>
                <w:t>June 30</w:t>
              </w:r>
            </w:hyperlink>
            <w:hyperlink w:anchor="ic701c892e8b54e6a9f4bc7312d868411_55">
              <w:r>
                <w:rPr>
                  <w:rStyle w:val="InternetLink"/>
                  <w:rFonts w:ascii="Times New Roman;serif" w:hAnsi="Times New Roman;serif"/>
                  <w:b w:val="false"/>
                  <w:color w:val="000080"/>
                  <w:sz w:val="20"/>
                  <w:u w:val="single"/>
                </w:rPr>
                <w:t>, 2025 and 2024</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5">
              <w:r>
                <w:rPr>
                  <w:rStyle w:val="InternetLink"/>
                  <w:rFonts w:ascii="Times New Roman;serif" w:hAnsi="Times New Roman;serif"/>
                  <w:b w:val="false"/>
                  <w:color w:val="0000FF"/>
                  <w:sz w:val="20"/>
                  <w:u w:val="single"/>
                </w:rPr>
                <w:t>10</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8">
              <w:r>
                <w:rPr>
                  <w:rStyle w:val="InternetLink"/>
                  <w:rFonts w:ascii="Times New Roman;serif" w:hAnsi="Times New Roman;serif"/>
                  <w:b w:val="false"/>
                  <w:color w:val="0000FF"/>
                  <w:sz w:val="20"/>
                  <w:u w:val="single"/>
                </w:rPr>
                <w:t>Notes to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8">
              <w:r>
                <w:rPr>
                  <w:rStyle w:val="InternetLink"/>
                  <w:rFonts w:ascii="Times New Roman;serif" w:hAnsi="Times New Roman;serif"/>
                  <w:b w:val="false"/>
                  <w:color w:val="0000FF"/>
                  <w:sz w:val="20"/>
                  <w:u w:val="single"/>
                </w:rPr>
                <w:t>11</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193">
              <w:r>
                <w:rPr>
                  <w:rStyle w:val="InternetLink"/>
                  <w:rFonts w:ascii="Times New Roman;serif" w:hAnsi="Times New Roman;serif"/>
                  <w:b w:val="false"/>
                  <w:color w:val="0000FF"/>
                  <w:sz w:val="20"/>
                  <w:u w:val="single"/>
                </w:rPr>
                <w:t>Item 2.</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19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193">
              <w:r>
                <w:rPr>
                  <w:rStyle w:val="InternetLink"/>
                  <w:rFonts w:ascii="Times New Roman;serif" w:hAnsi="Times New Roman;serif"/>
                  <w:b w:val="false"/>
                  <w:color w:val="0000FF"/>
                  <w:sz w:val="20"/>
                  <w:u w:val="single"/>
                </w:rPr>
                <w:t>26</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41">
              <w:r>
                <w:rPr>
                  <w:rStyle w:val="InternetLink"/>
                  <w:rFonts w:ascii="Times New Roman;serif" w:hAnsi="Times New Roman;serif"/>
                  <w:b w:val="false"/>
                  <w:color w:val="0000FF"/>
                  <w:sz w:val="20"/>
                  <w:u w:val="single"/>
                </w:rPr>
                <w:t>Item 3.</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41">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41">
              <w:r>
                <w:rPr>
                  <w:rStyle w:val="InternetLink"/>
                  <w:rFonts w:ascii="Times New Roman;serif" w:hAnsi="Times New Roman;serif"/>
                  <w:b w:val="false"/>
                  <w:color w:val="0000FF"/>
                  <w:sz w:val="20"/>
                  <w:u w:val="single"/>
                </w:rPr>
                <w:t>42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44">
              <w:r>
                <w:rPr>
                  <w:rStyle w:val="InternetLink"/>
                  <w:rFonts w:ascii="Times New Roman;serif" w:hAnsi="Times New Roman;serif"/>
                  <w:b w:val="false"/>
                  <w:color w:val="0000FF"/>
                  <w:sz w:val="20"/>
                  <w:u w:val="single"/>
                </w:rPr>
                <w:t>Item 4.</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44">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44">
              <w:r>
                <w:rPr>
                  <w:rStyle w:val="InternetLink"/>
                  <w:rFonts w:ascii="Times New Roman;serif" w:hAnsi="Times New Roman;serif"/>
                  <w:b w:val="false"/>
                  <w:color w:val="0000FF"/>
                  <w:sz w:val="20"/>
                  <w:u w:val="single"/>
                </w:rPr>
                <w:t>43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01c892e8b54e6a9f4bc7312d868411_250">
              <w:r>
                <w:rPr>
                  <w:rStyle w:val="InternetLink"/>
                  <w:rFonts w:ascii="Times New Roman;serif" w:hAnsi="Times New Roman;serif"/>
                  <w:b/>
                  <w:color w:val="0000FF"/>
                  <w:sz w:val="18"/>
                  <w:u w:val="single"/>
                </w:rPr>
                <w:t>PART II - OTHER INFORMATION</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53">
              <w:r>
                <w:rPr>
                  <w:rStyle w:val="InternetLink"/>
                  <w:rFonts w:ascii="Times New Roman;serif" w:hAnsi="Times New Roman;serif"/>
                  <w:b w:val="false"/>
                  <w:color w:val="0000FF"/>
                  <w:sz w:val="20"/>
                  <w:u w:val="single"/>
                </w:rPr>
                <w:t>Item 1.</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53">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53">
              <w:r>
                <w:rPr>
                  <w:rStyle w:val="InternetLink"/>
                  <w:rFonts w:ascii="Times New Roman;serif" w:hAnsi="Times New Roman;serif"/>
                  <w:b w:val="false"/>
                  <w:color w:val="0000FF"/>
                  <w:sz w:val="20"/>
                  <w:u w:val="single"/>
                </w:rPr>
                <w:t>43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56">
              <w:r>
                <w:rPr>
                  <w:rStyle w:val="InternetLink"/>
                  <w:rFonts w:ascii="Times New Roman;serif" w:hAnsi="Times New Roman;serif"/>
                  <w:b w:val="false"/>
                  <w:color w:val="0000FF"/>
                  <w:sz w:val="20"/>
                  <w:u w:val="single"/>
                </w:rPr>
                <w:t>Item 1A.</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56">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56">
              <w:r>
                <w:rPr>
                  <w:rStyle w:val="InternetLink"/>
                  <w:rFonts w:ascii="Times New Roman;serif" w:hAnsi="Times New Roman;serif"/>
                  <w:b w:val="false"/>
                  <w:color w:val="0000FF"/>
                  <w:sz w:val="20"/>
                  <w:u w:val="single"/>
                </w:rPr>
                <w:t>43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80">
              <w:r>
                <w:rPr>
                  <w:rStyle w:val="InternetLink"/>
                  <w:rFonts w:ascii="Times New Roman;serif" w:hAnsi="Times New Roman;serif"/>
                  <w:b w:val="false"/>
                  <w:color w:val="0000FF"/>
                  <w:sz w:val="20"/>
                  <w:u w:val="single"/>
                </w:rPr>
                <w:t>Item 2.</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80">
              <w:r>
                <w:rPr>
                  <w:rStyle w:val="InternetLink"/>
                  <w:rFonts w:ascii="Times New Roman;serif" w:hAnsi="Times New Roman;serif"/>
                  <w:b w:val="false"/>
                  <w:color w:val="0000FF"/>
                  <w:sz w:val="20"/>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80">
              <w:r>
                <w:rPr>
                  <w:rStyle w:val="InternetLink"/>
                  <w:rFonts w:ascii="Times New Roman;serif" w:hAnsi="Times New Roman;serif"/>
                  <w:b w:val="false"/>
                  <w:color w:val="0000FF"/>
                  <w:sz w:val="20"/>
                  <w:u w:val="single"/>
                </w:rPr>
                <w:t>76</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83">
              <w:r>
                <w:rPr>
                  <w:rStyle w:val="InternetLink"/>
                  <w:rFonts w:ascii="Times New Roman;serif" w:hAnsi="Times New Roman;serif"/>
                  <w:b w:val="false"/>
                  <w:color w:val="0000FF"/>
                  <w:sz w:val="20"/>
                  <w:u w:val="single"/>
                </w:rPr>
                <w:t>Item 5.</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83">
              <w:r>
                <w:rPr>
                  <w:rStyle w:val="InternetLink"/>
                  <w:rFonts w:ascii="Times New Roman;serif" w:hAnsi="Times New Roman;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283">
              <w:r>
                <w:rPr>
                  <w:rStyle w:val="InternetLink"/>
                  <w:rFonts w:ascii="Times New Roman;serif" w:hAnsi="Times New Roman;serif"/>
                  <w:b w:val="false"/>
                  <w:color w:val="0000FF"/>
                  <w:sz w:val="20"/>
                  <w:u w:val="single"/>
                </w:rPr>
                <w:t>76</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44">
              <w:r>
                <w:rPr>
                  <w:rStyle w:val="InternetLink"/>
                  <w:rFonts w:ascii="Times New Roman;serif" w:hAnsi="Times New Roman;serif"/>
                  <w:b w:val="false"/>
                  <w:color w:val="0000FF"/>
                  <w:sz w:val="20"/>
                  <w:u w:val="single"/>
                </w:rPr>
                <w:t>Item 6.</w:t>
              </w:r>
            </w:hyperlink>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44">
              <w:r>
                <w:rPr>
                  <w:rStyle w:val="InternetLink"/>
                  <w:rFonts w:ascii="Times New Roman;serif" w:hAnsi="Times New Roman;serif"/>
                  <w:b w:val="false"/>
                  <w:color w:val="0000FF"/>
                  <w:sz w:val="20"/>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44">
              <w:r>
                <w:rPr>
                  <w:rStyle w:val="InternetLink"/>
                  <w:rFonts w:ascii="Times New Roman;serif" w:hAnsi="Times New Roman;serif"/>
                  <w:b w:val="false"/>
                  <w:color w:val="0000FF"/>
                  <w:sz w:val="20"/>
                  <w:u w:val="single"/>
                </w:rPr>
                <w:t>77</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53">
              <w:r>
                <w:rPr>
                  <w:rStyle w:val="InternetLink"/>
                  <w:rFonts w:ascii="Times New Roman;serif" w:hAnsi="Times New Roman;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01c892e8b54e6a9f4bc7312d868411_553">
              <w:r>
                <w:rPr>
                  <w:rStyle w:val="InternetLink"/>
                  <w:rFonts w:ascii="Times New Roman;serif" w:hAnsi="Times New Roman;serif"/>
                  <w:b w:val="false"/>
                  <w:color w:val="0000FF"/>
                  <w:sz w:val="20"/>
                  <w:u w:val="single"/>
                </w:rPr>
                <w:t>77</w:t>
              </w:r>
            </w:hyperlink>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343" w:type="dxa"/>
        <w:jc w:val="center"/>
        <w:tblInd w:w="0" w:type="dxa"/>
        <w:tblLayout w:type="fixed"/>
        <w:tblCellMar>
          <w:top w:w="28" w:type="dxa"/>
          <w:left w:w="28" w:type="dxa"/>
          <w:bottom w:w="28" w:type="dxa"/>
          <w:right w:w="28" w:type="dxa"/>
        </w:tblCellMar>
      </w:tblPr>
      <w:tblGrid>
        <w:gridCol w:w="1400"/>
        <w:gridCol w:w="1222"/>
        <w:gridCol w:w="1232"/>
        <w:gridCol w:w="109"/>
        <w:gridCol w:w="109"/>
        <w:gridCol w:w="109"/>
        <w:gridCol w:w="200"/>
        <w:gridCol w:w="889"/>
        <w:gridCol w:w="111"/>
        <w:gridCol w:w="109"/>
        <w:gridCol w:w="109"/>
        <w:gridCol w:w="109"/>
        <w:gridCol w:w="262"/>
        <w:gridCol w:w="1167"/>
        <w:gridCol w:w="206"/>
      </w:tblGrid>
      <w:tr>
        <w:trPr/>
        <w:tc>
          <w:tcPr>
            <w:tcW w:w="140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421,297 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1,573,371 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1,963,102 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3,531,637 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3,447,299 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485,835 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5,243,266 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5,243,266 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9,848,292 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9,865,472 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100,169 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155,680 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820,220 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1,804,370 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1,912,506 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15,805,141 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15,476,124 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(7,786,089)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(7,522,010)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8,043,922 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7,952,966 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9,848,292 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9,865,472 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17"/>
        <w:gridCol w:w="1101"/>
        <w:gridCol w:w="111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6"/>
      </w:tblGrid>
      <w:tr>
        <w:trPr/>
        <w:tc>
          <w:tcPr>
            <w:tcW w:w="171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265" w:type="dxa"/>
            <w:gridSpan w:val="2"/>
            <w:tcBorders/>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common</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3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65" w:type="dxa"/>
        <w:jc w:val="left"/>
        <w:tblInd w:w="0" w:type="dxa"/>
        <w:tblLayout w:type="fixed"/>
        <w:tblCellMar>
          <w:top w:w="28" w:type="dxa"/>
          <w:left w:w="28" w:type="dxa"/>
          <w:bottom w:w="28" w:type="dxa"/>
          <w:right w:w="28" w:type="dxa"/>
        </w:tblCellMar>
      </w:tblPr>
      <w:tblGrid>
        <w:gridCol w:w="1495"/>
        <w:gridCol w:w="1318"/>
        <w:gridCol w:w="1327"/>
        <w:gridCol w:w="109"/>
        <w:gridCol w:w="109"/>
        <w:gridCol w:w="109"/>
        <w:gridCol w:w="196"/>
        <w:gridCol w:w="646"/>
        <w:gridCol w:w="109"/>
        <w:gridCol w:w="109"/>
        <w:gridCol w:w="109"/>
        <w:gridCol w:w="109"/>
        <w:gridCol w:w="196"/>
        <w:gridCol w:w="721"/>
        <w:gridCol w:w="109"/>
        <w:gridCol w:w="109"/>
        <w:gridCol w:w="109"/>
        <w:gridCol w:w="109"/>
        <w:gridCol w:w="196"/>
        <w:gridCol w:w="646"/>
        <w:gridCol w:w="109"/>
        <w:gridCol w:w="109"/>
        <w:gridCol w:w="109"/>
        <w:gridCol w:w="109"/>
        <w:gridCol w:w="196"/>
        <w:gridCol w:w="721"/>
        <w:gridCol w:w="109"/>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change in market value of effective foreign currency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 xml:space="preserve">forward exchange contracts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(loss) income from equity</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common</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 2025</w:t>
      </w:r>
    </w:p>
    <w:tbl>
      <w:tblPr>
        <w:tblW w:w="11747" w:type="dxa"/>
        <w:jc w:val="left"/>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153,254,342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15,625,545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10,358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(7,631,765)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8,004,291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1,631,186 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(1,809,818)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153,576,158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15,805,141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24,716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(7,786,089)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8,043,922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2025</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152,610,697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15,476,124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(7,522,010)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7,952,966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357,224 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3,343,830 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(3,032,011)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153,576,158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15,805,141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24,716</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(7,786,089)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8,043,922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TWILIO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 2024</w:t>
      </w:r>
    </w:p>
    <w:tbl>
      <w:tblPr>
        <w:tblW w:w="10496" w:type="dxa"/>
        <w:jc w:val="center"/>
        <w:tblInd w:w="0" w:type="dxa"/>
        <w:tblLayout w:type="fixed"/>
        <w:tblCellMar>
          <w:top w:w="28" w:type="dxa"/>
          <w:left w:w="28" w:type="dxa"/>
          <w:bottom w:w="28" w:type="dxa"/>
          <w:right w:w="28" w:type="dxa"/>
        </w:tblCellMar>
      </w:tblPr>
      <w:tblGrid>
        <w:gridCol w:w="730"/>
        <w:gridCol w:w="220"/>
        <w:gridCol w:w="221"/>
        <w:gridCol w:w="109"/>
        <w:gridCol w:w="109"/>
        <w:gridCol w:w="109"/>
        <w:gridCol w:w="533"/>
        <w:gridCol w:w="533"/>
        <w:gridCol w:w="196"/>
        <w:gridCol w:w="109"/>
        <w:gridCol w:w="109"/>
        <w:gridCol w:w="109"/>
        <w:gridCol w:w="196"/>
        <w:gridCol w:w="436"/>
        <w:gridCol w:w="109"/>
        <w:gridCol w:w="109"/>
        <w:gridCol w:w="109"/>
        <w:gridCol w:w="109"/>
        <w:gridCol w:w="196"/>
        <w:gridCol w:w="976"/>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109"/>
        <w:gridCol w:w="109"/>
        <w:gridCol w:w="109"/>
        <w:gridCol w:w="109"/>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177,471,887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14,960,837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(4,941)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(5,508,343)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9,447,730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1,464,534 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(15,229,731)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164,150,089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15,136,786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(10,671)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(6,446,806)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8,679,473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TWILIO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2024</w:t>
      </w:r>
    </w:p>
    <w:tbl>
      <w:tblPr>
        <w:tblW w:w="11747"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181,945,771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14,797,723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(5,065,972)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9,732,552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3,080,464 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returned from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(21,358,029)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164,150,089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15,136,786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(10,671)</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(6,446,806)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8,679,473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TWILIO</w:t>
      </w:r>
      <w:r>
        <w:rPr>
          <w:color w:val="000000"/>
        </w:rPr>
        <w:t> </w:t>
      </w:r>
      <w:r>
        <w:rPr>
          <w:rFonts w:ascii="Times New Roman;serif" w:hAnsi="Times New Roman;serif"/>
          <w:b/>
          <w:color w:val="000000"/>
          <w:sz w:val="20"/>
        </w:rPr>
        <w:t>INC</w:t>
      </w:r>
      <w:r>
        <w:rPr>
          <w:rFonts w:ascii="Times New Roman;serif" w:hAnsi="Times New Roman;serif"/>
          <w:b/>
          <w:color w:val="000000"/>
          <w:sz w:val="16"/>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45"/>
        <w:gridCol w:w="2224"/>
        <w:gridCol w:w="2228"/>
        <w:gridCol w:w="109"/>
        <w:gridCol w:w="109"/>
        <w:gridCol w:w="109"/>
        <w:gridCol w:w="196"/>
        <w:gridCol w:w="736"/>
        <w:gridCol w:w="109"/>
        <w:gridCol w:w="109"/>
        <w:gridCol w:w="109"/>
        <w:gridCol w:w="109"/>
        <w:gridCol w:w="197"/>
        <w:gridCol w:w="742"/>
        <w:gridCol w:w="109"/>
        <w:gridCol w:w="109"/>
        <w:gridCol w:w="156"/>
      </w:tblGrid>
      <w:tr>
        <w:trPr/>
        <w:tc>
          <w:tcPr>
            <w:tcW w:w="2745"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265" w:type="dxa"/>
            <w:gridSpan w:val="2"/>
            <w:tcBorders/>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(loss) to net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equity awards withheld for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 and shares of Class A common stock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THE CONDENSED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San Francisco, California, and the Company has subsidiaries across North America, South America, Europe,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unaudited condensed consolidated financial statements should be read in conjunction with the consolidated financial statements and notes included in the Company’s Annual Report on Form 10-K filed with the SEC on February 26, 2025 (“Annual Report”).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2024, included herein, was derived from the audited financial statements as of that date, but may not include all disclosures including certain notes required by U.S. GAAP on an annual reporting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income (loss), stockholders’ equity and cash flows for the interim periods, but are not necessarily indicative of the results of operations to be anticipated for the full year 2025 or any future period.</w:t>
      </w:r>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Principles of Consolidation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Company and its wholly owned subsidiaries. All intercompany balances and transactions have been eliminated.</w:t>
      </w: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Use of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for contracts with durations of more than one year was $158.8 million as of June 30, 2025, of which 63% is expected to be recognized over the next 12 months and 93% is expected to be recognized over the next 24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(e)</w:t>
      </w:r>
      <w:r>
        <w:rPr>
          <w:rFonts w:ascii="Times New Roman;serif" w:hAnsi="Times New Roman;serif"/>
          <w:b/>
          <w:i/>
          <w:color w:val="000000"/>
          <w:sz w:val="20"/>
        </w:rPr>
        <w:t>Deferred Revenue and Customer Deposits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recorded $148.0 million and $155.7 million as its deferred revenue and customer deposits, respectively, that are included in deferred revenue and customer deposits and other long-term liabilities in the accompanying unaudited condensed consolidated balance sheets. During the three months ended June 30, 2025 and 2024, the Company recognized $35.0 million and $32.1 million of revenue, respectively, that was included in the deferred revenue and customer deposits balances as of the end of the previous year. During the six months ended June 30, 2025 and 2024, the Company recognized $105.1 million and $97.4 million of revenue, respectively, that was included in the deferred revenue and customer deposits balances as of the end of the previous year.</w:t>
      </w:r>
    </w:p>
    <w:p>
      <w:pPr>
        <w:pStyle w:val="TextBody"/>
        <w:bidi w:val="0"/>
        <w:spacing w:lineRule="auto" w:line="288" w:before="240" w:after="283"/>
        <w:ind w:left="0" w:right="0" w:firstLine="540"/>
        <w:jc w:val="left"/>
        <w:rPr/>
      </w:pPr>
      <w:r>
        <w:rPr>
          <w:rFonts w:ascii="Times New Roman;serif" w:hAnsi="Times New Roman;serif"/>
          <w:b/>
          <w:i/>
          <w:color w:val="000000"/>
          <w:sz w:val="20"/>
        </w:rPr>
        <w:t>(f)</w:t>
      </w:r>
      <w:r>
        <w:rPr>
          <w:rFonts w:ascii="Times New Roman;serif" w:hAnsi="Times New Roman;serif"/>
          <w:b/>
          <w:i/>
          <w:color w:val="000000"/>
          <w:sz w:val="20"/>
        </w:rPr>
        <w:t>Concentration of Credit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June 30, 2025, and December 31, 2024, the allowance for doubtful accounts was $22.3 million and $27.5 million, respectively, and is recorded in accounts receivable, net, in the accompanying unaudited condensed consolidated balance sheets.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2025 and 2024, no customer organization accounted for more than 10% of the Company’s total revenue.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no customer organization represented more than 10% of the Company’s gross accounts receivable.</w:t>
      </w:r>
    </w:p>
    <w:p>
      <w:pPr>
        <w:pStyle w:val="TextBody"/>
        <w:bidi w:val="0"/>
        <w:spacing w:lineRule="auto" w:line="288" w:before="240" w:after="283"/>
        <w:ind w:left="0" w:right="0" w:firstLine="540"/>
        <w:jc w:val="left"/>
        <w:rPr/>
      </w:pPr>
      <w:r>
        <w:rPr>
          <w:rFonts w:ascii="Times New Roman;serif" w:hAnsi="Times New Roman;serif"/>
          <w:b/>
          <w:i/>
          <w:color w:val="000000"/>
          <w:sz w:val="20"/>
        </w:rPr>
        <w:t>(g)</w:t>
      </w:r>
      <w:r>
        <w:rPr>
          <w:rFonts w:ascii="Times New Roman;serif" w:hAnsi="Times New Roman;serif"/>
          <w:b/>
          <w:i/>
          <w:color w:val="000000"/>
          <w:sz w:val="20"/>
        </w:rPr>
        <w:t>Recently Issued Accounting Guidance, Not yet Adopted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which requires disclosure of disaggregated income taxes paid, prescribes standard categories for the components of the effective tax rate reconciliation and modifies other income tax related disclosures. ASU 2023-09 is effective for annual reporting periods beginning after December 15, 2024, and may be applied on a prospective basis. Early adoption is permitted. The Company expects to adopt ASU 2023-09 in its consolidated financial statements for the year ended December 31, 2025. The adoption will require certain additional disclosure in the notes to the Company’s consolidated financial statements.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which requires disaggregation of certain expenses in the notes to the financial statements to provide enhanced transparency into the expense captions presented on the face of the statements of operations. ASU 2024-03 is effective for annual reporting periods beginning after December 15, 2026, and interim periods beginning after December 15, 2027, and may be applied either prospectively or retrospectively. Early adoption is permitted. The adoption will require certain additional disclosure in the notes to the Company’s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the financial assets measured at fair value on a recurring basis: </w:t>
      </w:r>
    </w:p>
    <w:tbl>
      <w:tblPr>
        <w:tblW w:w="11505"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556"/>
        <w:gridCol w:w="109"/>
        <w:gridCol w:w="109"/>
        <w:gridCol w:w="109"/>
        <w:gridCol w:w="109"/>
        <w:gridCol w:w="196"/>
        <w:gridCol w:w="446"/>
        <w:gridCol w:w="109"/>
        <w:gridCol w:w="109"/>
        <w:gridCol w:w="109"/>
        <w:gridCol w:w="109"/>
        <w:gridCol w:w="235"/>
        <w:gridCol w:w="488"/>
        <w:gridCol w:w="133"/>
        <w:gridCol w:w="109"/>
        <w:gridCol w:w="109"/>
        <w:gridCol w:w="109"/>
        <w:gridCol w:w="196"/>
        <w:gridCol w:w="871"/>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June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7"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debt securities and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1,564,246 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2,323,472 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50" w:type="dxa"/>
        <w:jc w:val="left"/>
        <w:tblInd w:w="0" w:type="dxa"/>
        <w:tblLayout w:type="fixed"/>
        <w:tblCellMar>
          <w:top w:w="28" w:type="dxa"/>
          <w:left w:w="28" w:type="dxa"/>
          <w:bottom w:w="28" w:type="dxa"/>
          <w:right w:w="28" w:type="dxa"/>
        </w:tblCellMar>
      </w:tblPr>
      <w:tblGrid>
        <w:gridCol w:w="558"/>
        <w:gridCol w:w="253"/>
        <w:gridCol w:w="255"/>
        <w:gridCol w:w="109"/>
        <w:gridCol w:w="109"/>
        <w:gridCol w:w="109"/>
        <w:gridCol w:w="196"/>
        <w:gridCol w:w="871"/>
        <w:gridCol w:w="109"/>
        <w:gridCol w:w="109"/>
        <w:gridCol w:w="109"/>
        <w:gridCol w:w="109"/>
        <w:gridCol w:w="196"/>
        <w:gridCol w:w="556"/>
        <w:gridCol w:w="109"/>
        <w:gridCol w:w="109"/>
        <w:gridCol w:w="109"/>
        <w:gridCol w:w="109"/>
        <w:gridCol w:w="196"/>
        <w:gridCol w:w="571"/>
        <w:gridCol w:w="109"/>
        <w:gridCol w:w="109"/>
        <w:gridCol w:w="109"/>
        <w:gridCol w:w="109"/>
        <w:gridCol w:w="226"/>
        <w:gridCol w:w="503"/>
        <w:gridCol w:w="127"/>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December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gridSpan w:val="4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Non-U.S. government </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debt securities and </w:t>
              <w:br/>
              <w:t>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1,963,102 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2,188,232 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Debt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earned on debt securities was $17.9 million and $36.8 million in the three and six months ended June 30, 2025, respectively, and $23.5 million and $50.6 million in the three and six months ended June 30, 2024, respectively. The interest is recorded as other (expenses) income, net, in the accompanying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contractual maturities of debt securities: </w:t>
      </w:r>
    </w:p>
    <w:tbl>
      <w:tblPr>
        <w:tblW w:w="7497"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Strategic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held strategic investments with a carrying value of $22.2 million and $23.5 million, respectively, recorded as other long-term assets in the accompanying unaudited condensed consolidated balance sheets. There were no significant impairments or adjustments recorded in the three and six months ended June 30, 2025 and 2024 related to these securities.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Liabilities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June 30, 2025 and December 31, 2024, the aggregate fair value of these liabilities and the associated unrealized losses were not significant.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not measured at fair value on a recurring basis are its Senior Notes due 2029 (“2029 Notes”) and its Senior Notes due 2031 (“2031 Notes”). As of June 30, 2025, the fair values of the 2029 Notes and 2031 Notes were $481.7 million and $473.7 million, respectively. As of December 31, 2024, the fair values of the 2029 Notes and 2031 Notes were $464.9 million and $453.9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Property and Equipment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7342" w:type="dxa"/>
        <w:jc w:val="left"/>
        <w:tblInd w:w="0" w:type="dxa"/>
        <w:tblLayout w:type="fixed"/>
        <w:tblCellMar>
          <w:top w:w="28" w:type="dxa"/>
          <w:left w:w="28" w:type="dxa"/>
          <w:bottom w:w="28" w:type="dxa"/>
          <w:right w:w="28" w:type="dxa"/>
        </w:tblCellMar>
      </w:tblPr>
      <w:tblGrid>
        <w:gridCol w:w="1396"/>
        <w:gridCol w:w="1227"/>
        <w:gridCol w:w="1231"/>
        <w:gridCol w:w="109"/>
        <w:gridCol w:w="109"/>
        <w:gridCol w:w="109"/>
        <w:gridCol w:w="226"/>
        <w:gridCol w:w="849"/>
        <w:gridCol w:w="125"/>
        <w:gridCol w:w="109"/>
        <w:gridCol w:w="109"/>
        <w:gridCol w:w="109"/>
        <w:gridCol w:w="295"/>
        <w:gridCol w:w="1108"/>
        <w:gridCol w:w="23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Data center equipment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568,187 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576,530 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accumulated depreciation and amortization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(385,488)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177,957 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191,042 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0"/>
        </w:rPr>
        <w:t>(</w:t>
      </w:r>
      <w:r>
        <w:rPr>
          <w:rFonts w:ascii="Times New Roman;serif" w:hAnsi="Times New Roman;serif"/>
          <w:b w:val="false"/>
          <w:color w:val="000000"/>
          <w:sz w:val="12"/>
        </w:rPr>
        <w:t>1</w:t>
      </w:r>
      <w:r>
        <w:rPr>
          <w:rFonts w:ascii="Times New Roman;serif" w:hAnsi="Times New Roman;serif"/>
          <w:b w:val="false"/>
          <w:color w:val="000000"/>
          <w:sz w:val="10"/>
        </w:rPr>
        <w:t xml:space="preserve">) </w:t>
      </w:r>
      <w:r>
        <w:rPr>
          <w:rFonts w:ascii="Times New Roman;serif" w:hAnsi="Times New Roman;serif"/>
          <w:b w:val="false"/>
          <w:color w:val="000000"/>
          <w:sz w:val="18"/>
        </w:rPr>
        <w:t>Data center equipment includes $21.4 million and $33.5 million in assets held under finance leases as of June 30, 2025, and December 31, 2024, respectively. Accumulated depreciation and amortization includes $20.4 million and $28.6 million of accumulated depreciation for assets held under finance leases as of June 30, 2025, and December 31,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$22.3 million and $23.3 million in the three months ended June 30, 2025 and 2024, respectively, and $44.1 million and $47.2 million in the six months ended June 30, 2025 and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capitalized $17.6 million and $20.4 million in internal</w:t>
        <w:noBreakHyphen/>
        <w:t>use software development costs in the three months ended June 30, 2025 and 2024, respectively, and $33.9 million and $36.5 million in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Segment Reporting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two operating and reportable segments: Twilio Communications (“Communications”) and Twilio Segment (“Segment”).</w:t>
      </w:r>
    </w:p>
    <w:p>
      <w:pPr>
        <w:pStyle w:val="TextBody"/>
        <w:bidi w:val="0"/>
        <w:spacing w:lineRule="auto" w:line="288" w:before="240" w:after="283"/>
        <w:ind w:left="0" w:right="0" w:firstLine="540"/>
        <w:jc w:val="left"/>
        <w:rPr/>
      </w:pPr>
      <w:r>
        <w:rPr>
          <w:rFonts w:ascii="Times New Roman;serif" w:hAnsi="Times New Roman;serif"/>
          <w:b w:val="false"/>
          <w:color w:val="000000"/>
          <w:sz w:val="20"/>
          <w:u w:val="single"/>
        </w:rPr>
        <w:t>Twilio Communications</w:t>
      </w:r>
      <w:r>
        <w:rPr>
          <w:rFonts w:ascii="Times New Roman;serif" w:hAnsi="Times New Roman;serif"/>
          <w:b w:val="false"/>
          <w:color w:val="000000"/>
          <w:sz w:val="20"/>
        </w:rPr>
        <w:t>: The Communications segment consists of a variety of application programming interfaces (“APIs”) and software solutions to optimize communications between Twilio customers and their end users. The key products from which the segment derives its revenue are Messaging, Voice and Email.</w:t>
      </w:r>
    </w:p>
    <w:p>
      <w:pPr>
        <w:pStyle w:val="TextBody"/>
        <w:bidi w:val="0"/>
        <w:spacing w:lineRule="auto" w:line="288" w:before="240" w:after="283"/>
        <w:ind w:left="0" w:right="0" w:firstLine="540"/>
        <w:jc w:val="left"/>
        <w:rPr/>
      </w:pPr>
      <w:r>
        <w:rPr>
          <w:rFonts w:ascii="Times New Roman;serif" w:hAnsi="Times New Roman;serif"/>
          <w:b w:val="false"/>
          <w:color w:val="000000"/>
          <w:sz w:val="20"/>
          <w:u w:val="single"/>
        </w:rPr>
        <w:t>Twilio Segment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Segment segment consists of software products that enable businesses to achieve more effective customer engagement by providing the tools necessary for customers to build direct, personalized relationships with their end users. The key product from which the segment derives its revenue is Segment.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who is also the Chief Operating Decision Maker (“CODM”), reviews the operating results by segment using non-GAAP income (loss) from operations as the measure of segment profitability. The CODM uses this measure of segment profitability to allocate resources and assess performance of each segment by comparing each segment’s actual results to the comparable results in prior periods and to any internally or externally set expectations. Presented below is the discrete financial information by reportable segment for the three and six months ended June 30, 2025 and 2024, that reflects management’s current view of the business and that is regularly provided to the CODM. Asset information is not reviewed by the CODM on a segment basis. Revenue, costs of revenue and operating expenses are generally directly attributable to each segment. Certain costs of revenue and operating expenses are allocated based on methodologies that best reflect the patterns of consumption of these costs. Corporate costs are not allocated to operating segments. Corporate costs consist of costs that support company-wide processes, are managed on the company-wide level, and include costs related to corporate governance and communication, global brand awareness, information security, and certain legal, human resources, finance and accounting expenses. In addition to corporate costs, cost of revenue and operating expenses not allocated to operating segments include stock-based compensation, amortization of acquired intangibles, payroll taxes related to stock-based compensation, charitable contributions and restructuring costs. </w:t>
      </w:r>
    </w:p>
    <w:tbl>
      <w:tblPr>
        <w:tblW w:w="10205" w:type="dxa"/>
        <w:jc w:val="left"/>
        <w:tblInd w:w="0" w:type="dxa"/>
        <w:tblLayout w:type="fixed"/>
        <w:tblCellMar>
          <w:top w:w="28" w:type="dxa"/>
          <w:left w:w="28" w:type="dxa"/>
          <w:bottom w:w="28" w:type="dxa"/>
          <w:right w:w="28" w:type="dxa"/>
        </w:tblCellMar>
      </w:tblPr>
      <w:tblGrid>
        <w:gridCol w:w="2002"/>
        <w:gridCol w:w="1721"/>
        <w:gridCol w:w="1745"/>
        <w:gridCol w:w="109"/>
        <w:gridCol w:w="109"/>
        <w:gridCol w:w="109"/>
        <w:gridCol w:w="237"/>
        <w:gridCol w:w="1056"/>
        <w:gridCol w:w="133"/>
        <w:gridCol w:w="109"/>
        <w:gridCol w:w="109"/>
        <w:gridCol w:w="109"/>
        <w:gridCol w:w="196"/>
        <w:gridCol w:w="646"/>
        <w:gridCol w:w="109"/>
        <w:gridCol w:w="109"/>
        <w:gridCol w:w="109"/>
        <w:gridCol w:w="109"/>
        <w:gridCol w:w="196"/>
        <w:gridCol w:w="871"/>
        <w:gridCol w:w="312"/>
      </w:tblGrid>
      <w:tr>
        <w:trPr/>
        <w:tc>
          <w:tcPr>
            <w:tcW w:w="200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5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attributable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586,146 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605,523 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attributable to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336,280 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Segment 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280,613 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286,622 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Reconciliation of total segment non-GAAP income from operations to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286,622 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costs not allocated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(66,079)</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77"/>
        <w:gridCol w:w="1703"/>
        <w:gridCol w:w="1726"/>
        <w:gridCol w:w="109"/>
        <w:gridCol w:w="109"/>
        <w:gridCol w:w="109"/>
        <w:gridCol w:w="237"/>
        <w:gridCol w:w="1056"/>
        <w:gridCol w:w="133"/>
        <w:gridCol w:w="109"/>
        <w:gridCol w:w="109"/>
        <w:gridCol w:w="109"/>
        <w:gridCol w:w="196"/>
        <w:gridCol w:w="707"/>
        <w:gridCol w:w="109"/>
        <w:gridCol w:w="109"/>
        <w:gridCol w:w="109"/>
        <w:gridCol w:w="109"/>
        <w:gridCol w:w="196"/>
        <w:gridCol w:w="871"/>
        <w:gridCol w:w="313"/>
      </w:tblGrid>
      <w:tr>
        <w:trPr/>
        <w:tc>
          <w:tcPr>
            <w:tcW w:w="197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2024</w:t>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1,082,502 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attributable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505,189 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attributable to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343,198 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Segment non-GAAP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249,930 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234,115 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Reconciliation of total segment non-GAAP income from operations to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234,115 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costs not allocated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(147,657)</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(19,037)</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(26,243)</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1"/>
        <w:gridCol w:w="1691"/>
        <w:gridCol w:w="1715"/>
        <w:gridCol w:w="109"/>
        <w:gridCol w:w="109"/>
        <w:gridCol w:w="109"/>
        <w:gridCol w:w="237"/>
        <w:gridCol w:w="1056"/>
        <w:gridCol w:w="133"/>
        <w:gridCol w:w="109"/>
        <w:gridCol w:w="109"/>
        <w:gridCol w:w="109"/>
        <w:gridCol w:w="196"/>
        <w:gridCol w:w="736"/>
        <w:gridCol w:w="109"/>
        <w:gridCol w:w="109"/>
        <w:gridCol w:w="109"/>
        <w:gridCol w:w="109"/>
        <w:gridCol w:w="196"/>
        <w:gridCol w:w="871"/>
        <w:gridCol w:w="313"/>
      </w:tblGrid>
      <w:tr>
        <w:trPr/>
        <w:tc>
          <w:tcPr>
            <w:tcW w:w="197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2,249,762 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attributable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1,136,925 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1,175,984 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attributable to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662,336 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Segment non-GAAP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558,077 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562,568 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Reconciliation of total segment non-GAAP income from operations to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562,568 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costs not allocated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(128,617)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(286,771)</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(16,121)</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60,071 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60,176 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71"/>
        <w:gridCol w:w="1691"/>
        <w:gridCol w:w="1715"/>
        <w:gridCol w:w="109"/>
        <w:gridCol w:w="109"/>
        <w:gridCol w:w="109"/>
        <w:gridCol w:w="237"/>
        <w:gridCol w:w="1056"/>
        <w:gridCol w:w="133"/>
        <w:gridCol w:w="109"/>
        <w:gridCol w:w="109"/>
        <w:gridCol w:w="109"/>
        <w:gridCol w:w="196"/>
        <w:gridCol w:w="736"/>
        <w:gridCol w:w="109"/>
        <w:gridCol w:w="109"/>
        <w:gridCol w:w="109"/>
        <w:gridCol w:w="109"/>
        <w:gridCol w:w="196"/>
        <w:gridCol w:w="871"/>
        <w:gridCol w:w="313"/>
      </w:tblGrid>
      <w:tr>
        <w:trPr/>
        <w:tc>
          <w:tcPr>
            <w:tcW w:w="197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1,979,308 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2,129,552 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attributable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949,455 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986,280 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 attributable to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681,141 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Segment non-GAAP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498,940 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462,131 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Reconciliation of total segment non-GAAP income from operations to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462,131 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costs not allocated to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(127,202)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(303,815)</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(10,286)</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(9,636)</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(62,541)</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(71,404)</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except for amortization of acquired intangibles, that are included in non-GAAP income from operations for the Communications reportable segment were $16.7 million and $18.5 million in the three months ended June 30, 2025 and 2024, respectively, and $33.4 million and $37.8 million in the six months ended June 30, 2025 and 2024, respectively. Amortization of deferred commissions included in non-GAAP income from operations for the Communications reportable segment was $15.1 million in each of the three months ended June 30, 2025 and 2024, respectively, and $30.4 million and $30.3 million in the six months ended June 30, 2025 and 2024,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except for amortization of acquired intangibles, that are included in non-GAAP income (loss) from operations for the Segment reportable segment were $5.2 million and $4.4 million in the three months ended June 30, 2025 and 2024, respectively, and $10.1 million and $8.5 million in the six months ended June 30, 2025 and 2024, respectively. Amortization of deferred commissions included in non-GAAP income (loss) from operations for the Segment reportable segment was $4.0 million and $3.8 million in the three months ended June 30, 2025 and 2024, respectively, and $8.0 million and $7.5 million in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Derivatives and Hedging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outstanding foreign currency forward contracts designated as cash flow hedges with a total sell notional value of $308.8 million. The notional value represents the amount that will be sold upon maturity of the forward contract. As of June 30, 2025, these contracts had maturities of up to seventeen months. Gains and losses associated with these foreign currency forward contracts were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unaudited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June 30, 2025, the Company did not have any offsetting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balance of the Company’s goodwill was $5.2 billion, of which $4.9 billion related to the Communications reportable segment and $306.1 million related to the Segment reportable segment. There was no goodwill activity during the six months ended June 30, 2025.</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7847"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(332,799)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(237,851)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(637,302)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(637,302)</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5"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(306,063)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(215,523)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(583,059)</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(583,059)</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was $27.1 million and $28.2 million for the three months ended June 30, 2025 and 2024, respectively, and $54.2 million and $57.2 million for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estimated future amortization expense is as follows: </w:t>
      </w:r>
    </w:p>
    <w:tbl>
      <w:tblPr>
        <w:tblW w:w="4150" w:type="dxa"/>
        <w:jc w:val="left"/>
        <w:tblInd w:w="0" w:type="dxa"/>
        <w:tblLayout w:type="fixed"/>
        <w:tblCellMar>
          <w:top w:w="28" w:type="dxa"/>
          <w:left w:w="28" w:type="dxa"/>
          <w:bottom w:w="28" w:type="dxa"/>
          <w:right w:w="28" w:type="dxa"/>
        </w:tblCellMar>
      </w:tblPr>
      <w:tblGrid>
        <w:gridCol w:w="786"/>
        <w:gridCol w:w="693"/>
        <w:gridCol w:w="695"/>
        <w:gridCol w:w="109"/>
        <w:gridCol w:w="109"/>
        <w:gridCol w:w="109"/>
        <w:gridCol w:w="297"/>
        <w:gridCol w:w="1118"/>
        <w:gridCol w:w="234"/>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179,045 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Balance Sheet Components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w:t>
      </w:r>
    </w:p>
    <w:tbl>
      <w:tblPr>
        <w:tblW w:w="6938" w:type="dxa"/>
        <w:jc w:val="left"/>
        <w:tblInd w:w="0" w:type="dxa"/>
        <w:tblLayout w:type="fixed"/>
        <w:tblCellMar>
          <w:top w:w="28" w:type="dxa"/>
          <w:left w:w="28" w:type="dxa"/>
          <w:bottom w:w="28" w:type="dxa"/>
          <w:right w:w="28" w:type="dxa"/>
        </w:tblCellMar>
      </w:tblPr>
      <w:tblGrid>
        <w:gridCol w:w="1248"/>
        <w:gridCol w:w="1099"/>
        <w:gridCol w:w="1103"/>
        <w:gridCol w:w="109"/>
        <w:gridCol w:w="109"/>
        <w:gridCol w:w="109"/>
        <w:gridCol w:w="226"/>
        <w:gridCol w:w="849"/>
        <w:gridCol w:w="125"/>
        <w:gridCol w:w="109"/>
        <w:gridCol w:w="109"/>
        <w:gridCol w:w="109"/>
        <w:gridCol w:w="295"/>
        <w:gridCol w:w="1108"/>
        <w:gridCol w:w="231"/>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401,071 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162" w:type="dxa"/>
        <w:jc w:val="left"/>
        <w:tblInd w:w="0" w:type="dxa"/>
        <w:tblLayout w:type="fixed"/>
        <w:tblCellMar>
          <w:top w:w="28" w:type="dxa"/>
          <w:left w:w="28" w:type="dxa"/>
          <w:bottom w:w="28" w:type="dxa"/>
          <w:right w:w="28" w:type="dxa"/>
        </w:tblCellMar>
      </w:tblPr>
      <w:tblGrid>
        <w:gridCol w:w="1331"/>
        <w:gridCol w:w="1169"/>
        <w:gridCol w:w="1174"/>
        <w:gridCol w:w="109"/>
        <w:gridCol w:w="109"/>
        <w:gridCol w:w="109"/>
        <w:gridCol w:w="226"/>
        <w:gridCol w:w="849"/>
        <w:gridCol w:w="125"/>
        <w:gridCol w:w="109"/>
        <w:gridCol w:w="109"/>
        <w:gridCol w:w="109"/>
        <w:gridCol w:w="295"/>
        <w:gridCol w:w="1108"/>
        <w:gridCol w:w="2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76,708 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Company-wide bonus program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109,776 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bonus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461,527 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530,686 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Long-Term Debt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Long-term debt, net, consists of the following:</w:t>
      </w:r>
    </w:p>
    <w:tbl>
      <w:tblPr>
        <w:tblW w:w="5573"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226"/>
        <w:gridCol w:w="849"/>
        <w:gridCol w:w="125"/>
        <w:gridCol w:w="109"/>
        <w:gridCol w:w="109"/>
        <w:gridCol w:w="109"/>
        <w:gridCol w:w="295"/>
        <w:gridCol w:w="1108"/>
        <w:gridCol w:w="23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496,166 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495,690 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494,897 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991,429 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was in compliance with all of its covenants under the related indentures.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Revenue by Geographic Area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is based on the IP address or the mailing address of the customer at the time of registration. The following table sets forth revenue by geographic area:</w:t>
      </w:r>
    </w:p>
    <w:tbl>
      <w:tblPr>
        <w:tblW w:w="8434"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023" w:type="dxa"/>
        <w:jc w:val="left"/>
        <w:tblInd w:w="0" w:type="dxa"/>
        <w:tblLayout w:type="fixed"/>
        <w:tblCellMar>
          <w:top w:w="28" w:type="dxa"/>
          <w:left w:w="28" w:type="dxa"/>
          <w:bottom w:w="28" w:type="dxa"/>
          <w:right w:w="28" w:type="dxa"/>
        </w:tblCellMar>
      </w:tblPr>
      <w:tblGrid>
        <w:gridCol w:w="1125"/>
        <w:gridCol w:w="989"/>
        <w:gridCol w:w="990"/>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11.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Lease and Other Commitments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its facilities under various non-cancelable operating lease agreements. In the three and six months ended June 30, 2025, the Company did not enter into any significant new lease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non-cancelable contractual commitments with its cloud infrastructure provider, network service providers and other vendors. In the three and six months ended June 30, 2025, the Company entered into several new agreements with terms up to three years for a total purchase commitment of $21.7 million and $40.0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 xml:space="preserve">Legal Matters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accrues for contingencies when it believes that a loss is probable and that it can be reasonably estimated. To the extent there is a reasonable possibility that a loss may be incurred that is in excess of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Legal fees and other costs related to litigation and other legal proceedings are expensed as incurred and are included in general and administrative expenses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Indemnification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no amounts were accrued related to any outstanding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Other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 liabilities accrued for non-income-based taxes were $20.3 million for domestic jurisdictions and $23.2 million for jurisdictions outside of the United States. As of December 31, 2024, these liabilities were $19.3 million and $22.0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authorized 100,000,000 shares of preferred stock, par value $0.001 per share, of which no shares were issued and outstanding in either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authorized 1,000,000,000 shares of Class A common stock, par value $0.001 per share. As of June 30, 2025 and December 31, 2024, the Company had authorized 0 and 3,170,181 shares of Class B common stock, par value $0.001 per share, respectively. As of June 30, 2025 and December 31, 2024, 153,576,158 and 152,610,697 shares of Class A common stock were issued and outstanding, respectively, and no shares of Class B common stock were issued and outstanding.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tbl>
      <w:tblPr>
        <w:tblW w:w="9039" w:type="dxa"/>
        <w:jc w:val="left"/>
        <w:tblInd w:w="0" w:type="dxa"/>
        <w:tblLayout w:type="fixed"/>
        <w:tblCellMar>
          <w:top w:w="28" w:type="dxa"/>
          <w:left w:w="28" w:type="dxa"/>
          <w:bottom w:w="28" w:type="dxa"/>
          <w:right w:w="28" w:type="dxa"/>
        </w:tblCellMar>
      </w:tblPr>
      <w:tblGrid>
        <w:gridCol w:w="1931"/>
        <w:gridCol w:w="1699"/>
        <w:gridCol w:w="1710"/>
        <w:gridCol w:w="109"/>
        <w:gridCol w:w="109"/>
        <w:gridCol w:w="109"/>
        <w:gridCol w:w="520"/>
        <w:gridCol w:w="441"/>
        <w:gridCol w:w="401"/>
        <w:gridCol w:w="109"/>
        <w:gridCol w:w="109"/>
        <w:gridCol w:w="109"/>
        <w:gridCol w:w="527"/>
        <w:gridCol w:w="478"/>
        <w:gridCol w:w="678"/>
      </w:tblGrid>
      <w:tr>
        <w:trPr/>
        <w:tc>
          <w:tcPr>
            <w:tcW w:w="193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964,952 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1,322,176 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17,300,882 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18,386,271 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309,429 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353,633 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awards available for grant under 2016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28,518,814 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23,292,678 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issuance pursuant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10,982,134 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9,709,326 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58,076,211 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53,064,084 </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the board of directors of the Company authorized a share repurchase program to repurchase up to $2.0 billion in aggregate value of the Company’s outstanding Class A common stock. Repurchases under this program can be made through open market, private transactions or other means, in compliance with applicable federal securities laws, and can include repurchases pursuant to Rule 10b5-1 trading plans. The Company has discretion in determining the conditions under which shares may be repurchased from time to time. The program expires on December 31, 2027. The Company’s previous share repurchase authorizations expired on December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and 2024, the Company repurchased 1.8 million and 15.2 million shares of its Class A common stock, respectively, for an aggregate purchase price of $176.7 million and $898.6 million, respectively. In the six months ended June 30, 2025 and 2024, the Company repurchased 3.0 million and 21.4 million shares of its Class A common stock, respectively, for an aggregate purchase price of $306.9 million and $1.3 billion, respectively. As of June 30, 2025, approximately $1.7 billion of the amount originally authorized for share repurchases in January 2025 remained available for future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13. Stock-Based Compensation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2016 Stock Option and Incentive Plan (the “2016 Plan”) provides for the grant of stock options, restricted stock units, restricted stock awards, stock appreciation rights, unrestricted stock awards, performance share awards, dividend equivalent rights and cash-based awards by the Company to its employees, directors and consultants. Certain of the Company’s outstanding equity awards were granted under equity incentive plans that are no longer active but continue to govern the outstanding equity awards granted thereunder.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the Company granted to certain of its executive employees performance-based restricted stock units (“PSUs”) covering 185,899 shares of Class A common stock that had an aggregate grant date fair value of $27.1 million. The PSUs will vest if certain operational performance or market conditions, as defined in the grant agreements, are met during the performance achievement period, which expires on December 31, 2027. The fair value of the portion of the PSUs with an operational performance target equals the closing price of the Company’s Class A common stock on the date of grant. For this portion, the expense is recognized on a straight-line basis when it is probable that the performance target will be achieved during the performance period. The probability of achievement is assessed each reporting period and cumulative adjustments are recorded in periods in which the probability assessment changes. The fair value of the portion of the PSUs with market conditions was determined using a Monte-Carlo simulation model, and the expense is recognized on a straight-line basis over the performance achievement period. At the end of the vesting period, the number of shares actually issued may range from 0% to 200% of the target based on levels of performance.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pursuant to the Company’s 2016 Employee Stock Purchase Plan (“ESPP”), eligible employees may purchase shares of the Company’s Class A common stock at a discount of 15% through payroll deductions of their eligible compensation. The ESPP provides for separate six-month offering periods beginning in May and November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total unrecognized compensation cost related to unvested restricted stock units (“RSUs”) was $1.3 billion, which will be amortized over a weighted-average period of 2.4 years. As of June 30, 2025, total unrecognized compensation cost related to unvested stock options and the ESPP was not significant.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total stock-based compensation expense as follows: </w:t>
      </w:r>
    </w:p>
    <w:tbl>
      <w:tblPr>
        <w:tblW w:w="774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Net Income (Loss) Per Share Attributable to Common Stockholders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Company computes net income (loss) per share in accordance with ASC 260 </w:t>
      </w:r>
      <w:r>
        <w:rPr>
          <w:color w:val="000000"/>
        </w:rPr>
        <w:t>“</w:t>
      </w:r>
      <w:r>
        <w:rPr>
          <w:rFonts w:ascii="Times New Roman;serif" w:hAnsi="Times New Roman;serif"/>
          <w:b w:val="false"/>
          <w:i/>
          <w:color w:val="000000"/>
          <w:sz w:val="20"/>
        </w:rPr>
        <w:t>Earnings per Share.”</w:t>
      </w:r>
      <w:r>
        <w:rPr>
          <w:color w:val="000000"/>
        </w:rPr>
        <w:t xml:space="preserve"> </w:t>
      </w:r>
      <w:r>
        <w:rPr>
          <w:rFonts w:ascii="Times New Roman;serif" w:hAnsi="Times New Roman;serif"/>
          <w:b w:val="false"/>
          <w:color w:val="000000"/>
          <w:sz w:val="20"/>
        </w:rPr>
        <w:t>Basic net income (loss) per share attributable to common stockholders is computed by dividing net income (loss) attributable to common stockholders by the weighted-average number of shares of common stock outstanding during the period. Diluted net income (loss) per share gives effect to all dilutive potential common shares outstanding during the period, such as stock options, RSUs, and shares partially paid for under ESPP, using the treasury stock method as well as PSUs using the contingently issuable shares guidance. Diluted net income (loss) per share excludes all dilutive potential common shares if their effect is anti-dilutive.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income (loss) per share attributable to common stockholders during the periods presented:</w:t>
      </w:r>
    </w:p>
    <w:tbl>
      <w:tblPr>
        <w:tblW w:w="10205" w:type="dxa"/>
        <w:jc w:val="left"/>
        <w:tblInd w:w="0" w:type="dxa"/>
        <w:tblLayout w:type="fixed"/>
        <w:tblCellMar>
          <w:top w:w="28" w:type="dxa"/>
          <w:left w:w="28" w:type="dxa"/>
          <w:bottom w:w="28" w:type="dxa"/>
          <w:right w:w="28" w:type="dxa"/>
        </w:tblCellMar>
      </w:tblPr>
      <w:tblGrid>
        <w:gridCol w:w="1517"/>
        <w:gridCol w:w="1237"/>
        <w:gridCol w:w="1238"/>
        <w:gridCol w:w="109"/>
        <w:gridCol w:w="109"/>
        <w:gridCol w:w="109"/>
        <w:gridCol w:w="244"/>
        <w:gridCol w:w="807"/>
        <w:gridCol w:w="109"/>
        <w:gridCol w:w="109"/>
        <w:gridCol w:w="109"/>
        <w:gridCol w:w="109"/>
        <w:gridCol w:w="240"/>
        <w:gridCol w:w="811"/>
        <w:gridCol w:w="109"/>
        <w:gridCol w:w="109"/>
        <w:gridCol w:w="109"/>
        <w:gridCol w:w="109"/>
        <w:gridCol w:w="244"/>
        <w:gridCol w:w="807"/>
        <w:gridCol w:w="109"/>
        <w:gridCol w:w="109"/>
        <w:gridCol w:w="109"/>
        <w:gridCol w:w="109"/>
        <w:gridCol w:w="240"/>
        <w:gridCol w:w="811"/>
        <w:gridCol w:w="109"/>
        <w:gridCol w:w="109"/>
        <w:gridCol w:w="156"/>
      </w:tblGrid>
      <w:tr>
        <w:trPr/>
        <w:tc>
          <w:tcPr>
            <w:tcW w:w="151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Dilutive effect of outstanding stock options, RSUs, PSUs and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stock committed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7,456,044 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170,222,104 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160,729,638 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175,613,672 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common stock equivalents were excluded from the calculation of the diluted net loss per share attributable to common stockholders because their effect would have been anti-dilutive:</w:t>
      </w:r>
    </w:p>
    <w:p>
      <w:pPr>
        <w:pStyle w:val="TextBody"/>
        <w:bidi w:val="0"/>
        <w:spacing w:before="240" w:after="283"/>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443"/>
        <w:gridCol w:w="1259"/>
        <w:gridCol w:w="1268"/>
        <w:gridCol w:w="109"/>
        <w:gridCol w:w="109"/>
        <w:gridCol w:w="109"/>
        <w:gridCol w:w="475"/>
        <w:gridCol w:w="396"/>
        <w:gridCol w:w="173"/>
        <w:gridCol w:w="173"/>
        <w:gridCol w:w="173"/>
        <w:gridCol w:w="173"/>
        <w:gridCol w:w="524"/>
        <w:gridCol w:w="437"/>
        <w:gridCol w:w="173"/>
        <w:gridCol w:w="109"/>
        <w:gridCol w:w="109"/>
        <w:gridCol w:w="109"/>
        <w:gridCol w:w="435"/>
        <w:gridCol w:w="436"/>
        <w:gridCol w:w="159"/>
        <w:gridCol w:w="155"/>
        <w:gridCol w:w="155"/>
        <w:gridCol w:w="155"/>
        <w:gridCol w:w="479"/>
        <w:gridCol w:w="482"/>
        <w:gridCol w:w="159"/>
        <w:gridCol w:w="109"/>
        <w:gridCol w:w="160"/>
      </w:tblGrid>
      <w:tr>
        <w:trPr/>
        <w:tc>
          <w:tcPr>
            <w:tcW w:w="144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414,972 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1,529,641 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1,529,641 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Unvested restricted stock units issued and outstanding</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4,458,044 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22,542,340 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4,261,767 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22,542,340 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committed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in escrow subject to future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5,021,236 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24,725,399 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4,555,337 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24,725,399 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 portion of these unvested restricted stock units are PSUs. The number of PSUs that will ultimately vest may increase or decrease the number of shares that will be issued at the end of the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15. Income Taxes</w:t>
      </w:r>
      <w:r>
        <w:rPr>
          <w:color w:val="000000"/>
        </w:rPr>
        <w: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computes its provision for income taxes for interim periods using an estimated annual effective tax rate based on anticipated annual pretax income or loss. The estimated annual effective tax rate is applied to the Company’s year-to-date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recorded in the three and six months ended June 30, 2025 and 2024 consist primarily of federal, state and foreign income taxes and withholding taxes in foreign jurisdictions in which the Company conducts business. The provision for income taxes recorded in the three and six months ended June 30, 2024 also includes income tax expense from a foreign audit settlement.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and various other state and foreign jurisdictions. Because the Company has net operating loss carryforwards for U.S. federal and state jurisdictions, the statute of limitations is open for all tax years.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tax reform legislation through the One Big Beautiful Bill Act. Included in this legislation are provisions that restore the immediate expensing of certain domestic research and development expenses, reinstate immediate expensing of certain capital expenditures, and make other changes to the U.S. taxation of profits derived from foreign operations. The Company is currently assessing the impact of the legislation on its future consolidated financial statements.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16.</w:t>
      </w:r>
      <w:r>
        <w:rPr>
          <w:color w:val="000000"/>
        </w:rPr>
        <w:t xml:space="preserve"> </w:t>
      </w:r>
      <w:r>
        <w:rPr>
          <w:rFonts w:ascii="Times New Roman;serif" w:hAnsi="Times New Roman;serif"/>
          <w:b/>
          <w:color w:val="000000"/>
          <w:sz w:val="20"/>
        </w:rPr>
        <w:t>Related Party Transactions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and six months ended June 30, 2025, the value of the transactions that occurred between the Company and Syniverse were $30.3 million and $69.0 million, respectively. For the three and six months ended June 30, 2024, the value of the transactions that occurred between the Company and Syniverse were $35.2 million and $69.2 million, respectively. These transactions were recorded as cost of revenue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impact of global economic and political conditions and uncertainty and significant market volatility on our business, customers and partners;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future financial performance, including expectations regarding our revenue, revenue growth, cost of revenue, gross profit, gross margin, operating expenses, and stock-based compensation, our ability to generate positive cash flow and our ability to achieve, improve and sustain profitability;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the factors affecting our results of operations, the timing of future expenses, and the assumptions underlying such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realignment of our business unit structure, including its expected costs and benefits and the related accounting determinations;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execute on our vision for our platform, including delivering new product releases and enhancements, reducing friction across our platform and streamlining cross-channel orchestration;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deliver an interoperable platform that allows businesses to harness the power of customer data and consumer insights to improve customer engagement;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leverage artificial intelligence and machine learning, including to develop and commercialize products and features for our customers and deploy internal applications for our own operational efficiency;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drive durable, profitable growth and increase our market share, including through product innovation, leveraging artificial intelligence, forming and enhancing relationships with independent software vendors and other partners, improving our self-service capabilities, cross-selling our products and expanding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simplify and modernize our business processes and improve our overall operating efficiency;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anticipated investments in sales and marketing, research and development and additional systems and processes to support our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reliable service levels for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and our ability to comply with, modified or new industry standards, laws and regulations applying to our business, including legislative developments that may affect our tax obligations or tax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changes in network service provider fees that we pay in connection with the delivery of communications on our platform, including A2P messaging fees, our ability to manage such fees and their impact on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investments and costs required to prevent, detect and remediate potential cybersecurity threats, incidents and breaches of ours or our customers’ systems or information;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optimize our network service provider coverage and connectivity;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work closely with email inbox service providers to maintain deliverability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and expected results from changes in our relationships with our larger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share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anticipated results of our foreign currency hedging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and other platform users’ violation of our policies or other misuse of our platform;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integrate acquired businesses and realize the benefits of our past or future strategic acquisitions, divestitures or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included in our Annual Report on Form 10-K for the year ended December 31, 2024.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envision a world in which every digital interaction between businesses and their customers is amazing. By combining our leading communications capabilities, plus rich contextual data, plus generative and predictive AI we enable businesses of all sizes to revolutionize how they engage with their customers by delivering seamless, trusted and personalized customer experiences at scale. We offer communications APIs that enable developers to embed numerous forms of messaging, voice, email and video interactions into their customer-facing applications, as well as software products that target specific engagement needs, including our customer data platform, digital engagement centers, marketing campaigns, and user authentication and identity solutions. This combination of flexible APIs and software solutions helps businesses of all sizes and across numerous industries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and AI-powered predictions and recommendations,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at scale.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1, 2025, we realigned our business unit structure into a functional support model under one organization. We believe that operating as one organization best positions us as we seek to deliver one trusted, smart and integrated platform that enables more personalized communications and engagements for customers. Despite realigning our organizational structure, we have continued to have two reportable segments. Our Communications reportable segment consists of a variety of APIs and software solutions to optimize communications between our customers and their end users. Our key offerings in our Communications reportable segment include Messaging, Voice, Email (which includes Marketing Campaigns), Flex, and User Authentication and Identity. Our Segment reportable segment consists of software products that enable businesses to leverage their contextual data to create unique customer profiles and achieve more effective customer engagement. Our key offering in our Segment reportable segment is our Segment product.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June 30, 2025 and 2024, our revenue was $1.23 billion and $1.08 billion, respectively, and our net income (loss) was $22.4 million and $(31.9) million, respectively. In the three months ended June 30, 2025 and 2024, our 10 largest Active Customer Accounts generated an aggregate of 9% and 10% of our total revenue, respectively.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focused on innovation and durable, profitable growth. To increase revenue and grow market share, we intend to drive product innovation, leverage predictive and generative AI, further enhance our independent software vendor (“ISV”), reseller and other partner relationships, improve our self-service capabilities, cross-sell our products, and expand internationally. We also intend to optimize our business and take measures to reduce costs, including simplifying and further automating our business processes, modernizing our infrastructure, focusing on self-service, leveraging AI, enacting certain workforce planning initiatives, optimizing utilization of our distributed workforce and implementing other initiatives targeted at improving efficiencies in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 seasonal trends due to increased consumer activity in the fourth quarter, which may result in lower sequential revenue in the first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and gross margin are impacted by a number of factors, including our product mix; our ability to manage our cloud infrastructure</w:t>
        <w:noBreakHyphen/>
        <w:t>related and network service provider fees, including A2P messaging fees; changes in foreign exchange rates; the timing of amortization of capitalized software development costs and acquired intangibles; the extent to which we periodically choose to adjust prices of our products; and the timing and extent of our investments in our operations. Our gross margin is also impacted by the mix of U.S. messaging termination compared to international messaging termination, as international messaging has lower gross margins.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a major U.S. mobile carrier increased network service provider fees for A2P messages delivered to its subscribers. We pass these fees through to our customers at cost. As a result, we recognize an equal amount of revenue and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revenue related to these fees. The increased fees do not impact our gross profit, but they will create a modest headwind to our gross margins going forward. Other U.S. mobile carriers may follow suit, and such fees may increase over time.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have in the past been, and could in the future be, impacted by adverse macroeconomic conditions. We are continuing to monitor actual and potential effects of recent macroeconomic and political conditions and uncertainty on our business. For additional details, see Part II,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operational and financial metrics, including Active Customer Accounts and Dollar-Based Net Expansion Rate, to evaluate our business, measure our performance, identify trends affecting our business, formulate business plans and make strategic decisions.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year-over-year revenue growth and Dollar-Based Net Expansion Rate for the three months ended June 30, 2025 and 2024, and the number of Active Customer Accounts as of June 30, 2025 and 2024. </w:t>
      </w:r>
    </w:p>
    <w:tbl>
      <w:tblPr>
        <w:tblW w:w="6082"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196"/>
        <w:gridCol w:w="871"/>
        <w:gridCol w:w="256"/>
        <w:gridCol w:w="109"/>
        <w:gridCol w:w="109"/>
        <w:gridCol w:w="109"/>
        <w:gridCol w:w="196"/>
        <w:gridCol w:w="871"/>
        <w:gridCol w:w="256"/>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Active Customer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Total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Dollar-Based Net Expansion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Active Customer Accounts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Communications Active Customer Accounts and Segment Active Customer Accounts are calculated using the same methodology, but using only revenue recognized from accounts in the respective segment. When presented in this Quarterly Report on Form 10-Q, (i) the number of Active Customer Accounts is rounded down to the nearest thousand, (ii) the number of Communications Active Customer Accounts is rounded down to the nearest thousand, and (iii) the number of Segment Active Customer Accounts is rounded down to the nearest hundred.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customer relationships have grown since we began reporting the number of Active Customer Accounts using the above definition, which is anchored to a minimum $5 monthly revenue figure. We have a large number of Active Customer Accounts with relatively low individual spend that in the aggregate do not drive a significant portion of our revenue. Due to this dynamic, we believe that the number of Active Customer Accounts, as currently defined, is less informative now as an indicator of the growth of our business and future revenue trends than it has been in prior periods. In the three months ended June 30, 2025 and 2024, revenue from Active Customer Accounts represented over 99% of total revenue in each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Dollar</w:t>
        <w:noBreakHyphen/>
        <w:t>Based Net Expansion Rate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Revenue from divestitures does not impact the Dollar-Based Net Expansion Rate calculation beginning in the quarter the divestiture closed, unless the divestiture closing date is the last day of a quarter. Communications Dollar-Based Net Expansion Rate and Segment Dollar-Based Net Expansion Rate are calculated using the same methodology, but using only revenue attributable to the respective segment and Active Customer Accounts and customer accounts from Zipwhip for that respective segment.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measuring Dollar-Based Net Expansion Rate, on an aggregate basis and at the segment level,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Components of Statements of Operations</w:t>
      </w: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We recognize revenue from our products on either a usage basis or a subscription basis, depending on the nature of the product and the type of customer contract.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Communications reportable segment revenue is derived from usage-based fees. The usage-based fees are earned when customers access our cloud-based platform and start using our products. Examples of our primarily usage-based Communications products are Messaging and Voice. For Messaging products, we primarily charge fees related to the number of text messages sent or received. For Voice products, we primarily charge fees for minutes of call duration. Examples of our primarily subscription-based Communications products are Email and Flex. For these products, we recognize revenue evenly over the contract term.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Segment reportable segment revenue is derived from Segment products that are subscription-based. For these products we recognize revenue evenly over the contract term.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When our usage-based products are embedded into our subscription-based products, we charge for each product separately on a usage or subscription basis, respectively, and record the revenue in the reportable segment in which each product resides.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usage-based customers gain access to our platform through our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three months ended June 30, 2025 and 2024, we generated 74% and 71% of our revenue, respectively, from usage-based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three months ended June 30, 2025 and 2024, we generated 26% and 29% of our revenue, respectively, from non-usage</w:t>
        <w:noBreakHyphen/>
        <w:t>based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and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 of these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arrangements with network service providers require us to pay fees, including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represents revenue less cost of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most significant components of operating expenses are personnel costs, which consist of salaries, benefits, sales commissions, bonuses and stock</w:t>
        <w:noBreakHyphen/>
        <w:t>based compensation. We also incur other non</w:t>
        <w:noBreakHyphen/>
        <w:t>personnel costs related to our general overhead expenses.</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 xml:space="preserve">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 of these costs. A small percentage of research and development costs, such as costs related to digital architecture and information security, are not allocated to segments because they support company-wide processes and are managed on a company-wide level.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focusing our research and development investment in the highest impact product areas for our future. We are investing strategically in alignment with our focus on building a trusted, leading customer engagement platform.</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Sales and marketing expenses consist primarily of personnel costs, including commissions and bonuses to our sales employees. 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 Sales and marketing expenses are generally directly attributable to each segment. Certain sales and marketing expenses are allocated to segments based on methodologies that best reflect the patterns of consumption of these costs. A small percentage of sales and marketing costs, such as costs related to corporate communications and global brand awareness, are not allocated to segments because they support company-wide processes and are managed on a company-wide level.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focus our sales and marketing efforts on generating awareness of our company, platform and products, creating sales leads, expanding relationships with existing customers and establishing and promoting our brand, both domestically and internationally.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General and administrative expenses are allocated to each segment when they are directly attributable to each segment or are allocated to segments based on methodologies that best reflect the patterns of consumption of these costs. A significant portion of general and administrative costs, such as costs related to corporate governance and certain costs related to legal, human resources, finance and accounting functions, are not allocated to segments because they support company-wide processes and are managed on a company-wide level.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(expenses) income, net, consist primarily of our share of losses from our equity method investment, impairment charges and gains and losses related to our strategic investments, realized gains and losses from marketable securities, interest income and expense and debt-related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consists primarily of federal, state and foreign income taxes and withholding taxes in foreign jurisdictions in which the Company conducts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difference between our effective tax rate and the federal statutory rate relates to the valuation allowance the Company established on the federal, state and certain foreign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the following non</w:t>
        <w:noBreakHyphen/>
        <w:t>GAAP financial information to evaluate our ongoing operations and for internal planning and forecasting purposes. We believe that non</w:t>
        <w:noBreakHyphen/>
        <w:t>GAAP financial information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 xml:space="preserve">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Gross Profit and Non</w:t>
        <w:noBreakHyphen/>
        <w:t>GAAP Gross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7358" w:type="dxa"/>
        <w:jc w:val="center"/>
        <w:tblInd w:w="0" w:type="dxa"/>
        <w:tblLayout w:type="fixed"/>
        <w:tblCellMar>
          <w:top w:w="28" w:type="dxa"/>
          <w:left w:w="28" w:type="dxa"/>
          <w:bottom w:w="28" w:type="dxa"/>
          <w:right w:w="28" w:type="dxa"/>
        </w:tblCellMar>
      </w:tblPr>
      <w:tblGrid>
        <w:gridCol w:w="1315"/>
        <w:gridCol w:w="1153"/>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 xml:space="preserve">GAAP operating expenses (including categories of operating expenses) as GAAP operating expenses (and categories of operating expenses) adjusted to exclude, as applicable, certain expenses as presented in the table below: </w:t>
      </w:r>
    </w:p>
    <w:tbl>
      <w:tblPr>
        <w:tblW w:w="7065" w:type="dxa"/>
        <w:jc w:val="center"/>
        <w:tblInd w:w="0" w:type="dxa"/>
        <w:tblLayout w:type="fixed"/>
        <w:tblCellMar>
          <w:top w:w="28" w:type="dxa"/>
          <w:left w:w="28" w:type="dxa"/>
          <w:bottom w:w="28" w:type="dxa"/>
          <w:right w:w="28" w:type="dxa"/>
        </w:tblCellMar>
      </w:tblPr>
      <w:tblGrid>
        <w:gridCol w:w="1315"/>
        <w:gridCol w:w="1155"/>
        <w:gridCol w:w="1160"/>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Income from Operations and Non</w:t>
        <w:noBreakHyphen/>
        <w:t>GAAP Operating Margin</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income from operations and non</w:t>
        <w:noBreakHyphen/>
        <w:t>GAAP operating margin as GAAP income (loss) from operations and GAAP operating margin, respectively, adjusted to exclude, as applicable, certain expenses as presented in the table below:</w:t>
      </w:r>
    </w:p>
    <w:tbl>
      <w:tblPr>
        <w:tblW w:w="7358" w:type="dxa"/>
        <w:jc w:val="center"/>
        <w:tblInd w:w="0" w:type="dxa"/>
        <w:tblLayout w:type="fixed"/>
        <w:tblCellMar>
          <w:top w:w="28" w:type="dxa"/>
          <w:left w:w="28" w:type="dxa"/>
          <w:bottom w:w="28" w:type="dxa"/>
          <w:right w:w="28" w:type="dxa"/>
        </w:tblCellMar>
      </w:tblPr>
      <w:tblGrid>
        <w:gridCol w:w="1313"/>
        <w:gridCol w:w="1155"/>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Free Cash Flow and Free Cash Flow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free cash flow as net cash provided by operating activities less capitalized software development costs and purchases of long-lived and intangible assets, and we define free cash flow margin as free cash flow divided by revenue, as presented in the table below:</w:t>
      </w:r>
    </w:p>
    <w:tbl>
      <w:tblPr>
        <w:tblW w:w="7396" w:type="dxa"/>
        <w:jc w:val="left"/>
        <w:tblInd w:w="0" w:type="dxa"/>
        <w:tblLayout w:type="fixed"/>
        <w:tblCellMar>
          <w:top w:w="28" w:type="dxa"/>
          <w:left w:w="28" w:type="dxa"/>
          <w:bottom w:w="28" w:type="dxa"/>
          <w:right w:w="28" w:type="dxa"/>
        </w:tblCellMar>
      </w:tblPr>
      <w:tblGrid>
        <w:gridCol w:w="1194"/>
        <w:gridCol w:w="1050"/>
        <w:gridCol w:w="1055"/>
        <w:gridCol w:w="109"/>
        <w:gridCol w:w="109"/>
        <w:gridCol w:w="109"/>
        <w:gridCol w:w="196"/>
        <w:gridCol w:w="811"/>
        <w:gridCol w:w="256"/>
        <w:gridCol w:w="109"/>
        <w:gridCol w:w="109"/>
        <w:gridCol w:w="109"/>
        <w:gridCol w:w="196"/>
        <w:gridCol w:w="811"/>
        <w:gridCol w:w="256"/>
        <w:gridCol w:w="109"/>
        <w:gridCol w:w="109"/>
        <w:gridCol w:w="109"/>
        <w:gridCol w:w="109"/>
        <w:gridCol w:w="109"/>
        <w:gridCol w:w="109"/>
        <w:gridCol w:w="109"/>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277,084 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(897,793)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 The period-to-period comparisons of our historical results are not indicative of the results that may be expected in the future.</w:t>
      </w:r>
    </w:p>
    <w:tbl>
      <w:tblPr>
        <w:tblW w:w="10205" w:type="dxa"/>
        <w:jc w:val="left"/>
        <w:tblInd w:w="0" w:type="dxa"/>
        <w:tblLayout w:type="fixed"/>
        <w:tblCellMar>
          <w:top w:w="28" w:type="dxa"/>
          <w:left w:w="28" w:type="dxa"/>
          <w:bottom w:w="28" w:type="dxa"/>
          <w:right w:w="28" w:type="dxa"/>
        </w:tblCellMar>
      </w:tblPr>
      <w:tblGrid>
        <w:gridCol w:w="1457"/>
        <w:gridCol w:w="1232"/>
        <w:gridCol w:w="124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5"/>
      </w:tblGrid>
      <w:tr>
        <w:trPr/>
        <w:tc>
          <w:tcPr>
            <w:tcW w:w="145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264"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(loss) per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153,228,766 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159,691,758 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170,222,104 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175,613,672 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w:t>
        <w:br/>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stock-based compensation expense as follows:</w:t>
      </w:r>
    </w:p>
    <w:tbl>
      <w:tblPr>
        <w:tblW w:w="7744"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r>
        <w:rPr>
          <w:rFonts w:ascii="Times New Roman;serif" w:hAnsi="Times New Roman;serif"/>
          <w:b w:val="false"/>
          <w:color w:val="000000"/>
          <w:sz w:val="20"/>
        </w:rPr>
        <w:t>____________________________________</w:t>
        <w:br/>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amortization of acquired intangibles as follows:</w:t>
      </w:r>
    </w:p>
    <w:tbl>
      <w:tblPr>
        <w:tblW w:w="7384"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our total revenue:</w:t>
      </w:r>
    </w:p>
    <w:tbl>
      <w:tblPr>
        <w:tblW w:w="9079" w:type="dxa"/>
        <w:jc w:val="center"/>
        <w:tblInd w:w="0" w:type="dxa"/>
        <w:tblLayout w:type="fixed"/>
        <w:tblCellMar>
          <w:top w:w="28" w:type="dxa"/>
          <w:left w:w="28" w:type="dxa"/>
          <w:bottom w:w="28" w:type="dxa"/>
          <w:right w:w="28" w:type="dxa"/>
        </w:tblCellMar>
      </w:tblPr>
      <w:tblGrid>
        <w:gridCol w:w="1607"/>
        <w:gridCol w:w="1412"/>
        <w:gridCol w:w="1420"/>
        <w:gridCol w:w="109"/>
        <w:gridCol w:w="109"/>
        <w:gridCol w:w="109"/>
        <w:gridCol w:w="188"/>
        <w:gridCol w:w="188"/>
        <w:gridCol w:w="336"/>
        <w:gridCol w:w="143"/>
        <w:gridCol w:w="143"/>
        <w:gridCol w:w="143"/>
        <w:gridCol w:w="188"/>
        <w:gridCol w:w="188"/>
        <w:gridCol w:w="415"/>
        <w:gridCol w:w="109"/>
        <w:gridCol w:w="109"/>
        <w:gridCol w:w="109"/>
        <w:gridCol w:w="188"/>
        <w:gridCol w:w="188"/>
        <w:gridCol w:w="296"/>
        <w:gridCol w:w="126"/>
        <w:gridCol w:w="126"/>
        <w:gridCol w:w="126"/>
        <w:gridCol w:w="188"/>
        <w:gridCol w:w="188"/>
        <w:gridCol w:w="365"/>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as a</w:t>
            </w:r>
          </w:p>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18"/>
              </w:rPr>
              <w:t>percentage of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____________________________________</w:t>
      </w:r>
      <w:r>
        <w:rPr>
          <w:rFonts w:ascii="Times New Roman;serif" w:hAnsi="Times New Roman;serif"/>
          <w:b/>
          <w:color w:val="000000"/>
          <w:sz w:val="18"/>
        </w:rPr>
        <w:br/>
      </w:r>
      <w:r>
        <w:rPr>
          <w:rFonts w:ascii="Times New Roman;serif" w:hAnsi="Times New Roman;serif"/>
          <w:b w:val="false"/>
          <w:color w:val="000000"/>
          <w:sz w:val="18"/>
        </w:rPr>
        <w:t xml:space="preserve">* Less than 0.5% of revenue.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Columns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7873" w:type="dxa"/>
        <w:jc w:val="left"/>
        <w:tblInd w:w="0" w:type="dxa"/>
        <w:tblLayout w:type="fixed"/>
        <w:tblCellMar>
          <w:top w:w="28" w:type="dxa"/>
          <w:left w:w="28" w:type="dxa"/>
          <w:bottom w:w="28" w:type="dxa"/>
          <w:right w:w="28" w:type="dxa"/>
        </w:tblCellMar>
      </w:tblPr>
      <w:tblGrid>
        <w:gridCol w:w="722"/>
        <w:gridCol w:w="636"/>
        <w:gridCol w:w="637"/>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65"/>
        <w:gridCol w:w="166"/>
        <w:gridCol w:w="256"/>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6" w:type="dxa"/>
            <w:gridSpan w:val="9"/>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Communications revenue increased by $145.7 million, or 14%, compared to the same period last year. This increase was primarily attributable to the increased usage of our Communications products by our existing customers, as reflected in our Communications Dollar</w:t>
        <w:noBreakHyphen/>
        <w:t>Based Net Expansion Rate of 109%, as well as an increase of $55.2 million in revenue derived from our new Communications Active Customer Accounts.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Segment revenue increased by $0.3 million, or nearly flat, compared to the same period last year. This increase was primarily attributable to an increase of $4.0 million in revenue derived from our new Segment Active Customer Accounts, partially offset by the decreased usage of our Segment products due to churn and contraction affecting our existing customers, as reflected in our Segment Dollar-Based Net Expansion Rate of 95%.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621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65"/>
        <w:gridCol w:w="166"/>
        <w:gridCol w:w="30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cost of revenue increased by $99.0 million, or 19%, compared to the same period last year. The increase was primarily attributable to a $94.5 million increase in network service provider costs, net of the impact of hedging instruments.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gross profit increased by $46.9 million, or 8%, compared to the same period last year. This increase was attributable to the factors impacting our revenue and cost of revenue, as described above.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587"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631"/>
        <w:gridCol w:w="109"/>
        <w:gridCol w:w="109"/>
        <w:gridCol w:w="109"/>
        <w:gridCol w:w="109"/>
        <w:gridCol w:w="201"/>
        <w:gridCol w:w="204"/>
        <w:gridCol w:w="25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60" w:type="dxa"/>
            <w:gridSpan w:val="9"/>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research and development expenses increased by $0.7 million, or nearly flat, compared to the same period last year. Fluctuations in the various research and development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sales and marketing expenses increased by $2.9 million, or 1%, compared to the same period last year. Fluctuations in the various sales and marketing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general and administrative expenses decreased by $12.7 million, or 11%, compared to the same period last year. The decrease was primarily attributable to a $13.1 million decrease in charitable contributions that we made through Twilio.org.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net</w:t>
      </w:r>
    </w:p>
    <w:tbl>
      <w:tblPr>
        <w:tblW w:w="9106"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721"/>
        <w:gridCol w:w="109"/>
        <w:gridCol w:w="109"/>
        <w:gridCol w:w="109"/>
        <w:gridCol w:w="109"/>
        <w:gridCol w:w="196"/>
        <w:gridCol w:w="721"/>
        <w:gridCol w:w="109"/>
        <w:gridCol w:w="109"/>
        <w:gridCol w:w="109"/>
        <w:gridCol w:w="109"/>
        <w:gridCol w:w="109"/>
        <w:gridCol w:w="109"/>
        <w:gridCol w:w="196"/>
        <w:gridCol w:w="631"/>
        <w:gridCol w:w="109"/>
        <w:gridCol w:w="109"/>
        <w:gridCol w:w="109"/>
        <w:gridCol w:w="109"/>
        <w:gridCol w:w="200"/>
        <w:gridCol w:w="205"/>
        <w:gridCol w:w="256"/>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142" w:type="dxa"/>
            <w:gridSpan w:val="7"/>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other expenses, net, decreased by $3.8 million, or 53%, compared to the same period last year. The decrease was primarily attributable to a $5.1 million increase in other income, net, primarily driven by unrealized gains from fluctuations in foreign currency exchange rates, partially offset by a $1.3 million increase in our share of losses from our equity method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Segment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non-GAAP income (loss) from operations, as reviewed by our CODM, for each of our Communications and Segment reportable segments for the three months ended June 30, 2025 and 2024:</w:t>
      </w:r>
    </w:p>
    <w:p>
      <w:pPr>
        <w:pStyle w:val="TextBody"/>
        <w:bidi w:val="0"/>
        <w:spacing w:before="0" w:after="0"/>
        <w:ind w:left="0" w:right="0" w:firstLine="540"/>
        <w:jc w:val="left"/>
        <w:rPr/>
      </w:pPr>
      <w:r>
        <w:rPr/>
      </w:r>
    </w:p>
    <w:tbl>
      <w:tblPr>
        <w:tblW w:w="6892" w:type="dxa"/>
        <w:jc w:val="left"/>
        <w:tblInd w:w="0" w:type="dxa"/>
        <w:tblLayout w:type="fixed"/>
        <w:tblCellMar>
          <w:top w:w="28" w:type="dxa"/>
          <w:left w:w="28" w:type="dxa"/>
          <w:bottom w:w="28" w:type="dxa"/>
          <w:right w:w="28" w:type="dxa"/>
        </w:tblCellMar>
      </w:tblPr>
      <w:tblGrid>
        <w:gridCol w:w="662"/>
        <w:gridCol w:w="583"/>
        <w:gridCol w:w="584"/>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9"/>
        <w:gridCol w:w="212"/>
        <w:gridCol w:w="301"/>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280,613 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Communications non-GAAP income from operations increased by $30.7 million, or 12%, compared to the same period last year. The increase was driven by an increase in Communications revenue of $145.7 million, as described in the Revenue section above, and was partially offset by a $94.5 million increase in network service provider costs, net of the impact of hedging instruments, a $10.5 million increase in hosting fees, which support the growth in usage of our products by our new and existing customers, and a $14.6 million increase in total personnel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2025, Segment non-GAAP income from operations increased by $21.8 million, or 138%, compared to the same period last year. The increase was driven by a decrease in Segment operating expenses of $20.9 million primarily attributable to a decrease in total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Six Months Ended June 30, 2025 and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7721" w:type="dxa"/>
        <w:jc w:val="left"/>
        <w:tblInd w:w="0" w:type="dxa"/>
        <w:tblLayout w:type="fixed"/>
        <w:tblCellMar>
          <w:top w:w="28" w:type="dxa"/>
          <w:left w:w="28" w:type="dxa"/>
          <w:bottom w:w="28" w:type="dxa"/>
          <w:right w:w="28" w:type="dxa"/>
        </w:tblCellMar>
      </w:tblPr>
      <w:tblGrid>
        <w:gridCol w:w="722"/>
        <w:gridCol w:w="636"/>
        <w:gridCol w:w="637"/>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45"/>
        <w:gridCol w:w="145"/>
        <w:gridCol w:w="145"/>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34" w:type="dxa"/>
            <w:gridSpan w:val="9"/>
            <w:tcBorders/>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Communications revenue increased by $270.5 million, or 14%, compared to the same period last year. This increase was primarily attributable to the increased usage of our Communications products by our existing customers, as reflected in our Communications Dollar</w:t>
        <w:noBreakHyphen/>
        <w:t>Based Net Expansion Rate of 108%, as well as an increase of $106.2 million in revenue derived from our new Communications Active Customer Accounts.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Segment revenue increased by $0.9 million, or 1%, compared to the same period last year. This increase was primarily attributable to an increase of $9.0 million in revenue derived from our new Segment Active Customer Accounts, partially offset by the decreased usage of our Segment products due to churn and contraction affecting our existing customers, as reflected in our Segment Dollar</w:t>
        <w:noBreakHyphen/>
        <w:t>Based Net Expansion Rate of 95%.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657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65"/>
        <w:gridCol w:w="166"/>
        <w:gridCol w:w="30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cost of revenue increased by $186.9 million, or 18%, compared to the same period last year. This increase was primarily attributable to a $171.2 million increase in network service providers’ costs, net of the impact of hedging instruments and a $27.0 million increase in hosting fees, which support the growth in usage of our products by our new and existing customers, partially offset by an $8.1 million decrease in customer support costs primarily attributable to a decrease in personnel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gross profit increased by $84.4 million, or 8%, compared to the same period last year. The increase was attributable to the factors impacting our revenue and cost of revenue, as described above.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948"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21"/>
        <w:gridCol w:w="109"/>
        <w:gridCol w:w="109"/>
        <w:gridCol w:w="109"/>
        <w:gridCol w:w="109"/>
        <w:gridCol w:w="203"/>
        <w:gridCol w:w="203"/>
        <w:gridCol w:w="25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61" w:type="dxa"/>
            <w:gridSpan w:val="9"/>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research and development expenses decreased by $5.5 million, or 1%, compared to the same period last year. Fluctuations in the various research and development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sales and marketing expenses increased by $0.5 million, flat compared to the same period last year. Fluctuations in the various sales and marketing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general and administrative expenses decreased by $33.2 million, or 15%, compared to the same period last year. The decrease was primarily attributable to an $11.6 million decrease in charitable contributions that we made through Twilio.org, a $10.7 million decrease in the provision for doubtful accounts and a $9.8 million decrease in professional services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(Expenses), net</w:t>
      </w:r>
    </w:p>
    <w:tbl>
      <w:tblPr>
        <w:tblW w:w="8938"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721"/>
        <w:gridCol w:w="109"/>
        <w:gridCol w:w="109"/>
        <w:gridCol w:w="109"/>
        <w:gridCol w:w="109"/>
        <w:gridCol w:w="196"/>
        <w:gridCol w:w="721"/>
        <w:gridCol w:w="109"/>
        <w:gridCol w:w="109"/>
        <w:gridCol w:w="109"/>
        <w:gridCol w:w="109"/>
        <w:gridCol w:w="109"/>
        <w:gridCol w:w="109"/>
        <w:gridCol w:w="196"/>
        <w:gridCol w:w="556"/>
        <w:gridCol w:w="109"/>
        <w:gridCol w:w="109"/>
        <w:gridCol w:w="109"/>
        <w:gridCol w:w="109"/>
        <w:gridCol w:w="210"/>
        <w:gridCol w:w="211"/>
        <w:gridCol w:w="256"/>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76" w:type="dxa"/>
            <w:gridSpan w:val="9"/>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other income (expenses), net increased by $9.0 million, or 101%, compared to the same period last year. The increase is primarily attributable to a decrease of $8.8 million in our share of losses from our equity method investment.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Segment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non-GAAP income (loss) from operations, as reviewed by our CODM, for each of our Communications and Segment reportable segments for the six months ended June 30, 2025 and 2024:</w:t>
      </w:r>
    </w:p>
    <w:tbl>
      <w:tblPr>
        <w:tblW w:w="6892" w:type="dxa"/>
        <w:jc w:val="left"/>
        <w:tblInd w:w="0" w:type="dxa"/>
        <w:tblLayout w:type="fixed"/>
        <w:tblCellMar>
          <w:top w:w="28" w:type="dxa"/>
          <w:left w:w="28" w:type="dxa"/>
          <w:bottom w:w="28" w:type="dxa"/>
          <w:right w:w="28" w:type="dxa"/>
        </w:tblCellMar>
      </w:tblPr>
      <w:tblGrid>
        <w:gridCol w:w="662"/>
        <w:gridCol w:w="583"/>
        <w:gridCol w:w="584"/>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9"/>
        <w:gridCol w:w="212"/>
        <w:gridCol w:w="301"/>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558,077 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498,940 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June 30, 2025, Communications non-GAAP income from operations increased by $59.1 million, or 12%, compared to the same period last year. The increase was driven by an increase in Communications revenue of $270.5 million, or 14%, as described in the Revenue section above, and was partially offset by a $171.2 million increase in network service provider costs, net of the impact of hedging instruments, a $22.7 million increase in total personnel costs, and a $23.9 million increase in hosting fees, which support the growth in usage of our products by our new and existing customers.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Segment non-GAAP income from operations increased by $41.3 million, or 112%, compared to the same period last year. The increase was driven by a decrease in Segment operating expenses of $42.7 million primarily attributable to a decrease in total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we had cash and cash equivalents of $969.2 million and short-term marketable securities of $1.6 billion. Cash equivalents consist of money market funds, commercial paper and U.S. treasury bills. Short-term marketable securities consist primarily of U.S. treasury securities, high credit quality corporate debt securities and commercial paper. The cash and cash equivalents and short-term marketable securities are held for working capital purposes.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9 and Note 11(a) to our unaudited condensed consolidated financial statements included elsewhere in this Quarterly Report on Form 10-Q for discussions of our obligations and commitments related to leases, debt and other purchase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a share repurchase program to repurchase up to $2.0 billion in aggregate value of our Class A common stock. Repurchases under this program can be made through open market, private transactions or other means, in compliance with applicable federal securities laws, and can include repurchases pursuant to Rule 10b5-1 trading plans. We have discretion in determining the conditions under which shares may be repurchased from time to time. The program expires on December 31, 2027.</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and six months ended June 30, 2025, we purchased $176.7 million in aggregate value, or 1.8 million shares, and $306.9 million in aggregate value, or 3.0 million shares, respectively, of our Class A common stock on the open market.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2029 Notes and 2031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issued and sold $1.0 billion in aggregate principal amount of senior notes, consisting of $500.0 million principal amount of 3.625% notes due 2029 (the “2029 Notes”) and $500.0 million principal amount of 3.875% notes due 2031 (the “2031 Notes,” and together with the 2029 Notes, the “Notes”). The Notes are described in detail in Note 14 to our Annual Report on Form 10-K filed with the SEC on February 26, 2025.</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137" w:type="dxa"/>
        <w:jc w:val="left"/>
        <w:tblInd w:w="0" w:type="dxa"/>
        <w:tblLayout w:type="fixed"/>
        <w:tblCellMar>
          <w:top w:w="28" w:type="dxa"/>
          <w:left w:w="28" w:type="dxa"/>
          <w:bottom w:w="28" w:type="dxa"/>
          <w:right w:w="28" w:type="dxa"/>
        </w:tblCellMar>
      </w:tblPr>
      <w:tblGrid>
        <w:gridCol w:w="1495"/>
        <w:gridCol w:w="1309"/>
        <w:gridCol w:w="1321"/>
        <w:gridCol w:w="109"/>
        <w:gridCol w:w="109"/>
        <w:gridCol w:w="109"/>
        <w:gridCol w:w="196"/>
        <w:gridCol w:w="736"/>
        <w:gridCol w:w="109"/>
        <w:gridCol w:w="109"/>
        <w:gridCol w:w="109"/>
        <w:gridCol w:w="109"/>
        <w:gridCol w:w="198"/>
        <w:gridCol w:w="747"/>
        <w:gridCol w:w="109"/>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Flows from Operating Activities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cash provided by operating activities consisted primarily of our net income of $42.4 million adjusted for non-cash items, including $288.5 million of stock-based compensation expense, $99.4 million of depreciation and amortization expense, $44.7 million of our share of losses from an equity method investment, $38.4 million of amortization of deferred commissions, $10.5 million of non-cash reduction in our operating right-of-use asset, and $59.8 million of cumulative changes in operating assets and liabilities. With respect to changes in operating assets and liabilities, accounts receivable and prepaid expenses decreased $81.6 million primarily due to timing of cash receipts and prepayments of certain operating expenses. Accounts payable and other current liabilities decreased $64.4 million primarily driven by the payment of the 2024 company-wide bonus in the six months ended June 30, 2025. Other long-term assets increased $51.4 million primarily due to an increase in long-term prepayments to support our business. Operating lease liabilities decreased $18.7 million due to payments made against our operating lease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2024, cash provided by operating activities consisted primarily of our net loss of $87.2 million adjusted for non-cash items, including $306.3 million of stock-based compensation expense, $105.4 million of depreciation and amortization expense, $37.8 million amortization of deferred commissions, $53.5 million of share of losses from equity method investments and $32.7 million of cumulative changes in operating assets and liabilities. With respect to changes in operating assets and liabilities, accounts receivable and prepaid expenses decreased $30.8 million primarily due to timing of cash receipts and pre-payments of certain operating expenses. Accounts payable and other current liabilities decreased $35.4 million primarily driven by timing of payments to vendors. Operating lease liabilities decreased $24.2 million due to payments made against our operating lease obligations.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cash provided by investing activities was $382.9 million, primarily consisting of $409.2 million of maturities and sales of marketable securities, net of purchases, partially offset by $24.2 million related to capitalized software development costs, and $2.2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2024, cash provided by investing activities was $974.4 million, primarily consisting of $1.0 billion of maturities and sales of marketable securities, net of purchases, partially offset by $25.8 million related to capitalized software development costs and $2.8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cash used in financing activities was $301.7 million primarily consisting of $323.2 million of cash paid to repurchase 3.0 million shares of our Class A common stock in the open market, including related costs, offset by $25.9 million in proceeds from exercises of stock options and shares of Class A common stock issued under the Company’s ESPP.</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2024, cash used in financing activities was $1.3 billion, primarily consisting of $1.3 billion of cash paid to repurchase 21.4 million shares of our Class A common stock in the open market, including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as described in our Annual Report on Form 10-K filed with the SEC on February 26,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2 to the unaudited condensed consolidated financial statements included elsewhere in this Quarterly Report on Form 10-Q for a discussion of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filings are available to be viewed and downloaded free of charge through our investor relations website after we file them with the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 website that contains periodic and current reports, proxy statements and other information about issuers, like us, that file electronically with the SEC. The address of that website is www.sec.gov.</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Quarterly Report on Form 10-Q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including sensitivities as follows: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$969.2 million and marketable securities of $1.6 billion as of June 30, 2025. In any given period, cash, cash equivalents and restricted cash may consist of bank deposits, money market funds, reverse repurchase agreements, commercial paper and U.S. Treasury bills. Marketable securities consist primarily of U.S. treasury securities, non-U.S. government securities, high credit quality corporate debt securities and commercial paper.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Currency Exchange Risks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Singapore dollar and the Swedish krona.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unaudited condensed consolidated statements of operations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foreign currency derivative hedging transactions to mitigate our exposure to market risks that may result from changes in foreign currency exchange rates. For further information, refer to Note 6 to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hypothetical 10% change in foreign exchange rates during any of the periods presented would not have had a material impact on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Chief Executive Officer and Chief Financial Officer concluded that, as of June 30,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(b)    Changes in Internal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in connection with the evaluation required by Rule 13a-15(d) and 15d-15(d) of the Exchange Act that occurred during the three months ended June 30, 2025, that materially affected, or are reasonably likely to materially affect, our internal control over financial reporting.</w:t>
      </w:r>
    </w:p>
    <w:p>
      <w:pPr>
        <w:pStyle w:val="TextBody"/>
        <w:bidi w:val="0"/>
        <w:spacing w:lineRule="auto" w:line="417"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(c)    Inherent Limitations on Effectiveness of Controls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 xml:space="preserve">Legal Proceedings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11(b) to our unaudited condensed consolidated financial statements included elsewhere in this Quarterly Report on Form 10-Q for a description of our current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subject to numerous risks and uncertainties, including those outside of our control, that could cause our business, results of operations, and financial condition to be harmed, including risks regarding the following:</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Business and Industry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the impact of global economic and political conditions, including macroeconomic and political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fluctuations in our quarterly results and our ability to meet securities analysts’ and investors’ expectations;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fluctuations in the levels of our customers’ usage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attract new customers and increase usage of our products by existing customers effectively and in a cost-efficient manner;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develop new products and enhancements that achieve market acceptance and adapt to changing technology, regulations, and industry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our products with third-party products and ensure they operate effectively;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effectively manage our growth and strategic changes to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compete effectively in intensely competitive markets;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evolution of the markets for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history of losses and uncertainty about our future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hire, integrate and retain highly skilled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maintain and enhance our brand and increase market awareness of our company and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network service providers and internet service providers for network service and connectivity;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failure to set optimal prices for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international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and achieve the expected benefits of acquisitions, partnerships and investments;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Cybersecurity, Data Privacy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breaches of or incidents impacting our networks or systems, or those of our third-party service providers;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actual or perceived failure to comply with increasingly stringent laws, regulations and obligations relating to privacy, data protection and cybersecurity;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protect our intellectual property rights;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open source software;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third-party technology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AI technologies in our platform and business;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Legal and Regulatory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our ability to comply with telecommunications-related regulations, and the impact of future legislative or regulatory actions;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assign or retain geographical, mobile, regional, local or toll-free numbers and to effectively process requests to port such numbers in a timely manner due to industry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federal and state legislation and international laws imposing obligations on the senders of commercial emails;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unwanted, fraudulent or illegal usage of or activity relating to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laws and regulations related to the internet or its infrastructure;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compliance with applicable laws and regulations, including export controls, economic sanctions, customs and anti-corruption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standards imposed by private entities and inbox service providers that interfere with the effectiveness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legal proceedings or claims against us;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Financial and Accounting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exposure to foreign currency exchange rate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substantial indebtedness that may decrease our business flexibility;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additional capital to support our business and its availability on acceptable terms;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metrics, and assumptions and estimates used to calculate them;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estimates and judgments related to our critical accounting policies;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accounting standards that may cause adverse financial reporting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our goodwill or intangible assets could become impaired;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failure to maintain an effective system of disclosure controls and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Tax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use our net operating losses and certain other tax attributes to offset future taxable income and taxes;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additional tax liabilities or potentially adverse tax consequences of our global operations and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tax rules and regulations;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Ownership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volatility of the trading price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potential decline in the market price of our common stock due to substantial future sales of shares;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we may not realize the anticipated long-term stockholder value of our share repurchase program;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securities or industry analysts changing their recommendations regarding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anti-takeover provisions contained in our governing documents and the exclusive forum provision in our bylaws;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Risks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occurrence of natural catastrophic events and other events beyond our control;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environmental, social and governance (“ESG”)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Global economic and political conditions, including macroeconomic and political uncertainties, have had, and may continue to have, an adverse impact on our business, results of operations and financial condition.</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business activities continue to face widespread macroeconomic uncertainties, including market volatility, changes in international economic and trade relations, supply chain disruptions, changes in the labor market, elevated interest rates and potential increases in inflation, foreign currency exchange rate fluctuations and recession risks, which may continue for an extended period. Additionally, the instability in the political environment in many parts of the world, including in the United States, and changes and uncertainty with respect to trade policies, actual or threatened tariffs, treaties, government regulations, executive orders, directives and enforcement priorities could have an adverse effect on the global economy and/or our business. Given that a majority of our revenue is usage-based and therefore impacted by general consumer sentiment and activity, our business may be more immediately and severely impacted by adverse macroeconomic conditions than those that rely primarily on subscription revenue. Additionally, increased prices resulting from the effects of tariffs and inflation could increase our operating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macroeconomic conditions have in the past resulted in, and may in the future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our customers may be affected by changes and uncertainty in the global political environment with respect to trade and other policies. For example, uncertainty regarding the impact of tariffs on certain countries by the U.S. administration, as well as potential or actual retaliatory measures taken by trade partners, have adversely affected trade relations, put increased pressure on supply chains, and led to increased market volatility, and such effects may continue. Any resulting harm to our customers’ businesses could depress their usage levels and/or purchasing power and lead them to reduce their spending with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customers fail to pay us as a result of adverse macroeconomic or geopolitical conditions or otherwise, we may be required to take steps to enforce the terms of our contracts and collect amounts due, which may not succeed. For example, in 2023, one of our former customers in Brazil initiated reorganization proceedings exposing us to risks on collections of pre-petition receivables and ongoing revenue, and in 2024 its creditors approved a reorganization plan providing extended and discounted payment terms for pre-petition receivables. As a result of a reduction in ongoing payment activity, as of December 31, 2024, we fully reserved accounts receivable balances for this former customer.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Macroeconomic and political conditions and uncertainties have in the past adversely affected, and may in the future adversely affect, our business, results of operations and financial condition, and could exacerbate many of the other risks described in this “Risk Factors” section.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Our quarterly and annual results of operations have fluctuated in the past and may continue to do so in the future. As a result, we may fail to meet securities analysts’ and investors’ expectations, which could cause the price of our common stock to decline.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decline. In addition to the other risks described in this “Risk Factors” section, some of the factors that may result in fluctuations to our results of operations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demand for, pricing of, or usage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introduce new products, features and enhancements;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attract and retain new customers, obtain renewals from existing customers and cross-sell or otherwise increase revenue from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improve, automate, and leverage more of our self-service capabilities for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and expand relationships with resellers, distributors, and strategic partners, including ISVs, technology partners, and systems integrators;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our customer base and the markets that our products address;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combine our communications products with contextual data and AI and introduce compelling new products and enhancements that address the changing nature of our markets and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competition and the actions of our competitors, including pricing changes and the introduction of new technologies, products, services and geographies;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or incidents impacting our platform, or interruptions to the delivery and use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cloud infrastructure, network services and other third-party technology, including the fees charged by their providers;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effectiveness of our sales and marketing efforts and the productivity of our sales force;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length and complexity of the sales cycle for certain of our products 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mix of products that our customers use during a particular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seasonal trends, including due to increased consumer activity in the fourth quarter;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mix or amount of products sold in the United States versus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operating costs and capital expenditures related to the operations and expansion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customer payments and our ability to collect accounts receivable from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costs associated with recruiting, training and integrating new employees, and retaining existing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expenses in connection with mergers, acquisitions, dispositions, or other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foreign currency exchange rates and our ability to effectively hedge our foreign currency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extraordinary expenses such as litigation or other dispute-related settlement payments;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and regulations that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tax and other tax determinations by authorities in the jurisdictions in which we conduct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stock-based compensation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including heightened inflation or interest rates, and geopolitical uncertainty or instability.</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our customers terminate or reduce their usage of our products, our business, results of operations and financial condition would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cloud communications platform have impacted our customers’ ability to use products on our platform for up to several hours at a time. Issues with our products have had, and in the future may have, an adverse impact on customer satisfaction and our ability to retain or attract customers and have caused, and may in the future cause, us to incur certain costs associated with offering credits to our affected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lose customers, or if our customers reduce their usage levels of our products,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or increase usage of our products by existing customers effectively and in a cost-efficient manner, our business, results of operations and financial condition would be adversely affected.</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grow our business, we must continue to attract new customers, increase usage of our existing products and new product adoption by existing customers, and successfully market new products, including products with higher gross margins, in a cost-effective manner. Our sales and marketing teams work closely together to drive awareness and adoption of our platform. We leverage our brand, marketing programs, developer network and conferences, such as SIGNAL, to expand our go-to-market motions. Our go-to-market model has three motions: our self-service platform, primarily aimed at developers, marketers, and other technical users; our direct sales motion, primarily aimed at enterprise and commercial customers; and our partner-led motion, including resellers, distributors, and strategic partners, such as ISVs, technology partners and systems integrators, which is primarily aimed at customers who do not have the available developer resources to build their own applications.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and marketing strategies, and their effectiveness, are influenced by numerous factors.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may not lead to wider adoption of our products or to the cost-effective acquisition of additional customers or increased revenue from existing customers as quickly or to the extent we expect, or at all, and have resulted, and may in the future result, in a reduction of productivity, which could negatively impact our growth rate and results of operations. For example, in recent years, we have reduced the size of our sales force to drive further efficiencies in our sales operations and are continuing to improve and rely more heavily on our use of self-service capabilities to drive sales of our products to customers that do not require direct account coverage. We are also introducing AI and automation in our self-service platform aimed at improving sales and customer support. These efforts may not continue to be as effective as we anticipate in driving adoption or increased usage of our products, or may take longer than we expect to drive growth or increase efficiency. In addition, if the costs of the marketing channels we use increase, then we may choose to use alternative or less expensive channels, which may not be as effective as the channels we currently use.</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New products that we develop or markets that we pursue may require increasingly sophisticated and more costly sales efforts and result in longer sales cycles. For example, we are focusing increasingly on sales to enterprises, such as through our Segment product, which is primarily aimed at complex customer data platform implementations at larger companies, and additional product innovations combining our communications products with contextual data and AI. As we seek to increase the adoption of our products by enterprises, we expect to encounter higher costs and more complex sales efforts for these customers. For enterprises, the decision to adopt our products may require the approval of multiple technical and business decision makers, and enterprise customers may require extensive education about our products and significant customer support before they will commit to deploying our products at scale, which may place additional strain on our product and engineering resources. Enterprises may also engage in protracted pricing and contract negotiations, leading to higher costs and longer sales cycles. Enterprise customers may not use our products enough for us to generate revenue that justifies our cost to obtain such customers, or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efforts to increase the adoption and usage of our products or sell additional products to existing customers are more expensive or time-consuming than we expect or are otherwise ineffective, then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develop new products or product enhancements that achieve market acceptance, or adapt and respond effectively to rapidly changing technology, regulations, industry standards, or customer needs and preferences.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attract new customers and increase revenue from existing customers depends in large part on our ability to enhance and improve our existing products and to introduce compelling new products and enhancements that reflect the changing nature of our markets, technology, industry standards, and customer needs and preferences. Anticipating these factors requires that we allocate significant resources without any guarantee that our investments of these resources will result in increased adoption of our products by current and prospective customers. For example, we have committed, and expect to continue to commit, significant resources towards developing new products and enhancements by combining our communications products with contextual data and AI in order to address evolving customer needs and expectations. The success of any enhancements or new products depends on several factors, including timely completion, adequate quality testing, actual performance quality, market-accepted pricing levels, customer value and the ability to provide rapid time-to-value for our customers, and the emergence of competing products and services that may be delivered at lower prices, more efficiently,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conveniently or securely, or render our products obsolete. For example, if user authentication practices evolve to reduce or eliminate the use of one-time passwords, our revenue could be adversely affected.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at times driven by our developer community and may be outside of our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successfully and cost-effectively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success of our products depends, in part, on our ability to integrate them with third-party products used by us or our customers and to ensure that they operate effectively with evolving platforms and technologies.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changes and innovation in these technologies. For example, last year we launched a new channel using Rich Communication Services (“RCS”) and we are working on a channel for Apple Messages for Business. We are also focused on Segment’s interoperability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effectively manage our growth and strategic changes to our business, then our business, results of operations and financial condition could be adversely affected.</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substantial growth in our business and operations, which has placed, and may continue to place, significant demands on our management, operational and financial resources and systems,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markets in which we participate are intensely competitive, and if we do not compete effectively, our business, results of operations and financial condition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and prospective markets for our products are rapidly evolving, significantly fragmented and highly competitive, with relatively low barriers to entry in some segments. The principal competitive factors of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Our competitors are primarily (i) CPaaS companies that offer communications products and applications, (ii) other software companies that compete with portions of our communications product line, (iii) regional network service providers that offer limited developer functionality on top of their own physical infrastructure, (iv) customer relationship management and customer experience vendors and (v) standalone customer data platform vendors.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results of operations and financial condition also depends, in part, on our ability to establish, maintain and expand relationships through resellers, distributors, and strategic partners, including ISVs,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markets for our products continue to evolve and may decline or experience limited growth.</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customers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and to enter into new markets. Our ability to do so depends upon a number of factors, including the cost, performance and perceived value associated with our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grow or demand for our products decreases, then our business,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a history of losses and may not achieve or sustain profitability in the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achieved net income of $42.4 million in the six months ended June 30, 2025, we have incurred net losses in each preceding year since our inception, including net losses of $109.4 million and $1.0 billion in the years ended December 31, 2024 and 2023, respectively. In addition, while we have experienced revenue growth in prior periods, it is not indicative of future revenue growth, and our revenue and revenue growth for any quarterly or annual period should not be relied upon as an indication of our future revenue or revenue growth for any future period. If we are unable to generate and sustain increased revenue levels and manage our operating expenses, we may not achieve and sustain profitability and, even if we do, we may not be able increase our level of profitability or achieve our stated profitability goals.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achieving and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interconnect with fixed and mobile network service providers around the world to enable our customers to use our products over their networks. Although we currently hold or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are subject to change and we can be subject to the imposition of additional fees, penalties, or other administrative or technical requirements, and even service interruption, due to regulatory, competitive, or other industry related changes over which we have little to no control.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network service providers have instituted additional or increased fees that increase our network costs. For example, in June 2025, a major U.S. mobile carrier increased its fees for A2P SMS messages delivered to its subscribers, which will create a modest headwind to our gross margins going forward. Other U.S. mobile carriers may follow suit and such fees may increase over time.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The fees charged by our network service providers are subject to change, in some markets daily or weekly, and we may not change our customers’ pricing as rapidly and, as a result, such fee increases could adversely affect our business and results of operations. In addition, passing these fees through to our customers typically has the effect of increasing our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such problems have in the past caused, and may in the future cause, errors, service outages, security incidents, or poor-quality communications on our products, and we could encounter difficulty identifying the source of the problem. The occurrence of errors, service outages, security incidents,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in cases where we do not have direct access to network service providers, we access network services through intermediaries. Although we are in the process of securing additional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Failure to set optimal prices for our products could adversely impact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in some markets daily or weekly, differ across countries,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international operations expose us to risks inherent in global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and the years ended December 31, 2024 and 2023, we derived 36%, 35% and 34%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face risks in doing business internationally that could adversely affect our business,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and different sources of global competition affecting our ability to effectively price our products in competitive international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comply with laws, regulations, customs and industry standards in countries and other regions in which we operate or do business, and the associated costs and management attention required to support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compliance, including with respect to data privacy, data protection, data localization, cybersecurity, intellectual property rights, environmental and sustainability matters, as well as export controls, sanctions, anti-bribery and anti-corruption matters;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international tax and trade policies, tariffs, and other non-tariff barriers;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currency control regulations, which might restrict or prohibit our conversion of other currencies into U.S. dollars;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restrictions on the transfer of funds;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potential benefits from our acquisitions, partnerships and investments because of difficulties related to integration, the achievement of synergies, and other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acquisitions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the acquired businesses’ corporate functions with our corporate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determining whether and how to address possible differences in corporate cultures and management philosophies;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integrating the companies’ product, compliance, administrative and IT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developing products and technology that allow value to be unlocked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incurring significant, nonrecurring costs to integrate our operations with those of acquired businesses, including the costs to maintain employee morale and retain key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evaluating and forecasting the financial impact of such acquisitions, partnerships and investments, including accounting charges;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effecting potential actions that may be required in connection with obtaining regulatory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also divest or stop investing in certain businesses or products. For example, in 2023 we divested our Internet of Things and ValueFirst businesses, and in 2024 we wound down the software component of our Zipwhip business.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Cybersecurity, Data Privacy and Intellectual Property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Breaches of or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and business partners. We have in the past and will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or service provider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Individuals or entities have in the past attempted and will in the future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magnitude, and cloud-based companies have been targeted in the past. We face various threats from traditional computer hackers, sophisticated organized crime, nation-state and nation-state supported actors, malicious code, software vulnerabilities, supply chain attacks and vulnerabilities through our third-party partners, employee theft or misuse, attempts to bribe, extort, or compromise our employees or infiltrate our workforce, password spraying, phishing, smishing, vishing, credential stuffing, denial-of-service attacks, and advanced persistent threat intrusions, which threaten our systems (including those hosted on cloud services), internal networks, our customers’ systems, our service providers’ networks,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Geopolitical tensions and events may further heighten risks we and our service providers face from these and other attacks. Because the techniques used to access, disrupt or sabotage devices, systems and networks change frequently and may not be recognized until launched against a target, we expect to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have deployed, and continue to develop and incorporate, AI solutions and features into our platform and our business, which may result in security incidents or otherwise increase cybersecurity risks. Further, AI technologies may be used in connection with certain cybersecurity attacks, resulting in heightened risks of security breaches and incidents. Any security incidents, including internal malfeasance or inadvertent disclosures by our employees or a third-party’s fraudulent inducement of our employees to disclose information, unauthorized access or usage, the introduction of viruses or other malicious code or any other breach or incident or disruption of our platform, systems, or networks or those of our service providers, could result in loss, corruption, unavailability,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mobile phone numbers from unknown sources. The attack identified in August 2022,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took steps to remediate the incident, including enhancing our security training, improving our two factor authentication requirements, implementing additional layers of control within our VPN, reducing access to certain internal applications and tools, running simulated phishing attempts to increase employee security awareness, and increasing the refresh frequency for access to certain internal applications. Industry reports indicate that the threat actors also attacked other technology, telecommunication and cryptocurrency companies.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various third-party service providers to operate our platform and deliver our products, including network service providers, internet service providers, telecommunications carriers, and providers of cloud infrastructure and cloud communications, as well as third-party technology and intellectual property. Our service providers (or their sub-service providers) have in the past experienced, and may in the future experience, security breaches and incidents, including unauthorized access or inadvertent disclosures, that have exposed and may expose or make available to threat actors our data or that of our customers. Even when our systems are not compromised, if our service providers experience breaches or incidents that impact our data or our customers’ data,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are required to comply with laws and regulations that require us to maintain security measures designed to protect personal information and we may have contractual and other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experiences a security incident or is perceived to have experienced a security incident, we may experience adverse consequences. Consequences associated with such security incidents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our third-party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increasingly stringent laws, regulations and contractual obligations relating to privacy, data protection and cybersecurity could harm our reputation and subject us to significant fines and liability or loss of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customers are subject to numerous domestic (for example, the California Consumer Privacy Act (“CCPA”)) and foreign (for example, the General Data Protection Regulation (“GDPR”) in the European Union (“EU”)) privacy, data protection and cybersecurity laws and regulations that restrict the collection, use, disclosure and processing of personal information, including financial and health data. These laws and regulations are expanding globally, evolving, and being tested in courts, may result in increasing regulatory and public scrutiny of our practices relating to personal information and may increase our exposure to regulatory enforcement action, sanctions and litigation. The breadth and depth of changes in data protection obligations has required significant time and resources, including a review of our technology and systems against the requirements of the GDPR.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CCPA allows for statutory fines for noncompliance. Numerous other states have enacted or are considering laws and regulations addressing privacy and cybersecurity, such as Washington’s My Health, My Data Act, which includes a private right of action, and laws in several states relating to the provision of individual home address or telephone directory information. States and the U.S. federal government have also proposed general privacy legislation.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apply to privacy, data protection and cybersecurity. For example, the GDPR, the United Kingdom’s General Data Protection Regulation and Data Protection Act 2018 (“UK GDPR”) and the Swiss Federal Act on Data Protection impose strict requirements for processing personal information of covered individuals, whether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retention, security, and international data transfers. Under the GDPR and UK GDPR, government regulators may impose temporary or definitive bans on data transfers or other processing, require data deletion, and impose significant fines, potentially ranging up to the greater of 4% of a company’s worldwide revenue or 20 million Euros or 17.5 million GBP, respectively. Individuals also may initiate compensation claims or litigation related to our processing of their personal information. Other privacy and data protection laws in Europe impose strict requirements around marketing communications and the deployment of cookies.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the GDPR.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expect an increase in regulation of the use of AI and ML in products and services. For example, in Europe, the Artificial Intelligence Act, once effective, will impose onerous obligations related to the development, placement on the market and use of AI-related systems. A growing number of U.S. states are enacting legislation regulating aspects of AI or AI generally. Other countries are also contemplating laws regulating AI and ML. We may have to change our business practices to comply with obligations under these or other new and evolving regimes.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interpretation and application of laws and regulations are in many cases uncertain, and our legal and regulatory obligations are subject to frequent and unexpected changes, including the potential for new or additional laws or regulations, rulings that invalidate prior laws or regulations, or significant increases in penalties. Recent examples include the EU’s Digital Services Act, Digital Markets Act and Data Act effective in 2024, EU member state legislation implementing the EU’s Network and Information Security Directive II and the EU’s Digital Operational Resiliency Act effective in January 2025. New and changing privacy, data protection or cybersecurity laws and regulations may result in additional obligations, increase the risk of enforcement action against us, and increase the types and numbers of individuals or entities that can initiate actions against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Similarly, with our registration as an interconnected VoIP provider for certain products with the Federal Communications Commission (“FCC”), we must comply with privacy laws associated with customer proprietary network information rules in the United States. In addition, some states have adopted, proposed, or may propose, regulations that may classify our services in such a manner as to subject us to additional privacy-related compliance obligations under state law. If we fail or are perceived to have failed to maintain compliance with these requirements, we could be subject to regulatory audits or inquiries, civil and criminal penalties, fines and breach of contract claims, as well as reputational damage, which could impact the willingness of customers to do business with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contractual obligations relating to privacy, data protection and cybersecurity have become increasingly stringent due to changes in laws and regulations and expansion of our offerings. Certain privacy, data protection and cybersecurity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actual or perceived failure to comply with laws, regulations, contractual commitments, or other actual or asserted obligations, including certain industry standards, regarding privacy, data protection and cybersecurity could lead to costly legal action, adverse publicity, significant liability, inability to process data, and decreased demand for our services,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cumulative example of these risks, because our primary data processing facilities are in the United States, we have experienced hesitancy, reluctance, or refusal by European or multinational customers to continue to use our services due to potential risks arising from the Court of Justice’s July 2020 ruling in the “Schrems II” case, as well as related guidance from regulators and enforcement action against Meta by the Irish Data Protection Commission. For example, absent appropriate safeguards or other circumstances, the GDPR and laws in Switzerland and the UK generally restrict the transfer of personal information to many outside jurisdictions, such as the United States. On July 10, 2023, the European Commission adopted its adequacy decision for the EU-U.S. Data Privacy Framework. Based on this decision, personal information can flow from the EU to U.S. companies participating in the EU-U.S. Data Privacy Framework without additional data protection safeguards. We are certified under the EU-U.S. Data Privacy Framework, the UK Extension to the EU-U.S. Data Privacy Framework, and the Swiss-U.S. Data Privacy Framework. If we cannot maintain valid mechanisms for cross-border data transfers, we and our customers may face increased exposure to regulatory actions, substantial fines, and injunctions against processing or transferring personal information from Europe or elsewhere. Any inability to transfer personal information to the United States or other jurisdictions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jurisdictions to limit or eliminate the need for relevant data transfers quickly enough, and valid solutions for relevant personal information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Evolving laws, regulations, and other actual and asserted obligations relating to privacy, data protection, and cybersecurity, as well as any new or evolving obligations relating to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sell our products and subject us to possible litigation.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products and platform incorporate open source software, and we expect to continue to incorporate open source software in our products and platform in the future. Open source software presents certain risks in addition to those of third-party technology and intellectual property generally.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technology and intellectual property of third parties, the loss of which could limit the functionality of our products and disrupt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technology and intellectual property licensed from third parties in certain of our products and our platform,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the functionality of our products and platform may be negatively impacted, our customers may experience outages or reduced service levels, and our business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example, we outsource a substantial majority of our cloud infrastructure to Amazon Web Services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use of AI technologies in our platform and our business may not produce the desired benefits, and may result in increased liability, reputational harm, or other adverse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deployed, and continue to develop and incorporate, AI solutions and features into our platform and our business, and these solutions and features may become more important to our operations or to our future growth over time. We expect to rely on AI solutions and features to help drive future growth and efficiency in our business, but there can be no assurance that we will realize the desired or anticipated benefits from AI in a timely or cost-effective manner. For example, we are focused on continued product innovations to combine our communications products with contextual data and AI to address evolving customer needs and expectations. We are also building out new AI capabilities internally, including AI automation and agents in our self-service platform and in our internal operations.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harmful,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or contractual obligations to which we are or may become subject. If we fail to obtain any required permissions to collect, use, or otherwise process data, including personal information, in relation to AI solutions or features, or if we jeopardize the privacy or security of such information, it could adversely affect our business, results of operations and financial condition.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provider of communications products and a licensed telecommunications provider, we are subject to existing or potential FCC and state regulations relating to privacy, telecommunications, consumer protection and other requirements. If we do not comply with FCC rules and regulations, or other communications laws and regulations, we could be subject to enforcement actions, fines, loss of licenses and possibly restrictions on our ability to operate or offer certain of our products. Any enforcement action by the FCC or another regulatory authority,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our products are subject to a number of regulations and laws that are administered by the FCC. Among others, we must comply (in whole or in part) with: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Communications Act of 1934, as amended, which regulates communications services and the provision of such services;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Telephone Consumer Protection Act of 1991 (“TCPA”), which limits the use of automatic dialing systems for calls and texts, artificial or prerecorded voice messages and fax machines and establishes quiet hours for solicitations;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Communications Assistance for Law Enforcement Act, which requires covered entities to assist law enforcement in undertaking electronic surveillance;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Pallone-Thune Telephone Robocall Abuse Criminal Enforcement and Deterrence Act (“TRACED”);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requirements to safeguard the privacy of certain customer information;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payment of annual FCC regulatory fees and contributions to FCC-administered funds based on our interstate and international revenues, as well as to the Universal Service Fund;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rules pertaining to access to our services by people with disabilities and contributions to the Telecommunications Relay Services fund.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Congress and the FCC continue to focus on mitigating the prevalence of robocalls and robotexts, including by requiring providers to implement call authentication technologies such as Signature-based Handling of Asserted Information Using toKENs and Secure Telephone Identity Revisited, which together establish a set of technical standards and protocols that allow for the authentication and verification of caller ID information, adopting stricter Robocall Mitigation Database (“RMD”) filing requirements and increasing the base forfeiture amount for submitting false or inaccurate statements to the RMD. Combating illegal calls is one of the FCC’s top consumer protection priorities, and the FCC continues to take steps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strengthen, expand and enforce its rules against the origination and carrying of illegal robocalls and robotexts. We cannot predict whether the FCC will require more or different robocall and robotext mitigation measures than those we have or are planning to implement. New regulations or requirements that restrict the types of customers allowed to use our platform or impose overly burdensome requirements for our customers could limit the customers that we are able to serve. In addition, the extension of telecommunications regulations to our non-interconnected VoIP services could result in additional federal and state regulatory obligations and taxes.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some states have adopted, proposed or may propose, regulations that may subject us to additional registration, reporting, resiliency and/or compliance obligations. If we become subject to several new and/or different interconnected and/or non-interconnected VoIP regulations at the state level, it would increase our compliance costs and the risk of enforcement action against us, which in turn could adversely affect our business, results of operations and financial condition.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Internationally, we currently offer our products in more than 180 countries and territories and continue to expand. When we enter new countries and as our presence and market share in such countries grow, our regulatory obligations and scrutiny increase, which increases our compliance costs and could impact our products and platform, create operational challenges, or prevent us from offering or providing our products in certain countries.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the regulation of CPaaS companies continues to evolve internationally and many existing regulations may not fully contemplate the CPaaS business model or how it fits into the communications regulatory framework. As a result, the application, interpretation or enforcement of regulations often involve significant uncertainties. In many countries,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reporting requirements, provision of emergency services, provision of information to support emergency services and number portability as well as requirements to combat scams and fraud.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implement Know-Your-Customer and/or Know-Your-Traffic related processes in the jurisdictions in which we operate. Related obligations can vary across jurisdictions, and such processes may create onboarding delays and friction for our customers, as well as other operational and compliance challenges requiring management attention, and increase our compliance costs.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of our products may be used by customers located in countries where voice and other forms of Internet Protocol (“IP”) communications may be illegal or require special licensing or in countries on a U.S. embargo list. Users in such countries may continue to use our products in those countries notwithstanding the illegality or embargo, or a local partner that we use to provide services may not comply with applicable governmental regulations, subjecting us to potential penalties or governmental actions that may be costly,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obtain, assign or retain geographical, mobile, regional, local or toll-free numbers, or to effectively process requests to port such numbers in a timely manner due to industry regulations, our business and results of operations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and the requirements of network service providers from whom we can provision Numbering Resources, such as conditional minimum volume call level requirements, as well as related costs and competitive demand.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order to obtain allocations of, assign and retain Numbering Resources in many international jurisdictions, we are often required to be licensed by local telecommunications regulatory authorities. We have obtained licenses and are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process of obtaining licenses in various countries in which we do business, but in some countries, the regulatory regime around provisioning of Numbering Resources is unclear, subject to change over time, and sometimes may conflict from jurisdiction to jurisdiction. These regulations and governments’ approach to their enforcement, as well as our products and services, are evolving and we may be unable to maintain compliance with applicable regulations, or enforce compliance by our customers, on a timely basis or without significant cost or changes in products or business practices that result in reduced revenue. In some countries where our or our customers’ assignment and/or use of Numbering Resources in certain ways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required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acquire or retain Numbering Resources, our voice and messaging products may be less attractive to potential customers. Certain popular area code prefixes have limited availability, and restrictive rules generally prevent us from obtaining or assigning certain number types. In addition, future growth in our customer base and those of other CPaaS providers may make it increasingly difficult to source larger quantities of Numbering Resources, and Numbering Resources may become more expensive or subject to more stringent regulation or conditions of usage.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our dependency on network service providers to transfer these numbers, and these network service providers may refuse or substantially delay the transfer of these numbers to us. Number portability is an important feature to many potential customers, and failure to reduce delays may result in adverse regulatory enforcement, increased difficulty in acquiring new customers, or costs to compensate customers for certain failures in the porting process.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customers’ and others’ violation of our policies or other misuse of our platform to transmit unwanted, offensive or illegal messages, spam, phishing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or perceived improper sending of text messages or voice calls may subject us to potential risks, including liabilities or claims relating to consumer protection laws and regulatory enforcement, including fines. For example, the TCPA restricts telemarketing and the use of automatic SMS text messages without prior express consent. TCPA violations can result in significant financial penalties, as businesses can incur civil or criminal penalties imposed by the FCC, state attorneys general or other state actors or through private litigation. Regulatory enforcement is often public, which would result in reputational harm.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we could face direct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customers may use our platform to transmit unwanted,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and in particular, our Acceptable Use Policy.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and other users’ promotion of their products and services through our platform might not comply with federal, state, and foreign laws or of contractual requirements imposed by carriers, such as the CTIA Shortcode Agreement, The Campaign Registry, carrier codes of conduct and similar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future success of our business depends upon the continued use of the internet as a primary medium for commerce, communications and business applications. Federal, state or foreign government bodies or agencies have in the past adopted,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legislative and regulatory landscape regarding the regulation of the internet is subject to uncertainty. For example, in January 2025, the U.S. Court of Appeals for the Sixth Circuit struck down the FCC’s net neutrality rules, and it is unlikely that similar federal rules will be adopted. Without federal net neutrality rules, we cannot predict whether internet access service providers may be able to limit our users’ ability to access our platform or make our platform a less attractive alternative to our competitors’ applications. Moreover, several states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 and operational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Our global operations subject us to potential liability under export controls, economic sanctions, customs, anti-corruption, and other laws and regulations, and violating these laws could subject us to liability and impair our ability to compete in international markets.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our products and services may be subject to international trade laws, including the U.S. Export Administration Regulations, U.S. customs laws, and U.S. economic and trade sanctions as well as similar laws and regulations in other countries in which we do business. Exports and imports of our products and the provision of our services must be made in compliance with these laws. We take precautions to prevent our products from being imported or exported and our services from being provided in violation of these laws; however, we are aware of certain of our products and services being provided to, procured from, or that involve dealings with,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 which may be imposed on us and responsible employees or managers; criminal liability, which may be imposed on us and responsible employees or managers; and, in extreme cases, the incarceration of responsible employees or managers.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 limitations on our ability to export our products and provide our services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operations from deploying our products and using our services throughout their globally-distributed systems or, in some cases, prevent the export of our products or provision of our services to some countries altogether.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For example, in 2024 and 2025, Google, Yahoo and Microsoft began enforcing new email sender requirements aimed at sender authentication, including Domain-based Message Authentication, Reporting and Conformance (“DMARC”) record requirements, requiring us to devote time and resources toward compliance efforts. These or similar authentication requirements imposed in the future could result in reduced volumes for our email products and could adversely affect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Any legal proceedings or claims against us could be costly and time-consuming to defend and could harm our reputation regardless of the outcome.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operations as a result of legal proceedings or claims,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exposure to foreign currency exchange rate fluctuations, and such fluctuations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we had $1.0 billion of indebtedness outstanding (excluding intercompany indebtedness). Our indebtedness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 our ability to obtain additional financing to fund future working capital, capital expenditures, business opportunities,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expose us to the risk of increased interest rates as certain of our borrowings, including borrowings under a future revolving credit facility, may be at variable rates of interest;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increase our cost of borrowing.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acceleration of substantially all of our indebtedness. Any such event would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 </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might not be available on acceptable terms,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business metrics, and real or perceived inaccuracies in such metrics could adversely affect our reputation and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assumptions and estimates to calculate certain of our business metrics that we disclose in SEC filings, press releases and other materials, including Active Customer Accounts and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accounting standards or practices may cause adverse, unexpected financial reporting fluctuations and affect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goodwill or intangible assets become impaired, we may be required to record a significant charge to earnings.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review our intangible assets for impairment when events or changes in circumstances indicate the carrying value may not be recoverable. Goodwill is required to be tested for impairment at least annually. As of June 30, 2025, we carried a net $5.4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example, during the year ended December 31, 2023, we recorded an impairment of intangible assets related to Segment totaling approximately $285.7 million, as described in additional detail in Note 6 to our consolidated financial statements included in our Annual Report on Form 10-K for the year ended December 31, 2023. Any such charges may adversely affect our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Tax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and certain other tax attributes to offset future taxable income and taxes may be subject to certain limitations.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2024, we had U.S. federal, state and foreign net operating loss carryforwards (“NOLs”), of $2.8 billion, $2.4 billion and $0.8 billion, respectively. Utilization of these NOLs depends on our future taxable income, and there is risk that a portion of our existing NOLs could expire unused and the use of our unexpired NOLs could be subject to limitations, which could materially and adversely affect our operating results. Under current law, our U.S. federal NOLs can generally be carried forward indefinitely, but the deductibility of such NOLs is generally limited to 80% of taxable income. Our state NOLs may also be subject to limitations, including periods during which the use of state NOLs is suspended or otherwise limited, which could accelerate or permanently increase state taxes owed. For example, in June 2024, California enacted legislation that limits the use of state NOLs for taxable years beginning on or after January 1, 2024 and before January 1, 2027.</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(which may be outside of our control), our ability to utilize NOLs and other tax attributes could be further limited.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have additional tax liabilities,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conduct operations in many tax jurisdictions throughout the United States and internationally. In many of these jurisdictions, non-income-based taxes, such as sales tax,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$43.6 million on our June 30, 2025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sheet, our results of operations would be harmed. In addition, some customers may question the incremental tax charges and seek to negotiate lower pricing from us,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which may increase our costs of doing business and negatively affect the prices our customers pay for our products.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global operations and structure subject us to potentially adverse tax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or interpretations of, tax rules and regulations or our tax positions may materially and adversely affect our 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GAAP, we recognize income tax benefits, net of required valuation allowances and accrual for uncertain tax positions. Although we believe our tax estimates are reasonable, the final determination of tax audits and any related litigation could be materially different than that which is reflected in our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tax laws, including recently enacted U.S. federal tax legislation commonly referred to as the One Big Beautiful Bill Act (the “OBBB Act”),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The OBBB Act could potentially increase our effective tax rate as we continue to expand our international operations in the coming years.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of corporations with adjusted financial statement income exceeding $1.0 billion, effective for tax years beginning after December 31, 2022, and a 1% excise tax on share repurchases occurring after December 31, 2022, which resulted in an excise tax payable calculated on our 2023 and 2024 share repurchases.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another example, in 2021, the Organization for Economic Co-operation and Development (the “OECD”) announced the OECD/G20 Inclusive Framework on Base Erosion and Profit Shifting (the “Framework”) and released Pillar Two Model Rules defining global minimum tax rules (“Pillar Two”), contemplating a minimum tax rate of 15% for large multinational companies. In 2022, the European Union (EU) Member States adopted the EU’s Pillar Two Directive, and various other countries have proposed or enacted similar legislation that may increase our taxes in these countries. On June 28, 2025, the G7 released a joint statement that it had reached an understanding with the United States for a side-by-side system based on certain accepted principles, including that U.S.-parented groups, such as ours, would be exempt from certain provisions of Pillar Two. However, this statement has not yet been incorporated into the Framework.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to these and other areas in relation to potential U.S. and international tax reform could increase uncertainty and may adversely affect our tax rate and cash flow in future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trading price of our common stock has been volatile and may continue to be volatile, and you could lose all or part of your investment.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and may continue to, fluctuate significantly in response to numerous factors, many of which are beyond our control and may not be related to our operating performance,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of shares of our common stock by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issuance or repurchase of shares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short selling of our common stock or related derivatives;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financial estimates or the publication of reports or statements by securities analysts or investors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financial projections or targets we may provide to the public, any changes in those projections or targets, or our failure to meet those projections or targets;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new products or services or related to acquisitions of businesses,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regulations or regulatory enforcement in the United States or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 or actual or anticipated changes in our strategy or the organization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significant change in our management, including changes in the pace of hiring;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political, social, economic and market conditions, in both domestic and foreign markets, and slow or negative growth of our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Substantial future sales of shares of our common stock could cause the market price of our common stock to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the repurchase of up to $2.0 billion of our common stock from time to time through a share repurchase program. As of June 30, 2025, we had repurchased $306.9 million of outstanding shares of our common stock under this program, such that approximately $1.7 billion remained available for purchase as of such date.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securities or industry analysts change their recommendations regarding our common stock adversely, the trading price of our common stock and trading volume could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liability of, and providing indemnification to, our directors and officers;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ability of our stockholders to call and bring business before special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prohibiting stockholder action by written consent, instead requiring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controlling the procedures for the conduct and scheduling of board of directors and stockholder meetings;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bylaws provide that the Court of Chancery of the State of Delaware is the exclusive forum for the following types of actions or proceedings under Delaware statutory or common law: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breach of fiduciary duty owed by our directors, officers, employees or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any action asserting a claim against us arising under the Delaware General Corporation Law;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 (the “Delaware Forum Provision”).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is subject to the risks of pandemics, earthquakes, fire, floods and other natural catastrophic events, and to interruption by man-made problems such as power disruptions, computer viruses, security breaches and incidents, terrorism or war.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 activities, lengthy interruptions in service, security breaches and incidents and loss or unavailability of critical data,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reputation and/or business could be negatively impacted by ESG matters and/or our reporting of such matters.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an increasing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we issued 22,102 shares of our Class A common stock to an independent donor advised fund to further our Twilio.org philanthropic goals. The shares were “restricted securities” for purposes of Rule 144 under the Securities Act, and had an aggregate fair market value on the date of donation of $2.2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share repurchase activity for the three months ended June 30, 2025:</w:t>
      </w:r>
    </w:p>
    <w:tbl>
      <w:tblPr>
        <w:tblW w:w="10205" w:type="dxa"/>
        <w:jc w:val="left"/>
        <w:tblInd w:w="0" w:type="dxa"/>
        <w:tblLayout w:type="fixed"/>
        <w:tblCellMar>
          <w:top w:w="28" w:type="dxa"/>
          <w:left w:w="28" w:type="dxa"/>
          <w:bottom w:w="28" w:type="dxa"/>
          <w:right w:w="28" w:type="dxa"/>
        </w:tblCellMar>
      </w:tblPr>
      <w:tblGrid>
        <w:gridCol w:w="262"/>
        <w:gridCol w:w="231"/>
        <w:gridCol w:w="233"/>
        <w:gridCol w:w="109"/>
        <w:gridCol w:w="109"/>
        <w:gridCol w:w="109"/>
        <w:gridCol w:w="452"/>
        <w:gridCol w:w="452"/>
        <w:gridCol w:w="454"/>
        <w:gridCol w:w="109"/>
        <w:gridCol w:w="109"/>
        <w:gridCol w:w="109"/>
        <w:gridCol w:w="271"/>
        <w:gridCol w:w="895"/>
        <w:gridCol w:w="151"/>
        <w:gridCol w:w="109"/>
        <w:gridCol w:w="109"/>
        <w:gridCol w:w="109"/>
        <w:gridCol w:w="109"/>
        <w:gridCol w:w="109"/>
        <w:gridCol w:w="768"/>
        <w:gridCol w:w="768"/>
        <w:gridCol w:w="771"/>
        <w:gridCol w:w="109"/>
        <w:gridCol w:w="109"/>
        <w:gridCol w:w="109"/>
        <w:gridCol w:w="588"/>
        <w:gridCol w:w="1673"/>
        <w:gridCol w:w="330"/>
        <w:gridCol w:w="109"/>
        <w:gridCol w:w="109"/>
        <w:gridCol w:w="162"/>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April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1 - 31,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June 1 - 30,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12 — Stockholders' Equity in Part I, Item 1, of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following “Rule 10b5-1 trading arrangements” (as defined in Item 408 of Regulation S-K) were adopted or terminated by our directors and officers, each of which was intended to satisfy the affirmative defense in Rule 10b5-1(c):</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6, 2025, Aidan Viggiano, our Chief Financial Officer, adopted a Rule 10b5-1 trading plan providing for the sale of (i) shares of our common stock issuable upon the vesting and settlement of up to 68,226 RSUs outstanding prior to the adoption of the plan and (ii) certain shares of our common stock that Ms. Viggiano will acquire upon the vesting and settlement of any RSUs that may be granted after the adoption of the plan, and in each case, net of shares sold in mandatory transactions to cover withholding taxes. The shares listed above for Ms. Viggiano include shares subject to limit orders that may or may not execute. The duration of the plan is until July 31, 2026 or earlier if all transactions under the plan have been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c701c892e8b54e6a9f4bc7312d868411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documents listed in the Exhibit Index of this Quarterly Report on Form 10-Q are incorporated by reference or are filed with this Quarterly Report on Form 10-Q, in each case as indicated therein.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714"/>
        <w:gridCol w:w="1624"/>
        <w:gridCol w:w="1642"/>
        <w:gridCol w:w="109"/>
        <w:gridCol w:w="109"/>
        <w:gridCol w:w="109"/>
        <w:gridCol w:w="170"/>
        <w:gridCol w:w="170"/>
        <w:gridCol w:w="171"/>
        <w:gridCol w:w="109"/>
        <w:gridCol w:w="109"/>
        <w:gridCol w:w="109"/>
        <w:gridCol w:w="247"/>
        <w:gridCol w:w="235"/>
        <w:gridCol w:w="183"/>
        <w:gridCol w:w="109"/>
        <w:gridCol w:w="109"/>
        <w:gridCol w:w="109"/>
        <w:gridCol w:w="210"/>
        <w:gridCol w:w="210"/>
        <w:gridCol w:w="211"/>
        <w:gridCol w:w="109"/>
        <w:gridCol w:w="109"/>
        <w:gridCol w:w="109"/>
        <w:gridCol w:w="366"/>
        <w:gridCol w:w="325"/>
        <w:gridCol w:w="367"/>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INDEX</w:t>
            </w:r>
          </w:p>
        </w:tc>
      </w:tr>
      <w:tr>
        <w:trPr/>
        <w:tc>
          <w:tcPr>
            <w:tcW w:w="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16"/>
                  <w:u w:val="single"/>
                </w:rPr>
                <w:t xml:space="preserve">Amended and Restated </w:t>
              </w:r>
            </w:hyperlink>
            <w:hyperlink r:id="rId4">
              <w:r>
                <w:rPr>
                  <w:rStyle w:val="InternetLink"/>
                  <w:rFonts w:ascii="Times New Roman;serif" w:hAnsi="Times New Roman;serif"/>
                  <w:b w:val="false"/>
                  <w:color w:val="000080"/>
                  <w:sz w:val="16"/>
                  <w:u w:val="single"/>
                </w:rPr>
                <w:t>Certificat</w:t>
              </w:r>
            </w:hyperlink>
            <w:hyperlink r:id="rId5">
              <w:r>
                <w:rPr>
                  <w:rStyle w:val="InternetLink"/>
                  <w:rFonts w:ascii="Times New Roman;serif" w:hAnsi="Times New Roman;serif"/>
                  <w:b w:val="false"/>
                  <w:color w:val="000080"/>
                  <w:sz w:val="16"/>
                  <w:u w:val="single"/>
                </w:rPr>
                <w:t>e</w:t>
              </w:r>
            </w:hyperlink>
            <w:hyperlink r:id="rId6">
              <w:r>
                <w:rPr>
                  <w:rStyle w:val="InternetLink"/>
                  <w:rFonts w:ascii="Times New Roman;serif" w:hAnsi="Times New Roman;serif"/>
                  <w:b w:val="false"/>
                  <w:color w:val="000080"/>
                  <w:sz w:val="16"/>
                  <w:u w:val="single"/>
                </w:rPr>
                <w:t xml:space="preserve"> of Incor</w:t>
              </w:r>
            </w:hyperlink>
            <w:hyperlink r:id="rId7">
              <w:r>
                <w:rPr>
                  <w:rStyle w:val="InternetLink"/>
                  <w:rFonts w:ascii="Times New Roman;serif" w:hAnsi="Times New Roman;serif"/>
                  <w:b w:val="false"/>
                  <w:color w:val="000080"/>
                  <w:sz w:val="16"/>
                  <w:u w:val="single"/>
                </w:rPr>
                <w:t>poration of Twilio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June 11, 2025</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50630xex311.htm">
              <w:r>
                <w:rPr>
                  <w:rStyle w:val="InternetLink"/>
                  <w:rFonts w:ascii="Times New Roman;serif" w:hAnsi="Times New Roman;serif"/>
                  <w:b w:val="false"/>
                  <w:color w:val="0000FF"/>
                  <w:sz w:val="16"/>
                  <w:u w:val="single"/>
                </w:rPr>
                <w:t>Certification of the Chief Executive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50630xex312.htm">
              <w:r>
                <w:rPr>
                  <w:rStyle w:val="InternetLink"/>
                  <w:rFonts w:ascii="Times New Roman;serif" w:hAnsi="Times New Roman;serif"/>
                  <w:b w:val="false"/>
                  <w:color w:val="0000FF"/>
                  <w:sz w:val="16"/>
                  <w:u w:val="single"/>
                </w:rPr>
                <w:t>Certification of the Chief Financial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50630xex321.htm">
              <w:r>
                <w:rPr>
                  <w:rStyle w:val="InternetLink"/>
                  <w:rFonts w:ascii="Times New Roman;serif" w:hAnsi="Times New Roman;serif"/>
                  <w:b w:val="false"/>
                  <w:color w:val="0000FF"/>
                  <w:sz w:val="16"/>
                  <w:u w:val="single"/>
                </w:rPr>
                <w:t>Certification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Furnished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6580" w:type="dxa"/>
        <w:jc w:val="center"/>
        <w:tblInd w:w="0" w:type="dxa"/>
        <w:tblLayout w:type="fixed"/>
        <w:tblCellMar>
          <w:top w:w="28" w:type="dxa"/>
          <w:left w:w="28" w:type="dxa"/>
          <w:bottom w:w="28" w:type="dxa"/>
          <w:right w:w="28" w:type="dxa"/>
        </w:tblCellMar>
      </w:tblPr>
      <w:tblGrid>
        <w:gridCol w:w="445"/>
        <w:gridCol w:w="390"/>
        <w:gridCol w:w="394"/>
        <w:gridCol w:w="109"/>
        <w:gridCol w:w="109"/>
        <w:gridCol w:w="109"/>
        <w:gridCol w:w="1469"/>
        <w:gridCol w:w="1469"/>
        <w:gridCol w:w="208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TWILIO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KHOZEMA Z. SHIPCHANDLER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Khozema Z. Shipchandler</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Director and Chief Executive Officer (Principal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AIDAN VIGGIANO</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Aidan Viggiano</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 Khozema Z. Shipchandler,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Date: August 8, 2025</w:t>
      </w:r>
    </w:p>
    <w:tbl>
      <w:tblPr>
        <w:tblW w:w="4181" w:type="dxa"/>
        <w:jc w:val="left"/>
        <w:tblInd w:w="0" w:type="dxa"/>
        <w:tblLayout w:type="fixed"/>
        <w:tblCellMar>
          <w:top w:w="28" w:type="dxa"/>
          <w:left w:w="28" w:type="dxa"/>
          <w:bottom w:w="28" w:type="dxa"/>
          <w:right w:w="28" w:type="dxa"/>
        </w:tblCellMar>
      </w:tblPr>
      <w:tblGrid>
        <w:gridCol w:w="1380"/>
        <w:gridCol w:w="1213"/>
        <w:gridCol w:w="121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Aidan Viggiano,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Date: August 8, 2025</w:t>
      </w:r>
    </w:p>
    <w:tbl>
      <w:tblPr>
        <w:tblW w:w="5366" w:type="dxa"/>
        <w:jc w:val="left"/>
        <w:tblInd w:w="0" w:type="dxa"/>
        <w:tblLayout w:type="fixed"/>
        <w:tblCellMar>
          <w:top w:w="28" w:type="dxa"/>
          <w:left w:w="28" w:type="dxa"/>
          <w:bottom w:w="28" w:type="dxa"/>
          <w:right w:w="28" w:type="dxa"/>
        </w:tblCellMar>
      </w:tblPr>
      <w:tblGrid>
        <w:gridCol w:w="1810"/>
        <w:gridCol w:w="1587"/>
        <w:gridCol w:w="1597"/>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The Company’s Quarterly Report on Form 10-Q for the quarter ended June 30, 2025,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8, 2025 </w:t>
      </w:r>
    </w:p>
    <w:tbl>
      <w:tblPr>
        <w:tblW w:w="5367" w:type="dxa"/>
        <w:jc w:val="center"/>
        <w:tblInd w:w="0" w:type="dxa"/>
        <w:tblLayout w:type="fixed"/>
        <w:tblCellMar>
          <w:top w:w="28" w:type="dxa"/>
          <w:left w:w="28" w:type="dxa"/>
          <w:bottom w:w="28" w:type="dxa"/>
          <w:right w:w="28" w:type="dxa"/>
        </w:tblCellMar>
      </w:tblPr>
      <w:tblGrid>
        <w:gridCol w:w="1810"/>
        <w:gridCol w:w="1591"/>
        <w:gridCol w:w="1594"/>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7669/000119312525139163/d898551dex31.htm" TargetMode="External"/><Relationship Id="rId4" Type="http://schemas.openxmlformats.org/officeDocument/2006/relationships/hyperlink" Target="https://www.sec.gov/Archives/edgar/data/1447669/000119312525139163/d898551dex31.htm" TargetMode="External"/><Relationship Id="rId5" Type="http://schemas.openxmlformats.org/officeDocument/2006/relationships/hyperlink" Target="https://www.sec.gov/Archives/edgar/data/1447669/000119312525139163/d898551dex31.htm" TargetMode="External"/><Relationship Id="rId6" Type="http://schemas.openxmlformats.org/officeDocument/2006/relationships/hyperlink" Target="https://www.sec.gov/Archives/edgar/data/1447669/000119312525139163/d898551dex31.htm" TargetMode="External"/><Relationship Id="rId7" Type="http://schemas.openxmlformats.org/officeDocument/2006/relationships/hyperlink" Target="https://www.sec.gov/Archives/edgar/data/1447669/000119312525139163/d898551dex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46189</Words>
  <Characters>262849</Characters>
  <CharactersWithSpaces>306937</CharactersWithSpaces>
  <Paragraphs>3662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