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191135</wp:posOffset>
            </wp:positionH>
            <wp:positionV relativeFrom="page">
              <wp:posOffset>643255</wp:posOffset>
            </wp:positionV>
            <wp:extent cx="716661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610870</wp:posOffset>
            </wp:positionV>
            <wp:extent cx="7166610"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2700"/>
                    </a:xfrm>
                    <a:prstGeom prst="rect">
                      <a:avLst/>
                    </a:prstGeom>
                    <a:noFill/>
                  </pic:spPr>
                </pic:pic>
              </a:graphicData>
            </a:graphic>
          </wp:anchor>
        </w:drawing>
        <w:t>UNITED STATES</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line="235" w:lineRule="auto"/>
        <w:rPr>
          <w:sz w:val="20"/>
          <w:szCs w:val="20"/>
          <w:color w:val="auto"/>
        </w:rPr>
      </w:pPr>
      <w:r>
        <w:rPr>
          <w:rFonts w:ascii="Arial" w:cs="Arial" w:eastAsia="Arial" w:hAnsi="Arial"/>
          <w:sz w:val="14"/>
          <w:szCs w:val="14"/>
          <w:b w:val="1"/>
          <w:bCs w:val="1"/>
          <w:color w:val="auto"/>
        </w:rPr>
        <w:t>Washington, D.C. 20549</w:t>
      </w:r>
    </w:p>
    <w:p>
      <w:pPr>
        <w:ind w:left="4420"/>
        <w:spacing w:after="0"/>
        <w:rPr>
          <w:sz w:val="20"/>
          <w:szCs w:val="20"/>
          <w:color w:val="auto"/>
        </w:rPr>
      </w:pPr>
      <w:r>
        <w:rPr>
          <w:rFonts w:ascii="Arial" w:cs="Arial" w:eastAsia="Arial" w:hAnsi="Arial"/>
          <w:sz w:val="11"/>
          <w:szCs w:val="11"/>
          <w:b w:val="1"/>
          <w:bCs w:val="1"/>
          <w:color w:val="auto"/>
        </w:rPr>
        <w:t>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1"/>
          <w:szCs w:val="11"/>
          <w:b w:val="1"/>
          <w:bCs w:val="1"/>
          <w:color w:val="auto"/>
        </w:rPr>
        <w:t>_____________________________________________</w:t>
      </w:r>
    </w:p>
    <w:p>
      <w:pPr>
        <w:spacing w:after="0" w:line="225" w:lineRule="exact"/>
        <w:rPr>
          <w:sz w:val="24"/>
          <w:szCs w:val="24"/>
          <w:color w:val="auto"/>
        </w:rPr>
      </w:pPr>
    </w:p>
    <w:p>
      <w:pPr>
        <w:ind w:left="640" w:hanging="625"/>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2"/>
          <w:szCs w:val="12"/>
          <w:b w:val="1"/>
          <w:bCs w:val="1"/>
          <w:color w:val="auto"/>
        </w:rPr>
        <w:t>QUARTERLY REPORT PURSUANT TO SECTION 13 OR 15(d) OF THE SECURITIES EXCHANGE ACT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 the quarterly period ended June 30, 2022</w:t>
      </w:r>
    </w:p>
    <w:p>
      <w:pPr>
        <w:spacing w:after="0" w:line="187" w:lineRule="exact"/>
        <w:rPr>
          <w:sz w:val="24"/>
          <w:szCs w:val="24"/>
          <w:color w:val="auto"/>
        </w:rPr>
      </w:pPr>
    </w:p>
    <w:p>
      <w:pPr>
        <w:ind w:left="640" w:hanging="590"/>
        <w:spacing w:after="0"/>
        <w:tabs>
          <w:tab w:leader="none" w:pos="640" w:val="left"/>
        </w:tabs>
        <w:numPr>
          <w:ilvl w:val="0"/>
          <w:numId w:val="2"/>
        </w:numPr>
        <w:rPr>
          <w:rFonts w:ascii="MS PGothic" w:cs="MS PGothic" w:eastAsia="MS PGothic" w:hAnsi="MS PGothic"/>
          <w:sz w:val="14"/>
          <w:szCs w:val="14"/>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1400" w:type="dxa"/>
        <w:tblCellMar>
          <w:top w:w="0" w:type="dxa"/>
          <w:left w:w="0" w:type="dxa"/>
          <w:bottom w:w="0" w:type="dxa"/>
          <w:right w:w="0" w:type="dxa"/>
        </w:tblCellMar>
      </w:tblPr>
      <w:tr>
        <w:trPr>
          <w:trHeight w:val="159"/>
        </w:trPr>
        <w:tc>
          <w:tcPr>
            <w:tcW w:w="2660" w:type="dxa"/>
            <w:vAlign w:val="bottom"/>
          </w:tcPr>
          <w:p>
            <w:pPr>
              <w:spacing w:after="0"/>
              <w:rPr>
                <w:sz w:val="13"/>
                <w:szCs w:val="13"/>
                <w:color w:val="auto"/>
              </w:rPr>
            </w:pPr>
          </w:p>
        </w:tc>
        <w:tc>
          <w:tcPr>
            <w:tcW w:w="5360" w:type="dxa"/>
            <w:vAlign w:val="bottom"/>
          </w:tcPr>
          <w:p>
            <w:pPr>
              <w:jc w:val="center"/>
              <w:ind w:right="2118"/>
              <w:spacing w:after="0"/>
              <w:rPr>
                <w:sz w:val="20"/>
                <w:szCs w:val="20"/>
                <w:color w:val="auto"/>
              </w:rPr>
            </w:pPr>
            <w:r>
              <w:rPr>
                <w:rFonts w:ascii="Arial" w:cs="Arial" w:eastAsia="Arial" w:hAnsi="Arial"/>
                <w:sz w:val="12"/>
                <w:szCs w:val="12"/>
                <w:b w:val="1"/>
                <w:bCs w:val="1"/>
                <w:color w:val="auto"/>
                <w:w w:val="92"/>
              </w:rPr>
              <w:t>For the transition period from to</w:t>
            </w:r>
          </w:p>
        </w:tc>
      </w:tr>
      <w:tr>
        <w:trPr>
          <w:trHeight w:val="175"/>
        </w:trPr>
        <w:tc>
          <w:tcPr>
            <w:tcW w:w="2660" w:type="dxa"/>
            <w:vAlign w:val="bottom"/>
          </w:tcPr>
          <w:p>
            <w:pPr>
              <w:spacing w:after="0"/>
              <w:rPr>
                <w:sz w:val="15"/>
                <w:szCs w:val="15"/>
                <w:color w:val="auto"/>
              </w:rPr>
            </w:pPr>
          </w:p>
        </w:tc>
        <w:tc>
          <w:tcPr>
            <w:tcW w:w="5360" w:type="dxa"/>
            <w:vAlign w:val="bottom"/>
          </w:tcPr>
          <w:p>
            <w:pPr>
              <w:jc w:val="center"/>
              <w:ind w:right="2138"/>
              <w:spacing w:after="0"/>
              <w:rPr>
                <w:sz w:val="20"/>
                <w:szCs w:val="20"/>
                <w:color w:val="auto"/>
              </w:rPr>
            </w:pPr>
            <w:r>
              <w:rPr>
                <w:rFonts w:ascii="Arial" w:cs="Arial" w:eastAsia="Arial" w:hAnsi="Arial"/>
                <w:sz w:val="12"/>
                <w:szCs w:val="12"/>
                <w:b w:val="1"/>
                <w:bCs w:val="1"/>
                <w:color w:val="auto"/>
                <w:w w:val="91"/>
              </w:rPr>
              <w:t>Commission File Number: 001-37806</w:t>
            </w:r>
          </w:p>
        </w:tc>
      </w:tr>
      <w:tr>
        <w:trPr>
          <w:trHeight w:val="175"/>
        </w:trPr>
        <w:tc>
          <w:tcPr>
            <w:tcW w:w="2660" w:type="dxa"/>
            <w:vAlign w:val="bottom"/>
          </w:tcPr>
          <w:p>
            <w:pPr>
              <w:spacing w:after="0"/>
              <w:rPr>
                <w:sz w:val="15"/>
                <w:szCs w:val="15"/>
                <w:color w:val="auto"/>
              </w:rPr>
            </w:pPr>
          </w:p>
        </w:tc>
        <w:tc>
          <w:tcPr>
            <w:tcW w:w="5360" w:type="dxa"/>
            <w:vAlign w:val="bottom"/>
          </w:tcPr>
          <w:p>
            <w:pPr>
              <w:jc w:val="center"/>
              <w:ind w:right="2138"/>
              <w:spacing w:after="0"/>
              <w:rPr>
                <w:sz w:val="20"/>
                <w:szCs w:val="20"/>
                <w:color w:val="auto"/>
              </w:rPr>
            </w:pPr>
            <w:r>
              <w:rPr>
                <w:rFonts w:ascii="Arial" w:cs="Arial" w:eastAsia="Arial" w:hAnsi="Arial"/>
                <w:sz w:val="14"/>
                <w:szCs w:val="14"/>
                <w:b w:val="1"/>
                <w:bCs w:val="1"/>
                <w:color w:val="auto"/>
                <w:w w:val="86"/>
              </w:rPr>
              <w:t>_____________________________________________</w:t>
            </w:r>
          </w:p>
        </w:tc>
      </w:tr>
      <w:tr>
        <w:trPr>
          <w:trHeight w:val="664"/>
        </w:trPr>
        <w:tc>
          <w:tcPr>
            <w:tcW w:w="2660" w:type="dxa"/>
            <w:vAlign w:val="bottom"/>
          </w:tcPr>
          <w:p>
            <w:pPr>
              <w:spacing w:after="0"/>
              <w:rPr>
                <w:sz w:val="24"/>
                <w:szCs w:val="24"/>
                <w:color w:val="auto"/>
              </w:rPr>
            </w:pPr>
          </w:p>
        </w:tc>
        <w:tc>
          <w:tcPr>
            <w:tcW w:w="5360" w:type="dxa"/>
            <w:vAlign w:val="bottom"/>
          </w:tcPr>
          <w:p>
            <w:pPr>
              <w:jc w:val="center"/>
              <w:ind w:right="2118"/>
              <w:spacing w:after="0"/>
              <w:rPr>
                <w:sz w:val="20"/>
                <w:szCs w:val="20"/>
                <w:color w:val="auto"/>
              </w:rPr>
            </w:pPr>
            <w:r>
              <w:rPr>
                <w:rFonts w:ascii="Arial" w:cs="Arial" w:eastAsia="Arial" w:hAnsi="Arial"/>
                <w:sz w:val="18"/>
                <w:szCs w:val="18"/>
                <w:b w:val="1"/>
                <w:bCs w:val="1"/>
                <w:color w:val="auto"/>
              </w:rPr>
              <w:t>TWILIO INC.</w:t>
            </w:r>
          </w:p>
        </w:tc>
      </w:tr>
      <w:tr>
        <w:trPr>
          <w:trHeight w:val="136"/>
        </w:trPr>
        <w:tc>
          <w:tcPr>
            <w:tcW w:w="2660" w:type="dxa"/>
            <w:vAlign w:val="bottom"/>
          </w:tcPr>
          <w:p>
            <w:pPr>
              <w:spacing w:after="0"/>
              <w:rPr>
                <w:sz w:val="11"/>
                <w:szCs w:val="11"/>
                <w:color w:val="auto"/>
              </w:rPr>
            </w:pPr>
          </w:p>
        </w:tc>
        <w:tc>
          <w:tcPr>
            <w:tcW w:w="5360" w:type="dxa"/>
            <w:vAlign w:val="bottom"/>
          </w:tcPr>
          <w:p>
            <w:pPr>
              <w:jc w:val="center"/>
              <w:ind w:right="2138"/>
              <w:spacing w:after="0" w:line="136" w:lineRule="exact"/>
              <w:rPr>
                <w:sz w:val="20"/>
                <w:szCs w:val="20"/>
                <w:color w:val="auto"/>
              </w:rPr>
            </w:pPr>
            <w:r>
              <w:rPr>
                <w:rFonts w:ascii="Arial" w:cs="Arial" w:eastAsia="Arial" w:hAnsi="Arial"/>
                <w:sz w:val="12"/>
                <w:szCs w:val="12"/>
                <w:color w:val="auto"/>
                <w:w w:val="92"/>
              </w:rPr>
              <w:t>(Exact name of registrant as specified in its charter)</w:t>
            </w:r>
          </w:p>
        </w:tc>
      </w:tr>
      <w:tr>
        <w:trPr>
          <w:trHeight w:val="175"/>
        </w:trPr>
        <w:tc>
          <w:tcPr>
            <w:tcW w:w="2660" w:type="dxa"/>
            <w:vAlign w:val="bottom"/>
          </w:tcPr>
          <w:p>
            <w:pPr>
              <w:spacing w:after="0"/>
              <w:rPr>
                <w:sz w:val="15"/>
                <w:szCs w:val="15"/>
                <w:color w:val="auto"/>
              </w:rPr>
            </w:pPr>
          </w:p>
        </w:tc>
        <w:tc>
          <w:tcPr>
            <w:tcW w:w="5360" w:type="dxa"/>
            <w:vAlign w:val="bottom"/>
          </w:tcPr>
          <w:p>
            <w:pPr>
              <w:jc w:val="center"/>
              <w:ind w:right="2138"/>
              <w:spacing w:after="0"/>
              <w:rPr>
                <w:sz w:val="20"/>
                <w:szCs w:val="20"/>
                <w:color w:val="auto"/>
              </w:rPr>
            </w:pPr>
            <w:r>
              <w:rPr>
                <w:rFonts w:ascii="Arial" w:cs="Arial" w:eastAsia="Arial" w:hAnsi="Arial"/>
                <w:sz w:val="14"/>
                <w:szCs w:val="14"/>
                <w:b w:val="1"/>
                <w:bCs w:val="1"/>
                <w:color w:val="auto"/>
                <w:w w:val="86"/>
              </w:rPr>
              <w:t>_____________________________________________</w:t>
            </w:r>
          </w:p>
        </w:tc>
      </w:tr>
      <w:tr>
        <w:trPr>
          <w:trHeight w:val="270"/>
        </w:trPr>
        <w:tc>
          <w:tcPr>
            <w:tcW w:w="2660" w:type="dxa"/>
            <w:vAlign w:val="bottom"/>
          </w:tcPr>
          <w:p>
            <w:pPr>
              <w:jc w:val="center"/>
              <w:ind w:right="3"/>
              <w:spacing w:after="0"/>
              <w:rPr>
                <w:sz w:val="20"/>
                <w:szCs w:val="20"/>
                <w:color w:val="auto"/>
              </w:rPr>
            </w:pPr>
            <w:r>
              <w:rPr>
                <w:rFonts w:ascii="Arial" w:cs="Arial" w:eastAsia="Arial" w:hAnsi="Arial"/>
                <w:sz w:val="12"/>
                <w:szCs w:val="12"/>
                <w:b w:val="1"/>
                <w:bCs w:val="1"/>
                <w:color w:val="auto"/>
                <w:w w:val="91"/>
              </w:rPr>
              <w:t>Delaware</w:t>
            </w:r>
          </w:p>
        </w:tc>
        <w:tc>
          <w:tcPr>
            <w:tcW w:w="5360" w:type="dxa"/>
            <w:vAlign w:val="bottom"/>
          </w:tcPr>
          <w:p>
            <w:pPr>
              <w:jc w:val="right"/>
              <w:ind w:right="538"/>
              <w:spacing w:after="0"/>
              <w:rPr>
                <w:sz w:val="20"/>
                <w:szCs w:val="20"/>
                <w:color w:val="auto"/>
              </w:rPr>
            </w:pPr>
            <w:r>
              <w:rPr>
                <w:rFonts w:ascii="Arial" w:cs="Arial" w:eastAsia="Arial" w:hAnsi="Arial"/>
                <w:sz w:val="12"/>
                <w:szCs w:val="12"/>
                <w:b w:val="1"/>
                <w:bCs w:val="1"/>
                <w:color w:val="auto"/>
              </w:rPr>
              <w:t>26-2574840</w:t>
            </w:r>
          </w:p>
        </w:tc>
      </w:tr>
      <w:tr>
        <w:trPr>
          <w:trHeight w:val="138"/>
        </w:trPr>
        <w:tc>
          <w:tcPr>
            <w:tcW w:w="2660" w:type="dxa"/>
            <w:vAlign w:val="bottom"/>
          </w:tcPr>
          <w:p>
            <w:pPr>
              <w:jc w:val="center"/>
              <w:ind w:right="3"/>
              <w:spacing w:after="0"/>
              <w:rPr>
                <w:sz w:val="20"/>
                <w:szCs w:val="20"/>
                <w:color w:val="auto"/>
              </w:rPr>
            </w:pPr>
            <w:r>
              <w:rPr>
                <w:rFonts w:ascii="Arial" w:cs="Arial" w:eastAsia="Arial" w:hAnsi="Arial"/>
                <w:sz w:val="11"/>
                <w:szCs w:val="11"/>
                <w:color w:val="auto"/>
                <w:w w:val="91"/>
              </w:rPr>
              <w:t>(State or other jurisdiction of incorporation or organization)</w:t>
            </w:r>
          </w:p>
        </w:tc>
        <w:tc>
          <w:tcPr>
            <w:tcW w:w="5360" w:type="dxa"/>
            <w:vAlign w:val="bottom"/>
          </w:tcPr>
          <w:p>
            <w:pPr>
              <w:jc w:val="center"/>
              <w:ind w:left="3518"/>
              <w:spacing w:after="0"/>
              <w:rPr>
                <w:sz w:val="20"/>
                <w:szCs w:val="20"/>
                <w:color w:val="auto"/>
              </w:rPr>
            </w:pPr>
            <w:r>
              <w:rPr>
                <w:rFonts w:ascii="Arial" w:cs="Arial" w:eastAsia="Arial" w:hAnsi="Arial"/>
                <w:sz w:val="11"/>
                <w:szCs w:val="11"/>
                <w:color w:val="auto"/>
                <w:w w:val="93"/>
              </w:rPr>
              <w:t>(I.R.S. Employer Identification Number)</w:t>
            </w:r>
          </w:p>
        </w:tc>
      </w:tr>
      <w:tr>
        <w:trPr>
          <w:trHeight w:val="343"/>
        </w:trPr>
        <w:tc>
          <w:tcPr>
            <w:tcW w:w="2660" w:type="dxa"/>
            <w:vAlign w:val="bottom"/>
          </w:tcPr>
          <w:p>
            <w:pPr>
              <w:spacing w:after="0"/>
              <w:rPr>
                <w:sz w:val="24"/>
                <w:szCs w:val="24"/>
                <w:color w:val="auto"/>
              </w:rPr>
            </w:pPr>
          </w:p>
        </w:tc>
        <w:tc>
          <w:tcPr>
            <w:tcW w:w="5360" w:type="dxa"/>
            <w:vAlign w:val="bottom"/>
          </w:tcPr>
          <w:p>
            <w:pPr>
              <w:jc w:val="center"/>
              <w:ind w:right="2138"/>
              <w:spacing w:after="0"/>
              <w:rPr>
                <w:sz w:val="20"/>
                <w:szCs w:val="20"/>
                <w:color w:val="auto"/>
              </w:rPr>
            </w:pPr>
            <w:r>
              <w:rPr>
                <w:rFonts w:ascii="Arial" w:cs="Arial" w:eastAsia="Arial" w:hAnsi="Arial"/>
                <w:sz w:val="12"/>
                <w:szCs w:val="12"/>
                <w:b w:val="1"/>
                <w:bCs w:val="1"/>
                <w:color w:val="auto"/>
                <w:w w:val="92"/>
              </w:rPr>
              <w:t>101 Spear Street, Fifth Floor</w:t>
            </w:r>
          </w:p>
        </w:tc>
      </w:tr>
      <w:tr>
        <w:trPr>
          <w:trHeight w:val="140"/>
        </w:trPr>
        <w:tc>
          <w:tcPr>
            <w:tcW w:w="2660" w:type="dxa"/>
            <w:vAlign w:val="bottom"/>
          </w:tcPr>
          <w:p>
            <w:pPr>
              <w:spacing w:after="0"/>
              <w:rPr>
                <w:sz w:val="12"/>
                <w:szCs w:val="12"/>
                <w:color w:val="auto"/>
              </w:rPr>
            </w:pPr>
          </w:p>
        </w:tc>
        <w:tc>
          <w:tcPr>
            <w:tcW w:w="5360" w:type="dxa"/>
            <w:vAlign w:val="bottom"/>
          </w:tcPr>
          <w:p>
            <w:pPr>
              <w:jc w:val="center"/>
              <w:ind w:right="2118"/>
              <w:spacing w:after="0"/>
              <w:rPr>
                <w:sz w:val="20"/>
                <w:szCs w:val="20"/>
                <w:color w:val="auto"/>
              </w:rPr>
            </w:pPr>
            <w:r>
              <w:rPr>
                <w:rFonts w:ascii="Arial" w:cs="Arial" w:eastAsia="Arial" w:hAnsi="Arial"/>
                <w:sz w:val="12"/>
                <w:szCs w:val="12"/>
                <w:b w:val="1"/>
                <w:bCs w:val="1"/>
                <w:color w:val="auto"/>
                <w:w w:val="91"/>
              </w:rPr>
              <w:t>San Francisco, California 94105</w:t>
            </w:r>
          </w:p>
        </w:tc>
      </w:tr>
      <w:tr>
        <w:trPr>
          <w:trHeight w:val="136"/>
        </w:trPr>
        <w:tc>
          <w:tcPr>
            <w:tcW w:w="2660" w:type="dxa"/>
            <w:vAlign w:val="bottom"/>
          </w:tcPr>
          <w:p>
            <w:pPr>
              <w:spacing w:after="0"/>
              <w:rPr>
                <w:sz w:val="11"/>
                <w:szCs w:val="11"/>
                <w:color w:val="auto"/>
              </w:rPr>
            </w:pPr>
          </w:p>
        </w:tc>
        <w:tc>
          <w:tcPr>
            <w:tcW w:w="5360" w:type="dxa"/>
            <w:vAlign w:val="bottom"/>
          </w:tcPr>
          <w:p>
            <w:pPr>
              <w:jc w:val="center"/>
              <w:ind w:right="2118"/>
              <w:spacing w:after="0"/>
              <w:rPr>
                <w:sz w:val="20"/>
                <w:szCs w:val="20"/>
                <w:color w:val="auto"/>
              </w:rPr>
            </w:pPr>
            <w:r>
              <w:rPr>
                <w:rFonts w:ascii="Arial" w:cs="Arial" w:eastAsia="Arial" w:hAnsi="Arial"/>
                <w:sz w:val="11"/>
                <w:szCs w:val="11"/>
                <w:color w:val="auto"/>
                <w:w w:val="91"/>
              </w:rPr>
              <w:t>(Address of principal executive offices) (Zip Code)</w:t>
            </w:r>
          </w:p>
        </w:tc>
      </w:tr>
      <w:tr>
        <w:trPr>
          <w:trHeight w:val="209"/>
        </w:trPr>
        <w:tc>
          <w:tcPr>
            <w:tcW w:w="2660" w:type="dxa"/>
            <w:vAlign w:val="bottom"/>
          </w:tcPr>
          <w:p>
            <w:pPr>
              <w:spacing w:after="0"/>
              <w:rPr>
                <w:sz w:val="18"/>
                <w:szCs w:val="18"/>
                <w:color w:val="auto"/>
              </w:rPr>
            </w:pPr>
          </w:p>
        </w:tc>
        <w:tc>
          <w:tcPr>
            <w:tcW w:w="5360" w:type="dxa"/>
            <w:vAlign w:val="bottom"/>
          </w:tcPr>
          <w:p>
            <w:pPr>
              <w:jc w:val="center"/>
              <w:ind w:right="2138"/>
              <w:spacing w:after="0"/>
              <w:rPr>
                <w:sz w:val="20"/>
                <w:szCs w:val="20"/>
                <w:color w:val="auto"/>
              </w:rPr>
            </w:pPr>
            <w:r>
              <w:rPr>
                <w:rFonts w:ascii="Arial" w:cs="Arial" w:eastAsia="Arial" w:hAnsi="Arial"/>
                <w:sz w:val="12"/>
                <w:szCs w:val="12"/>
                <w:b w:val="1"/>
                <w:bCs w:val="1"/>
                <w:color w:val="auto"/>
                <w:w w:val="92"/>
              </w:rPr>
              <w:t>(415) 390-2337</w:t>
            </w:r>
          </w:p>
        </w:tc>
      </w:tr>
      <w:tr>
        <w:trPr>
          <w:trHeight w:val="136"/>
        </w:trPr>
        <w:tc>
          <w:tcPr>
            <w:tcW w:w="2660" w:type="dxa"/>
            <w:vAlign w:val="bottom"/>
          </w:tcPr>
          <w:p>
            <w:pPr>
              <w:spacing w:after="0"/>
              <w:rPr>
                <w:sz w:val="11"/>
                <w:szCs w:val="11"/>
                <w:color w:val="auto"/>
              </w:rPr>
            </w:pPr>
          </w:p>
        </w:tc>
        <w:tc>
          <w:tcPr>
            <w:tcW w:w="5360" w:type="dxa"/>
            <w:vAlign w:val="bottom"/>
          </w:tcPr>
          <w:p>
            <w:pPr>
              <w:jc w:val="center"/>
              <w:ind w:right="2138"/>
              <w:spacing w:after="0"/>
              <w:rPr>
                <w:sz w:val="20"/>
                <w:szCs w:val="20"/>
                <w:color w:val="auto"/>
              </w:rPr>
            </w:pPr>
            <w:r>
              <w:rPr>
                <w:rFonts w:ascii="Arial" w:cs="Arial" w:eastAsia="Arial" w:hAnsi="Arial"/>
                <w:sz w:val="11"/>
                <w:szCs w:val="11"/>
                <w:color w:val="auto"/>
                <w:w w:val="8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3332480</wp:posOffset>
            </wp:positionH>
            <wp:positionV relativeFrom="paragraph">
              <wp:posOffset>-1456690</wp:posOffset>
            </wp:positionV>
            <wp:extent cx="502920" cy="219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920" cy="219075"/>
                    </a:xfrm>
                    <a:prstGeom prst="rect">
                      <a:avLst/>
                    </a:prstGeom>
                    <a:noFill/>
                  </pic:spPr>
                </pic:pic>
              </a:graphicData>
            </a:graphic>
          </wp:anchor>
        </w:drawing>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101 Spear Street, First Floor</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San Francisco, California 94105</w:t>
      </w:r>
    </w:p>
    <w:p>
      <w:pPr>
        <w:jc w:val="center"/>
        <w:ind w:right="-19"/>
        <w:spacing w:after="0" w:line="227" w:lineRule="auto"/>
        <w:rPr>
          <w:sz w:val="20"/>
          <w:szCs w:val="20"/>
          <w:color w:val="auto"/>
        </w:rPr>
      </w:pPr>
      <w:r>
        <w:rPr>
          <w:rFonts w:ascii="Arial" w:cs="Arial" w:eastAsia="Arial" w:hAnsi="Arial"/>
          <w:sz w:val="11"/>
          <w:szCs w:val="11"/>
          <w:color w:val="auto"/>
        </w:rPr>
        <w:t>(Former name, former address and former fiscal year, if changed since last report)</w:t>
      </w:r>
    </w:p>
    <w:p>
      <w:pPr>
        <w:ind w:left="4300"/>
        <w:spacing w:after="0"/>
        <w:rPr>
          <w:sz w:val="20"/>
          <w:szCs w:val="20"/>
          <w:color w:val="auto"/>
        </w:rPr>
      </w:pPr>
      <w:r>
        <w:rPr>
          <w:rFonts w:ascii="Arial" w:cs="Arial" w:eastAsia="Arial" w:hAnsi="Arial"/>
          <w:sz w:val="12"/>
          <w:szCs w:val="12"/>
          <w:b w:val="1"/>
          <w:bCs w:val="1"/>
          <w:color w:val="auto"/>
        </w:rPr>
        <w:t>____________________________________________</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2" w:lineRule="exact"/>
        <w:rPr>
          <w:sz w:val="24"/>
          <w:szCs w:val="24"/>
          <w:color w:val="auto"/>
        </w:rPr>
      </w:pPr>
    </w:p>
    <w:tbl>
      <w:tblPr>
        <w:tblLayout w:type="fixed"/>
        <w:tblInd w:w="100" w:type="dxa"/>
        <w:tblCellMar>
          <w:top w:w="0" w:type="dxa"/>
          <w:left w:w="0" w:type="dxa"/>
          <w:bottom w:w="0" w:type="dxa"/>
          <w:right w:w="0" w:type="dxa"/>
        </w:tblCellMar>
      </w:tblPr>
      <w:tr>
        <w:trPr>
          <w:trHeight w:val="161"/>
        </w:trPr>
        <w:tc>
          <w:tcPr>
            <w:tcW w:w="4420" w:type="dxa"/>
            <w:vAlign w:val="bottom"/>
            <w:tcBorders>
              <w:bottom w:val="single" w:sz="8" w:color="auto"/>
            </w:tcBorders>
          </w:tcPr>
          <w:p>
            <w:pPr>
              <w:jc w:val="center"/>
              <w:ind w:left="119"/>
              <w:spacing w:after="0"/>
              <w:rPr>
                <w:sz w:val="20"/>
                <w:szCs w:val="20"/>
                <w:color w:val="auto"/>
              </w:rPr>
            </w:pPr>
            <w:r>
              <w:rPr>
                <w:rFonts w:ascii="Arial" w:cs="Arial" w:eastAsia="Arial" w:hAnsi="Arial"/>
                <w:sz w:val="12"/>
                <w:szCs w:val="12"/>
                <w:b w:val="1"/>
                <w:bCs w:val="1"/>
                <w:color w:val="auto"/>
                <w:w w:val="88"/>
              </w:rPr>
              <w:t>Title of each class</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406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89"/>
              </w:rPr>
              <w:t>Name of each exchange on which registered</w:t>
            </w:r>
          </w:p>
        </w:tc>
        <w:tc>
          <w:tcPr>
            <w:tcW w:w="0" w:type="dxa"/>
            <w:vAlign w:val="bottom"/>
          </w:tcPr>
          <w:p>
            <w:pPr>
              <w:spacing w:after="0"/>
              <w:rPr>
                <w:sz w:val="1"/>
                <w:szCs w:val="1"/>
                <w:color w:val="auto"/>
              </w:rPr>
            </w:pPr>
          </w:p>
        </w:tc>
      </w:tr>
      <w:tr>
        <w:trPr>
          <w:trHeight w:val="150"/>
        </w:trPr>
        <w:tc>
          <w:tcPr>
            <w:tcW w:w="4420" w:type="dxa"/>
            <w:vAlign w:val="bottom"/>
            <w:vMerge w:val="restart"/>
          </w:tcPr>
          <w:p>
            <w:pPr>
              <w:jc w:val="center"/>
              <w:ind w:left="119"/>
              <w:spacing w:after="0"/>
              <w:rPr>
                <w:sz w:val="20"/>
                <w:szCs w:val="20"/>
                <w:color w:val="auto"/>
              </w:rPr>
            </w:pPr>
            <w:r>
              <w:rPr>
                <w:rFonts w:ascii="Arial" w:cs="Arial" w:eastAsia="Arial" w:hAnsi="Arial"/>
                <w:sz w:val="12"/>
                <w:szCs w:val="12"/>
                <w:color w:val="auto"/>
                <w:w w:val="91"/>
              </w:rPr>
              <w:t>Class A Common Stock, par value $0.001 per share</w:t>
            </w:r>
          </w:p>
        </w:tc>
        <w:tc>
          <w:tcPr>
            <w:tcW w:w="2620" w:type="dxa"/>
            <w:vAlign w:val="bottom"/>
            <w:vMerge w:val="restart"/>
          </w:tcPr>
          <w:p>
            <w:pPr>
              <w:jc w:val="center"/>
              <w:spacing w:after="0"/>
              <w:rPr>
                <w:sz w:val="20"/>
                <w:szCs w:val="20"/>
                <w:color w:val="auto"/>
              </w:rPr>
            </w:pPr>
            <w:r>
              <w:rPr>
                <w:rFonts w:ascii="Arial" w:cs="Arial" w:eastAsia="Arial" w:hAnsi="Arial"/>
                <w:sz w:val="12"/>
                <w:szCs w:val="12"/>
                <w:color w:val="auto"/>
              </w:rPr>
              <w:t>TWLO</w:t>
            </w:r>
          </w:p>
        </w:tc>
        <w:tc>
          <w:tcPr>
            <w:tcW w:w="4060" w:type="dxa"/>
            <w:vAlign w:val="bottom"/>
          </w:tcPr>
          <w:p>
            <w:pPr>
              <w:jc w:val="center"/>
              <w:ind w:right="119"/>
              <w:spacing w:after="0"/>
              <w:rPr>
                <w:sz w:val="20"/>
                <w:szCs w:val="20"/>
                <w:color w:val="auto"/>
              </w:rPr>
            </w:pPr>
            <w:r>
              <w:rPr>
                <w:rFonts w:ascii="Arial" w:cs="Arial" w:eastAsia="Arial" w:hAnsi="Arial"/>
                <w:sz w:val="12"/>
                <w:szCs w:val="12"/>
                <w:color w:val="auto"/>
                <w:w w:val="92"/>
              </w:rPr>
              <w:t>New York Stock Exchange</w:t>
            </w:r>
          </w:p>
        </w:tc>
        <w:tc>
          <w:tcPr>
            <w:tcW w:w="0" w:type="dxa"/>
            <w:vAlign w:val="bottom"/>
          </w:tcPr>
          <w:p>
            <w:pPr>
              <w:spacing w:after="0"/>
              <w:rPr>
                <w:sz w:val="1"/>
                <w:szCs w:val="1"/>
                <w:color w:val="auto"/>
              </w:rPr>
            </w:pPr>
          </w:p>
        </w:tc>
      </w:tr>
      <w:tr>
        <w:trPr>
          <w:trHeight w:val="81"/>
        </w:trPr>
        <w:tc>
          <w:tcPr>
            <w:tcW w:w="442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4060" w:type="dxa"/>
            <w:vAlign w:val="bottom"/>
            <w:vMerge w:val="restart"/>
          </w:tcPr>
          <w:p>
            <w:pPr>
              <w:jc w:val="center"/>
              <w:ind w:right="99"/>
              <w:spacing w:after="0"/>
              <w:rPr>
                <w:sz w:val="20"/>
                <w:szCs w:val="20"/>
                <w:color w:val="auto"/>
              </w:rPr>
            </w:pPr>
            <w:r>
              <w:rPr>
                <w:rFonts w:ascii="Arial" w:cs="Arial" w:eastAsia="Arial" w:hAnsi="Arial"/>
                <w:sz w:val="12"/>
                <w:szCs w:val="12"/>
                <w:color w:val="auto"/>
                <w:w w:val="92"/>
              </w:rPr>
              <w:t>Long-Term Stock Exchange</w:t>
            </w:r>
          </w:p>
        </w:tc>
        <w:tc>
          <w:tcPr>
            <w:tcW w:w="0" w:type="dxa"/>
            <w:vAlign w:val="bottom"/>
          </w:tcPr>
          <w:p>
            <w:pPr>
              <w:spacing w:after="0"/>
              <w:rPr>
                <w:sz w:val="1"/>
                <w:szCs w:val="1"/>
                <w:color w:val="auto"/>
              </w:rPr>
            </w:pPr>
          </w:p>
        </w:tc>
      </w:tr>
      <w:tr>
        <w:trPr>
          <w:trHeight w:val="81"/>
        </w:trPr>
        <w:tc>
          <w:tcPr>
            <w:tcW w:w="44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80"/>
        <w:spacing w:after="0"/>
        <w:rPr>
          <w:sz w:val="20"/>
          <w:szCs w:val="20"/>
          <w:color w:val="auto"/>
        </w:rPr>
      </w:pPr>
      <w:r>
        <w:rPr>
          <w:rFonts w:ascii="Arial" w:cs="Arial" w:eastAsia="Arial" w:hAnsi="Arial"/>
          <w:sz w:val="11"/>
          <w:szCs w:val="11"/>
          <w:color w:val="auto"/>
        </w:rPr>
        <w:t>As of July 29, 2022, 173,307,870 shares of the registrant’s Class A common stock and 9,817,605 shares of registrant’s Class B common stock were outstanding.</w:t>
      </w:r>
    </w:p>
    <w:p>
      <w:pPr>
        <w:spacing w:after="0" w:line="76" w:lineRule="exact"/>
        <w:rPr>
          <w:sz w:val="24"/>
          <w:szCs w:val="24"/>
          <w:color w:val="auto"/>
        </w:rPr>
      </w:pPr>
    </w:p>
    <w:p>
      <w:pPr>
        <w:ind w:firstLine="487"/>
        <w:spacing w:after="0" w:line="269"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1" w:lineRule="exact"/>
        <w:rPr>
          <w:sz w:val="24"/>
          <w:szCs w:val="24"/>
          <w:color w:val="auto"/>
        </w:rPr>
      </w:pPr>
    </w:p>
    <w:p>
      <w:pPr>
        <w:ind w:right="160" w:firstLine="487"/>
        <w:spacing w:after="0" w:line="269"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1" w:lineRule="exact"/>
        <w:rPr>
          <w:sz w:val="24"/>
          <w:szCs w:val="24"/>
          <w:color w:val="auto"/>
        </w:rPr>
      </w:pPr>
    </w:p>
    <w:p>
      <w:pPr>
        <w:ind w:right="160" w:firstLine="487"/>
        <w:spacing w:after="0" w:line="249"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40" w:type="dxa"/>
        <w:tblCellMar>
          <w:top w:w="0" w:type="dxa"/>
          <w:left w:w="0" w:type="dxa"/>
          <w:bottom w:w="0" w:type="dxa"/>
          <w:right w:w="0" w:type="dxa"/>
        </w:tblCellMar>
      </w:tblPr>
      <w:tr>
        <w:trPr>
          <w:trHeight w:val="142"/>
        </w:trPr>
        <w:tc>
          <w:tcPr>
            <w:tcW w:w="2000" w:type="dxa"/>
            <w:vAlign w:val="bottom"/>
          </w:tcPr>
          <w:p>
            <w:pPr>
              <w:jc w:val="center"/>
              <w:ind w:right="966"/>
              <w:spacing w:after="0"/>
              <w:rPr>
                <w:sz w:val="20"/>
                <w:szCs w:val="20"/>
                <w:color w:val="auto"/>
              </w:rPr>
            </w:pPr>
            <w:r>
              <w:rPr>
                <w:rFonts w:ascii="Arial" w:cs="Arial" w:eastAsia="Arial" w:hAnsi="Arial"/>
                <w:sz w:val="11"/>
                <w:szCs w:val="11"/>
                <w:color w:val="auto"/>
                <w:w w:val="90"/>
              </w:rPr>
              <w:t>Large accelerated filer</w:t>
            </w:r>
          </w:p>
        </w:tc>
        <w:tc>
          <w:tcPr>
            <w:tcW w:w="2440" w:type="dxa"/>
            <w:vAlign w:val="bottom"/>
          </w:tcPr>
          <w:p>
            <w:pPr>
              <w:ind w:left="1040"/>
              <w:spacing w:after="0" w:line="111" w:lineRule="exact"/>
              <w:rPr>
                <w:sz w:val="20"/>
                <w:szCs w:val="20"/>
                <w:color w:val="auto"/>
              </w:rPr>
            </w:pPr>
            <w:r>
              <w:rPr>
                <w:rFonts w:ascii="MS PGothic" w:cs="MS PGothic" w:eastAsia="MS PGothic" w:hAnsi="MS PGothic"/>
                <w:sz w:val="11"/>
                <w:szCs w:val="11"/>
                <w:color w:val="auto"/>
              </w:rPr>
              <w:t>☒</w:t>
            </w:r>
          </w:p>
        </w:tc>
        <w:tc>
          <w:tcPr>
            <w:tcW w:w="3480" w:type="dxa"/>
            <w:vAlign w:val="bottom"/>
          </w:tcPr>
          <w:p>
            <w:pPr>
              <w:jc w:val="center"/>
              <w:ind w:left="286"/>
              <w:spacing w:after="0"/>
              <w:rPr>
                <w:sz w:val="20"/>
                <w:szCs w:val="20"/>
                <w:color w:val="auto"/>
              </w:rPr>
            </w:pPr>
            <w:r>
              <w:rPr>
                <w:rFonts w:ascii="Arial" w:cs="Arial" w:eastAsia="Arial" w:hAnsi="Arial"/>
                <w:sz w:val="11"/>
                <w:szCs w:val="11"/>
                <w:color w:val="auto"/>
                <w:w w:val="93"/>
              </w:rPr>
              <w:t>Accelerated filer</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2"/>
        </w:trPr>
        <w:tc>
          <w:tcPr>
            <w:tcW w:w="2000" w:type="dxa"/>
            <w:vAlign w:val="bottom"/>
          </w:tcPr>
          <w:p>
            <w:pPr>
              <w:jc w:val="center"/>
              <w:ind w:right="946"/>
              <w:spacing w:after="0"/>
              <w:rPr>
                <w:sz w:val="20"/>
                <w:szCs w:val="20"/>
                <w:color w:val="auto"/>
              </w:rPr>
            </w:pPr>
            <w:r>
              <w:rPr>
                <w:rFonts w:ascii="Arial" w:cs="Arial" w:eastAsia="Arial" w:hAnsi="Arial"/>
                <w:sz w:val="11"/>
                <w:szCs w:val="11"/>
                <w:color w:val="auto"/>
                <w:w w:val="90"/>
              </w:rPr>
              <w:t>Non-accelerated filer</w:t>
            </w:r>
          </w:p>
        </w:tc>
        <w:tc>
          <w:tcPr>
            <w:tcW w:w="2440" w:type="dxa"/>
            <w:vAlign w:val="bottom"/>
          </w:tcPr>
          <w:p>
            <w:pPr>
              <w:ind w:left="1040"/>
              <w:spacing w:after="0" w:line="111" w:lineRule="exact"/>
              <w:rPr>
                <w:sz w:val="20"/>
                <w:szCs w:val="20"/>
                <w:color w:val="auto"/>
              </w:rPr>
            </w:pPr>
            <w:r>
              <w:rPr>
                <w:rFonts w:ascii="MS PGothic" w:cs="MS PGothic" w:eastAsia="MS PGothic" w:hAnsi="MS PGothic"/>
                <w:sz w:val="11"/>
                <w:szCs w:val="11"/>
                <w:color w:val="auto"/>
              </w:rPr>
              <w:t>☐</w:t>
            </w:r>
          </w:p>
        </w:tc>
        <w:tc>
          <w:tcPr>
            <w:tcW w:w="3480" w:type="dxa"/>
            <w:vAlign w:val="bottom"/>
          </w:tcPr>
          <w:p>
            <w:pPr>
              <w:jc w:val="center"/>
              <w:ind w:left="286"/>
              <w:spacing w:after="0"/>
              <w:rPr>
                <w:sz w:val="20"/>
                <w:szCs w:val="20"/>
                <w:color w:val="auto"/>
              </w:rPr>
            </w:pPr>
            <w:r>
              <w:rPr>
                <w:rFonts w:ascii="Arial" w:cs="Arial" w:eastAsia="Arial" w:hAnsi="Arial"/>
                <w:sz w:val="11"/>
                <w:szCs w:val="11"/>
                <w:color w:val="auto"/>
                <w:w w:val="89"/>
              </w:rPr>
              <w:t>Smaller reporting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8"/>
        </w:trPr>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480" w:type="dxa"/>
            <w:vAlign w:val="bottom"/>
          </w:tcPr>
          <w:p>
            <w:pPr>
              <w:jc w:val="center"/>
              <w:ind w:left="286"/>
              <w:spacing w:after="0"/>
              <w:rPr>
                <w:sz w:val="20"/>
                <w:szCs w:val="20"/>
                <w:color w:val="auto"/>
              </w:rPr>
            </w:pPr>
            <w:r>
              <w:rPr>
                <w:rFonts w:ascii="Arial" w:cs="Arial" w:eastAsia="Arial" w:hAnsi="Arial"/>
                <w:sz w:val="11"/>
                <w:szCs w:val="11"/>
                <w:color w:val="auto"/>
                <w:w w:val="90"/>
              </w:rPr>
              <w:t>Emerging growth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329" w:lineRule="exact"/>
        <w:rPr>
          <w:sz w:val="24"/>
          <w:szCs w:val="24"/>
          <w:color w:val="auto"/>
        </w:rPr>
      </w:pPr>
    </w:p>
    <w:p>
      <w:pPr>
        <w:ind w:left="480"/>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33" w:lineRule="exact"/>
        <w:rPr>
          <w:sz w:val="24"/>
          <w:szCs w:val="24"/>
          <w:color w:val="auto"/>
        </w:rPr>
      </w:pPr>
    </w:p>
    <w:p>
      <w:pPr>
        <w:spacing w:after="0"/>
        <w:tabs>
          <w:tab w:leader="none" w:pos="280" w:val="left"/>
        </w:tabs>
        <w:rPr>
          <w:sz w:val="20"/>
          <w:szCs w:val="20"/>
          <w:color w:val="auto"/>
        </w:rPr>
      </w:pPr>
      <w:r>
        <w:rPr>
          <w:rFonts w:ascii="Arial" w:cs="Arial" w:eastAsia="Arial" w:hAnsi="Arial"/>
          <w:sz w:val="11"/>
          <w:szCs w:val="11"/>
          <w:color w:val="auto"/>
        </w:rPr>
        <w:t>Act.</w:t>
      </w:r>
      <w:r>
        <w:rPr>
          <w:sz w:val="20"/>
          <w:szCs w:val="20"/>
          <w:color w:val="auto"/>
        </w:rPr>
        <w:tab/>
      </w:r>
      <w:r>
        <w:rPr>
          <w:rFonts w:ascii="Arial" w:cs="Arial" w:eastAsia="Arial" w:hAnsi="Arial"/>
          <w:sz w:val="10"/>
          <w:szCs w:val="10"/>
          <w:color w:val="auto"/>
        </w:rPr>
        <w:t>o</w:t>
      </w:r>
    </w:p>
    <w:p>
      <w:pPr>
        <w:spacing w:after="0" w:line="82" w:lineRule="exact"/>
        <w:rPr>
          <w:sz w:val="24"/>
          <w:szCs w:val="24"/>
          <w:color w:val="auto"/>
        </w:rPr>
      </w:pPr>
    </w:p>
    <w:p>
      <w:pPr>
        <w:ind w:left="480"/>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716661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71666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Quarterly Report on Form 10-Q</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 June 30, 2022</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TABLE OF CONTENTS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restart"/>
          </w:tcPr>
          <w:p>
            <w:pPr>
              <w:spacing w:after="0"/>
              <w:rPr>
                <w:sz w:val="15"/>
                <w:szCs w:val="15"/>
                <w:color w:val="auto"/>
              </w:rPr>
            </w:pPr>
          </w:p>
        </w:tc>
        <w:tc>
          <w:tcPr>
            <w:tcW w:w="2360" w:type="dxa"/>
            <w:vAlign w:val="bottom"/>
            <w:gridSpan w:val="6"/>
            <w:vMerge w:val="restart"/>
          </w:tcPr>
          <w:p>
            <w:pPr>
              <w:jc w:val="center"/>
              <w:spacing w:after="0"/>
              <w:rPr>
                <w:rFonts w:ascii="Arial" w:cs="Arial" w:eastAsia="Arial" w:hAnsi="Arial"/>
                <w:sz w:val="14"/>
                <w:szCs w:val="14"/>
                <w:b w:val="1"/>
                <w:bCs w:val="1"/>
                <w:color w:val="0000FF"/>
                <w:w w:val="99"/>
              </w:rPr>
            </w:pPr>
            <w:hyperlink w:anchor="page5">
              <w:r>
                <w:rPr>
                  <w:rFonts w:ascii="Arial" w:cs="Arial" w:eastAsia="Arial" w:hAnsi="Arial"/>
                  <w:sz w:val="14"/>
                  <w:szCs w:val="14"/>
                  <w:b w:val="1"/>
                  <w:bCs w:val="1"/>
                  <w:color w:val="0000FF"/>
                  <w:w w:val="99"/>
                </w:rPr>
                <w:t>PART I - FINANCIAL INFORMATION</w:t>
              </w:r>
            </w:hyperlink>
          </w:p>
        </w:tc>
        <w:tc>
          <w:tcPr>
            <w:tcW w:w="3640" w:type="dxa"/>
            <w:vAlign w:val="bottom"/>
            <w:gridSpan w:val="3"/>
            <w:vMerge w:val="restart"/>
          </w:tcPr>
          <w:p>
            <w:pPr>
              <w:spacing w:after="0"/>
              <w:rPr>
                <w:sz w:val="15"/>
                <w:szCs w:val="15"/>
                <w:color w:val="auto"/>
              </w:rPr>
            </w:pP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28"/>
        </w:trPr>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360" w:type="dxa"/>
            <w:vAlign w:val="bottom"/>
            <w:tcBorders>
              <w:bottom w:val="single" w:sz="8" w:color="0000FF"/>
            </w:tcBorders>
            <w:gridSpan w:val="6"/>
            <w:vMerge w:val="continue"/>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6"/>
        </w:trPr>
        <w:tc>
          <w:tcPr>
            <w:tcW w:w="380" w:type="dxa"/>
            <w:vAlign w:val="bottom"/>
          </w:tcPr>
          <w:p>
            <w:pPr>
              <w:spacing w:after="0"/>
              <w:rPr>
                <w:rFonts w:ascii="Arial" w:cs="Arial" w:eastAsia="Arial" w:hAnsi="Arial"/>
                <w:sz w:val="14"/>
                <w:szCs w:val="14"/>
                <w:color w:val="0000FF"/>
                <w:w w:val="83"/>
              </w:rPr>
            </w:pPr>
            <w:hyperlink w:anchor="page6">
              <w:r>
                <w:rPr>
                  <w:rFonts w:ascii="Arial" w:cs="Arial" w:eastAsia="Arial" w:hAnsi="Arial"/>
                  <w:sz w:val="14"/>
                  <w:szCs w:val="14"/>
                  <w:color w:val="0000FF"/>
                  <w:w w:val="83"/>
                </w:rPr>
                <w:t>Item 1.</w:t>
              </w:r>
            </w:hyperlink>
          </w:p>
        </w:tc>
        <w:tc>
          <w:tcPr>
            <w:tcW w:w="580" w:type="dxa"/>
            <w:vAlign w:val="bottom"/>
            <w:gridSpan w:val="2"/>
          </w:tcPr>
          <w:p>
            <w:pPr>
              <w:spacing w:after="0"/>
              <w:rPr>
                <w:sz w:val="24"/>
                <w:szCs w:val="24"/>
                <w:color w:val="auto"/>
              </w:rPr>
            </w:pPr>
          </w:p>
        </w:tc>
        <w:tc>
          <w:tcPr>
            <w:tcW w:w="1800" w:type="dxa"/>
            <w:vAlign w:val="bottom"/>
            <w:gridSpan w:val="7"/>
          </w:tcPr>
          <w:p>
            <w:pPr>
              <w:spacing w:after="0"/>
              <w:rPr>
                <w:rFonts w:ascii="Arial" w:cs="Arial" w:eastAsia="Arial" w:hAnsi="Arial"/>
                <w:sz w:val="14"/>
                <w:szCs w:val="14"/>
                <w:color w:val="0000FF"/>
                <w:w w:val="86"/>
              </w:rPr>
            </w:pPr>
            <w:hyperlink w:anchor="page6">
              <w:r>
                <w:rPr>
                  <w:rFonts w:ascii="Arial" w:cs="Arial" w:eastAsia="Arial" w:hAnsi="Arial"/>
                  <w:sz w:val="14"/>
                  <w:szCs w:val="14"/>
                  <w:color w:val="0000FF"/>
                  <w:w w:val="86"/>
                </w:rPr>
                <w:t>Financial Statements (unaudited)</w:t>
              </w:r>
            </w:hyperlink>
          </w:p>
        </w:tc>
        <w:tc>
          <w:tcPr>
            <w:tcW w:w="784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6</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 xml:space="preserve">Condensed Consolidated Balance Sheets as of </w:t>
              </w:r>
            </w:hyperlink>
            <w:r>
              <w:rPr>
                <w:rFonts w:ascii="Arial" w:cs="Arial" w:eastAsia="Arial" w:hAnsi="Arial"/>
                <w:sz w:val="14"/>
                <w:szCs w:val="14"/>
                <w:color w:val="0000FF"/>
              </w:rPr>
              <w:t xml:space="preserve">June </w:t>
            </w:r>
            <w:hyperlink w:anchor="page6">
              <w:r>
                <w:rPr>
                  <w:rFonts w:ascii="Arial" w:cs="Arial" w:eastAsia="Arial" w:hAnsi="Arial"/>
                  <w:sz w:val="14"/>
                  <w:szCs w:val="14"/>
                  <w:color w:val="0000FF"/>
                </w:rPr>
                <w:t>30, 2022 and December 31, 2021</w:t>
              </w:r>
            </w:hyperlink>
          </w:p>
        </w:tc>
        <w:tc>
          <w:tcPr>
            <w:tcW w:w="160" w:type="dxa"/>
            <w:vAlign w:val="bottom"/>
            <w:gridSpan w:val="2"/>
          </w:tcPr>
          <w:p>
            <w:pPr>
              <w:ind w:left="20"/>
              <w:spacing w:after="0"/>
              <w:rPr>
                <w:rFonts w:ascii="Arial" w:cs="Arial" w:eastAsia="Arial" w:hAnsi="Arial"/>
                <w:sz w:val="14"/>
                <w:szCs w:val="14"/>
                <w:color w:val="0000FF"/>
              </w:rPr>
            </w:pPr>
            <w:hyperlink w:anchor="page6">
              <w:r>
                <w:rPr>
                  <w:rFonts w:ascii="Arial" w:cs="Arial" w:eastAsia="Arial" w:hAnsi="Arial"/>
                  <w:sz w:val="14"/>
                  <w:szCs w:val="14"/>
                  <w:color w:val="0000FF"/>
                </w:rPr>
                <w:t>6</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00" w:type="dxa"/>
            <w:vAlign w:val="bottom"/>
            <w:gridSpan w:val="18"/>
          </w:tcPr>
          <w:p>
            <w:pPr>
              <w:spacing w:after="0"/>
              <w:rPr>
                <w:rFonts w:ascii="Arial" w:cs="Arial" w:eastAsia="Arial" w:hAnsi="Arial"/>
                <w:sz w:val="14"/>
                <w:szCs w:val="14"/>
                <w:color w:val="0000FF"/>
                <w:w w:val="86"/>
              </w:rPr>
            </w:pPr>
            <w:hyperlink w:anchor="page6">
              <w:r>
                <w:rPr>
                  <w:rFonts w:ascii="Arial" w:cs="Arial" w:eastAsia="Arial" w:hAnsi="Arial"/>
                  <w:sz w:val="14"/>
                  <w:szCs w:val="14"/>
                  <w:color w:val="0000FF"/>
                  <w:w w:val="86"/>
                </w:rPr>
                <w:t>Condensed Consolidated Statements of Operations for the Three and Six Months Ended June 30, 2022 and 2021</w:t>
              </w:r>
            </w:hyperlink>
          </w:p>
        </w:tc>
        <w:tc>
          <w:tcPr>
            <w:tcW w:w="35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40" w:type="dxa"/>
            <w:vAlign w:val="bottom"/>
            <w:gridSpan w:val="19"/>
          </w:tcPr>
          <w:p>
            <w:pPr>
              <w:spacing w:after="0"/>
              <w:rPr>
                <w:rFonts w:ascii="Arial" w:cs="Arial" w:eastAsia="Arial" w:hAnsi="Arial"/>
                <w:sz w:val="14"/>
                <w:szCs w:val="14"/>
                <w:color w:val="0000FF"/>
                <w:w w:val="86"/>
              </w:rPr>
            </w:pPr>
            <w:hyperlink w:anchor="page7">
              <w:r>
                <w:rPr>
                  <w:rFonts w:ascii="Arial" w:cs="Arial" w:eastAsia="Arial" w:hAnsi="Arial"/>
                  <w:sz w:val="14"/>
                  <w:szCs w:val="14"/>
                  <w:color w:val="0000FF"/>
                  <w:w w:val="86"/>
                </w:rPr>
                <w:t xml:space="preserve">Condensed Consolidated Statements of Comprehensive Loss for the Three and Six Months Ended June </w:t>
              </w:r>
            </w:hyperlink>
            <w:r>
              <w:rPr>
                <w:rFonts w:ascii="Arial" w:cs="Arial" w:eastAsia="Arial" w:hAnsi="Arial"/>
                <w:sz w:val="14"/>
                <w:szCs w:val="14"/>
                <w:color w:val="0000FF"/>
                <w:w w:val="86"/>
              </w:rPr>
              <w:t xml:space="preserve">30, </w:t>
            </w:r>
            <w:hyperlink w:anchor="page7">
              <w:r>
                <w:rPr>
                  <w:rFonts w:ascii="Arial" w:cs="Arial" w:eastAsia="Arial" w:hAnsi="Arial"/>
                  <w:sz w:val="14"/>
                  <w:szCs w:val="14"/>
                  <w:color w:val="0000FF"/>
                  <w:w w:val="86"/>
                </w:rPr>
                <w:t>2022 and 2021</w:t>
              </w:r>
            </w:hyperlink>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8</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4"/>
                <w:szCs w:val="14"/>
                <w:color w:val="0000FF"/>
              </w:rPr>
            </w:pPr>
            <w:hyperlink w:anchor="page8">
              <w:r>
                <w:rPr>
                  <w:rFonts w:ascii="Arial" w:cs="Arial" w:eastAsia="Arial" w:hAnsi="Arial"/>
                  <w:sz w:val="14"/>
                  <w:szCs w:val="14"/>
                  <w:color w:val="0000FF"/>
                </w:rPr>
                <w:t>Condensed Consolidated Statements of Stockholders’ Equity for the Three and Six Months Ended June 30, 2022 and 2021</w:t>
              </w:r>
            </w:hyperlink>
          </w:p>
        </w:tc>
        <w:tc>
          <w:tcPr>
            <w:tcW w:w="160" w:type="dxa"/>
            <w:vAlign w:val="bottom"/>
            <w:gridSpan w:val="2"/>
          </w:tcPr>
          <w:p>
            <w:pPr>
              <w:ind w:left="20"/>
              <w:spacing w:after="0"/>
              <w:rPr>
                <w:rFonts w:ascii="Arial" w:cs="Arial" w:eastAsia="Arial" w:hAnsi="Arial"/>
                <w:sz w:val="14"/>
                <w:szCs w:val="14"/>
                <w:color w:val="0000FF"/>
              </w:rPr>
            </w:pPr>
            <w:hyperlink w:anchor="page8">
              <w:r>
                <w:rPr>
                  <w:rFonts w:ascii="Arial" w:cs="Arial" w:eastAsia="Arial" w:hAnsi="Arial"/>
                  <w:sz w:val="14"/>
                  <w:szCs w:val="14"/>
                  <w:color w:val="0000FF"/>
                </w:rPr>
                <w:t>9</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60" w:type="dxa"/>
            <w:vAlign w:val="bottom"/>
            <w:tcBorders>
              <w:bottom w:val="single" w:sz="8" w:color="0000FF"/>
            </w:tcBorders>
            <w:gridSpan w:val="15"/>
          </w:tcPr>
          <w:p>
            <w:pPr>
              <w:spacing w:after="0"/>
              <w:rPr>
                <w:rFonts w:ascii="Arial" w:cs="Arial" w:eastAsia="Arial" w:hAnsi="Arial"/>
                <w:sz w:val="14"/>
                <w:szCs w:val="14"/>
                <w:color w:val="0000FF"/>
                <w:w w:val="86"/>
              </w:rPr>
            </w:pPr>
            <w:hyperlink w:anchor="page10">
              <w:r>
                <w:rPr>
                  <w:rFonts w:ascii="Arial" w:cs="Arial" w:eastAsia="Arial" w:hAnsi="Arial"/>
                  <w:sz w:val="14"/>
                  <w:szCs w:val="14"/>
                  <w:color w:val="0000FF"/>
                  <w:w w:val="86"/>
                </w:rPr>
                <w:t>Condensed Consolidated Statements of Cash Flows for the Six Months Ended June 30, 2022 and 2021</w:t>
              </w:r>
            </w:hyperlink>
          </w:p>
        </w:tc>
        <w:tc>
          <w:tcPr>
            <w:tcW w:w="1080" w:type="dxa"/>
            <w:vAlign w:val="bottom"/>
            <w:gridSpan w:val="4"/>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10">
              <w:r>
                <w:rPr>
                  <w:rFonts w:ascii="Arial" w:cs="Arial" w:eastAsia="Arial" w:hAnsi="Arial"/>
                  <w:sz w:val="14"/>
                  <w:szCs w:val="14"/>
                  <w:color w:val="0000FF"/>
                  <w:w w:val="76"/>
                </w:rPr>
                <w:t>11</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20" w:type="dxa"/>
            <w:vAlign w:val="bottom"/>
            <w:tcBorders>
              <w:bottom w:val="single" w:sz="8" w:color="0000FF"/>
            </w:tcBorders>
            <w:gridSpan w:val="8"/>
          </w:tcPr>
          <w:p>
            <w:pPr>
              <w:spacing w:after="0"/>
              <w:rPr>
                <w:rFonts w:ascii="Arial" w:cs="Arial" w:eastAsia="Arial" w:hAnsi="Arial"/>
                <w:sz w:val="14"/>
                <w:szCs w:val="14"/>
                <w:color w:val="0000FF"/>
                <w:w w:val="86"/>
              </w:rPr>
            </w:pPr>
            <w:hyperlink w:anchor="page11">
              <w:r>
                <w:rPr>
                  <w:rFonts w:ascii="Arial" w:cs="Arial" w:eastAsia="Arial" w:hAnsi="Arial"/>
                  <w:sz w:val="14"/>
                  <w:szCs w:val="14"/>
                  <w:color w:val="0000FF"/>
                  <w:w w:val="86"/>
                </w:rPr>
                <w:t>Notes to Condensed Consolidated Financial Statements</w:t>
              </w:r>
            </w:hyperlink>
          </w:p>
        </w:tc>
        <w:tc>
          <w:tcPr>
            <w:tcW w:w="662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11">
              <w:r>
                <w:rPr>
                  <w:rFonts w:ascii="Arial" w:cs="Arial" w:eastAsia="Arial" w:hAnsi="Arial"/>
                  <w:sz w:val="14"/>
                  <w:szCs w:val="14"/>
                  <w:color w:val="0000FF"/>
                  <w:w w:val="76"/>
                </w:rPr>
                <w:t>12</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0" w:type="dxa"/>
            <w:vAlign w:val="bottom"/>
          </w:tcPr>
          <w:p>
            <w:pPr>
              <w:spacing w:after="0"/>
              <w:rPr>
                <w:rFonts w:ascii="Arial" w:cs="Arial" w:eastAsia="Arial" w:hAnsi="Arial"/>
                <w:sz w:val="14"/>
                <w:szCs w:val="14"/>
                <w:color w:val="0000FF"/>
                <w:w w:val="83"/>
              </w:rPr>
            </w:pPr>
            <w:hyperlink w:anchor="page23">
              <w:r>
                <w:rPr>
                  <w:rFonts w:ascii="Arial" w:cs="Arial" w:eastAsia="Arial" w:hAnsi="Arial"/>
                  <w:sz w:val="14"/>
                  <w:szCs w:val="14"/>
                  <w:color w:val="0000FF"/>
                  <w:w w:val="83"/>
                </w:rPr>
                <w:t>Item 2.</w:t>
              </w:r>
            </w:hyperlink>
          </w:p>
        </w:tc>
        <w:tc>
          <w:tcPr>
            <w:tcW w:w="580" w:type="dxa"/>
            <w:vAlign w:val="bottom"/>
            <w:gridSpan w:val="2"/>
          </w:tcPr>
          <w:p>
            <w:pPr>
              <w:spacing w:after="0"/>
              <w:rPr>
                <w:sz w:val="24"/>
                <w:szCs w:val="24"/>
                <w:color w:val="auto"/>
              </w:rPr>
            </w:pPr>
          </w:p>
        </w:tc>
        <w:tc>
          <w:tcPr>
            <w:tcW w:w="9640" w:type="dxa"/>
            <w:vAlign w:val="bottom"/>
            <w:gridSpan w:val="20"/>
          </w:tcPr>
          <w:p>
            <w:pPr>
              <w:spacing w:after="0"/>
              <w:rPr>
                <w:rFonts w:ascii="Arial" w:cs="Arial" w:eastAsia="Arial" w:hAnsi="Arial"/>
                <w:sz w:val="14"/>
                <w:szCs w:val="14"/>
                <w:color w:val="0000FF"/>
              </w:rPr>
            </w:pPr>
            <w:hyperlink w:anchor="page23">
              <w:r>
                <w:rPr>
                  <w:rFonts w:ascii="Arial" w:cs="Arial" w:eastAsia="Arial" w:hAnsi="Arial"/>
                  <w:sz w:val="14"/>
                  <w:szCs w:val="14"/>
                  <w:color w:val="0000FF"/>
                </w:rPr>
                <w:t>Management’s Discussion and Analysis of Financial Condition and Results of Operations</w:t>
              </w:r>
            </w:hyperlink>
          </w:p>
        </w:tc>
        <w:tc>
          <w:tcPr>
            <w:tcW w:w="160" w:type="dxa"/>
            <w:vAlign w:val="bottom"/>
            <w:gridSpan w:val="2"/>
          </w:tcPr>
          <w:p>
            <w:pPr>
              <w:ind w:left="20"/>
              <w:spacing w:after="0"/>
              <w:rPr>
                <w:rFonts w:ascii="Arial" w:cs="Arial" w:eastAsia="Arial" w:hAnsi="Arial"/>
                <w:sz w:val="14"/>
                <w:szCs w:val="14"/>
                <w:color w:val="0000FF"/>
                <w:w w:val="76"/>
              </w:rPr>
            </w:pPr>
            <w:hyperlink w:anchor="page23">
              <w:r>
                <w:rPr>
                  <w:rFonts w:ascii="Arial" w:cs="Arial" w:eastAsia="Arial" w:hAnsi="Arial"/>
                  <w:sz w:val="14"/>
                  <w:szCs w:val="14"/>
                  <w:color w:val="0000FF"/>
                  <w:w w:val="76"/>
                </w:rPr>
                <w:t>23</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0" w:type="dxa"/>
            <w:vAlign w:val="bottom"/>
            <w:tcBorders>
              <w:top w:val="single" w:sz="8" w:color="0000FF"/>
              <w:bottom w:val="single" w:sz="8" w:color="0000FF"/>
            </w:tcBorders>
          </w:tcPr>
          <w:p>
            <w:pPr>
              <w:spacing w:after="0"/>
              <w:rPr>
                <w:rFonts w:ascii="Arial" w:cs="Arial" w:eastAsia="Arial" w:hAnsi="Arial"/>
                <w:sz w:val="14"/>
                <w:szCs w:val="14"/>
                <w:color w:val="0000FF"/>
                <w:w w:val="83"/>
              </w:rPr>
            </w:pPr>
            <w:hyperlink w:anchor="page35">
              <w:r>
                <w:rPr>
                  <w:rFonts w:ascii="Arial" w:cs="Arial" w:eastAsia="Arial" w:hAnsi="Arial"/>
                  <w:sz w:val="14"/>
                  <w:szCs w:val="14"/>
                  <w:color w:val="0000FF"/>
                  <w:w w:val="83"/>
                </w:rPr>
                <w:t>Item 3.</w:t>
              </w:r>
            </w:hyperlink>
          </w:p>
        </w:tc>
        <w:tc>
          <w:tcPr>
            <w:tcW w:w="580" w:type="dxa"/>
            <w:vAlign w:val="bottom"/>
            <w:gridSpan w:val="2"/>
          </w:tcPr>
          <w:p>
            <w:pPr>
              <w:spacing w:after="0"/>
              <w:rPr>
                <w:sz w:val="24"/>
                <w:szCs w:val="24"/>
                <w:color w:val="auto"/>
              </w:rPr>
            </w:pPr>
          </w:p>
        </w:tc>
        <w:tc>
          <w:tcPr>
            <w:tcW w:w="3300" w:type="dxa"/>
            <w:vAlign w:val="bottom"/>
            <w:tcBorders>
              <w:top w:val="single" w:sz="8" w:color="0000FF"/>
              <w:bottom w:val="single" w:sz="8" w:color="0000FF"/>
            </w:tcBorders>
            <w:gridSpan w:val="10"/>
          </w:tcPr>
          <w:p>
            <w:pPr>
              <w:spacing w:after="0"/>
              <w:rPr>
                <w:rFonts w:ascii="Arial" w:cs="Arial" w:eastAsia="Arial" w:hAnsi="Arial"/>
                <w:sz w:val="14"/>
                <w:szCs w:val="14"/>
                <w:color w:val="0000FF"/>
                <w:w w:val="89"/>
              </w:rPr>
            </w:pPr>
            <w:hyperlink w:anchor="page35">
              <w:r>
                <w:rPr>
                  <w:rFonts w:ascii="Arial" w:cs="Arial" w:eastAsia="Arial" w:hAnsi="Arial"/>
                  <w:sz w:val="14"/>
                  <w:szCs w:val="14"/>
                  <w:color w:val="0000FF"/>
                  <w:w w:val="89"/>
                </w:rPr>
                <w:t>Quantitative and Qualitative Disclosures About Market Risk</w:t>
              </w:r>
            </w:hyperlink>
          </w:p>
        </w:tc>
        <w:tc>
          <w:tcPr>
            <w:tcW w:w="1560" w:type="dxa"/>
            <w:vAlign w:val="bottom"/>
            <w:tcBorders>
              <w:top w:val="single" w:sz="8" w:color="0000FF"/>
            </w:tcBorders>
            <w:gridSpan w:val="4"/>
          </w:tcPr>
          <w:p>
            <w:pPr>
              <w:spacing w:after="0"/>
              <w:rPr>
                <w:sz w:val="24"/>
                <w:szCs w:val="24"/>
                <w:color w:val="auto"/>
              </w:rPr>
            </w:pPr>
          </w:p>
        </w:tc>
        <w:tc>
          <w:tcPr>
            <w:tcW w:w="47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FF"/>
              <w:bottom w:val="single" w:sz="8" w:color="0000FF"/>
            </w:tcBorders>
          </w:tcPr>
          <w:p>
            <w:pPr>
              <w:spacing w:after="0"/>
              <w:rPr>
                <w:rFonts w:ascii="Arial" w:cs="Arial" w:eastAsia="Arial" w:hAnsi="Arial"/>
                <w:sz w:val="14"/>
                <w:szCs w:val="14"/>
                <w:color w:val="0000FF"/>
                <w:w w:val="76"/>
              </w:rPr>
            </w:pPr>
            <w:hyperlink w:anchor="page35">
              <w:r>
                <w:rPr>
                  <w:rFonts w:ascii="Arial" w:cs="Arial" w:eastAsia="Arial" w:hAnsi="Arial"/>
                  <w:sz w:val="14"/>
                  <w:szCs w:val="14"/>
                  <w:color w:val="0000FF"/>
                  <w:w w:val="76"/>
                </w:rPr>
                <w:t>35</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60" w:type="dxa"/>
            <w:vAlign w:val="bottom"/>
            <w:gridSpan w:val="3"/>
          </w:tcPr>
          <w:p>
            <w:pPr>
              <w:spacing w:after="0"/>
              <w:rPr>
                <w:rFonts w:ascii="Arial" w:cs="Arial" w:eastAsia="Arial" w:hAnsi="Arial"/>
                <w:sz w:val="14"/>
                <w:szCs w:val="14"/>
                <w:color w:val="0000FF"/>
              </w:rPr>
            </w:pPr>
            <w:hyperlink w:anchor="page36">
              <w:r>
                <w:rPr>
                  <w:rFonts w:ascii="Arial" w:cs="Arial" w:eastAsia="Arial" w:hAnsi="Arial"/>
                  <w:sz w:val="14"/>
                  <w:szCs w:val="14"/>
                  <w:color w:val="0000FF"/>
                </w:rPr>
                <w:t>Item 4.</w:t>
              </w:r>
            </w:hyperlink>
          </w:p>
        </w:tc>
        <w:tc>
          <w:tcPr>
            <w:tcW w:w="9640" w:type="dxa"/>
            <w:vAlign w:val="bottom"/>
            <w:gridSpan w:val="20"/>
          </w:tcPr>
          <w:p>
            <w:pPr>
              <w:spacing w:after="0"/>
              <w:rPr>
                <w:rFonts w:ascii="Arial" w:cs="Arial" w:eastAsia="Arial" w:hAnsi="Arial"/>
                <w:sz w:val="14"/>
                <w:szCs w:val="14"/>
                <w:color w:val="0000FF"/>
              </w:rPr>
            </w:pPr>
            <w:hyperlink w:anchor="page36">
              <w:r>
                <w:rPr>
                  <w:rFonts w:ascii="Arial" w:cs="Arial" w:eastAsia="Arial" w:hAnsi="Arial"/>
                  <w:sz w:val="14"/>
                  <w:szCs w:val="14"/>
                  <w:color w:val="0000FF"/>
                </w:rPr>
                <w:t>Controls and Procedures</w:t>
              </w:r>
            </w:hyperlink>
          </w:p>
        </w:tc>
        <w:tc>
          <w:tcPr>
            <w:tcW w:w="160" w:type="dxa"/>
            <w:vAlign w:val="bottom"/>
            <w:gridSpan w:val="2"/>
          </w:tcPr>
          <w:p>
            <w:pPr>
              <w:ind w:left="20"/>
              <w:spacing w:after="0"/>
              <w:rPr>
                <w:rFonts w:ascii="Arial" w:cs="Arial" w:eastAsia="Arial" w:hAnsi="Arial"/>
                <w:sz w:val="14"/>
                <w:szCs w:val="14"/>
                <w:color w:val="0000FF"/>
                <w:w w:val="76"/>
              </w:rPr>
            </w:pPr>
            <w:hyperlink w:anchor="page36">
              <w:r>
                <w:rPr>
                  <w:rFonts w:ascii="Arial" w:cs="Arial" w:eastAsia="Arial" w:hAnsi="Arial"/>
                  <w:sz w:val="14"/>
                  <w:szCs w:val="14"/>
                  <w:color w:val="0000FF"/>
                  <w:w w:val="76"/>
                </w:rPr>
                <w:t>36</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80" w:type="dxa"/>
            <w:vAlign w:val="bottom"/>
            <w:gridSpan w:val="8"/>
          </w:tcPr>
          <w:p>
            <w:pPr>
              <w:jc w:val="center"/>
              <w:ind w:right="3760"/>
              <w:spacing w:after="0"/>
              <w:rPr>
                <w:rFonts w:ascii="Arial" w:cs="Arial" w:eastAsia="Arial" w:hAnsi="Arial"/>
                <w:sz w:val="14"/>
                <w:szCs w:val="14"/>
                <w:b w:val="1"/>
                <w:bCs w:val="1"/>
                <w:color w:val="0000FF"/>
                <w:w w:val="99"/>
              </w:rPr>
            </w:pPr>
            <w:hyperlink w:anchor="page36">
              <w:r>
                <w:rPr>
                  <w:rFonts w:ascii="Arial" w:cs="Arial" w:eastAsia="Arial" w:hAnsi="Arial"/>
                  <w:sz w:val="14"/>
                  <w:szCs w:val="14"/>
                  <w:b w:val="1"/>
                  <w:bCs w:val="1"/>
                  <w:color w:val="0000FF"/>
                  <w:w w:val="99"/>
                </w:rPr>
                <w:t>PART II - OTHER INFORMATION</w:t>
              </w:r>
            </w:hyperlink>
          </w:p>
        </w:tc>
        <w:tc>
          <w:tcPr>
            <w:tcW w:w="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0" w:type="dxa"/>
            <w:vAlign w:val="bottom"/>
            <w:tcBorders>
              <w:bottom w:val="single" w:sz="8" w:color="0000FF"/>
            </w:tcBorders>
          </w:tcPr>
          <w:p>
            <w:pPr>
              <w:spacing w:after="0"/>
              <w:rPr>
                <w:rFonts w:ascii="Arial" w:cs="Arial" w:eastAsia="Arial" w:hAnsi="Arial"/>
                <w:sz w:val="14"/>
                <w:szCs w:val="14"/>
                <w:color w:val="0000FF"/>
                <w:w w:val="83"/>
              </w:rPr>
            </w:pPr>
            <w:hyperlink w:anchor="page37">
              <w:r>
                <w:rPr>
                  <w:rFonts w:ascii="Arial" w:cs="Arial" w:eastAsia="Arial" w:hAnsi="Arial"/>
                  <w:sz w:val="14"/>
                  <w:szCs w:val="14"/>
                  <w:color w:val="0000FF"/>
                  <w:w w:val="83"/>
                </w:rPr>
                <w:t>Item 1.</w:t>
              </w:r>
            </w:hyperlink>
          </w:p>
        </w:tc>
        <w:tc>
          <w:tcPr>
            <w:tcW w:w="580" w:type="dxa"/>
            <w:vAlign w:val="bottom"/>
            <w:gridSpan w:val="2"/>
          </w:tcPr>
          <w:p>
            <w:pPr>
              <w:spacing w:after="0"/>
              <w:rPr>
                <w:sz w:val="24"/>
                <w:szCs w:val="24"/>
                <w:color w:val="auto"/>
              </w:rPr>
            </w:pPr>
          </w:p>
        </w:tc>
        <w:tc>
          <w:tcPr>
            <w:tcW w:w="1020" w:type="dxa"/>
            <w:vAlign w:val="bottom"/>
            <w:tcBorders>
              <w:bottom w:val="single" w:sz="8" w:color="0000FF"/>
            </w:tcBorders>
            <w:gridSpan w:val="5"/>
          </w:tcPr>
          <w:p>
            <w:pPr>
              <w:spacing w:after="0"/>
              <w:rPr>
                <w:rFonts w:ascii="Arial" w:cs="Arial" w:eastAsia="Arial" w:hAnsi="Arial"/>
                <w:sz w:val="14"/>
                <w:szCs w:val="14"/>
                <w:color w:val="0000FF"/>
                <w:w w:val="86"/>
              </w:rPr>
            </w:pPr>
            <w:hyperlink w:anchor="page37">
              <w:r>
                <w:rPr>
                  <w:rFonts w:ascii="Arial" w:cs="Arial" w:eastAsia="Arial" w:hAnsi="Arial"/>
                  <w:sz w:val="14"/>
                  <w:szCs w:val="14"/>
                  <w:color w:val="0000FF"/>
                  <w:w w:val="86"/>
                </w:rPr>
                <w:t>Legal Proceedings</w:t>
              </w:r>
            </w:hyperlink>
          </w:p>
        </w:tc>
        <w:tc>
          <w:tcPr>
            <w:tcW w:w="2740" w:type="dxa"/>
            <w:vAlign w:val="bottom"/>
            <w:gridSpan w:val="7"/>
          </w:tcPr>
          <w:p>
            <w:pPr>
              <w:spacing w:after="0"/>
              <w:rPr>
                <w:sz w:val="24"/>
                <w:szCs w:val="24"/>
                <w:color w:val="auto"/>
              </w:rPr>
            </w:pPr>
          </w:p>
        </w:tc>
        <w:tc>
          <w:tcPr>
            <w:tcW w:w="2120" w:type="dxa"/>
            <w:vAlign w:val="bottom"/>
            <w:tcBorders>
              <w:top w:val="single" w:sz="8" w:color="0000FF"/>
            </w:tcBorders>
            <w:gridSpan w:val="4"/>
          </w:tcPr>
          <w:p>
            <w:pPr>
              <w:spacing w:after="0"/>
              <w:rPr>
                <w:sz w:val="24"/>
                <w:szCs w:val="24"/>
                <w:color w:val="auto"/>
              </w:rPr>
            </w:pPr>
          </w:p>
        </w:tc>
        <w:tc>
          <w:tcPr>
            <w:tcW w:w="37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37">
              <w:r>
                <w:rPr>
                  <w:rFonts w:ascii="Arial" w:cs="Arial" w:eastAsia="Arial" w:hAnsi="Arial"/>
                  <w:sz w:val="14"/>
                  <w:szCs w:val="14"/>
                  <w:color w:val="0000FF"/>
                  <w:w w:val="76"/>
                </w:rPr>
                <w:t>37</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0" w:type="dxa"/>
            <w:vAlign w:val="bottom"/>
            <w:gridSpan w:val="2"/>
          </w:tcPr>
          <w:p>
            <w:pPr>
              <w:spacing w:after="0"/>
              <w:rPr>
                <w:rFonts w:ascii="Arial" w:cs="Arial" w:eastAsia="Arial" w:hAnsi="Arial"/>
                <w:sz w:val="14"/>
                <w:szCs w:val="14"/>
                <w:color w:val="0000FF"/>
                <w:w w:val="88"/>
              </w:rPr>
            </w:pPr>
            <w:hyperlink w:anchor="page37">
              <w:r>
                <w:rPr>
                  <w:rFonts w:ascii="Arial" w:cs="Arial" w:eastAsia="Arial" w:hAnsi="Arial"/>
                  <w:sz w:val="14"/>
                  <w:szCs w:val="14"/>
                  <w:color w:val="0000FF"/>
                  <w:w w:val="88"/>
                </w:rPr>
                <w:t>Item 1A.</w:t>
              </w:r>
            </w:hyperlink>
          </w:p>
        </w:tc>
        <w:tc>
          <w:tcPr>
            <w:tcW w:w="4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4"/>
                <w:szCs w:val="14"/>
                <w:color w:val="0000FF"/>
              </w:rPr>
            </w:pPr>
            <w:hyperlink w:anchor="page37">
              <w:r>
                <w:rPr>
                  <w:rFonts w:ascii="Arial" w:cs="Arial" w:eastAsia="Arial" w:hAnsi="Arial"/>
                  <w:sz w:val="14"/>
                  <w:szCs w:val="14"/>
                  <w:color w:val="0000FF"/>
                </w:rPr>
                <w:t>Risk Factors</w:t>
              </w:r>
            </w:hyperlink>
          </w:p>
        </w:tc>
        <w:tc>
          <w:tcPr>
            <w:tcW w:w="160" w:type="dxa"/>
            <w:vAlign w:val="bottom"/>
            <w:gridSpan w:val="2"/>
          </w:tcPr>
          <w:p>
            <w:pPr>
              <w:ind w:left="20"/>
              <w:spacing w:after="0"/>
              <w:rPr>
                <w:rFonts w:ascii="Arial" w:cs="Arial" w:eastAsia="Arial" w:hAnsi="Arial"/>
                <w:sz w:val="14"/>
                <w:szCs w:val="14"/>
                <w:color w:val="0000FF"/>
                <w:w w:val="76"/>
              </w:rPr>
            </w:pPr>
            <w:hyperlink w:anchor="page37">
              <w:r>
                <w:rPr>
                  <w:rFonts w:ascii="Arial" w:cs="Arial" w:eastAsia="Arial" w:hAnsi="Arial"/>
                  <w:sz w:val="14"/>
                  <w:szCs w:val="14"/>
                  <w:color w:val="0000FF"/>
                  <w:w w:val="76"/>
                </w:rPr>
                <w:t>37</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0" w:type="dxa"/>
            <w:vAlign w:val="bottom"/>
            <w:tcBorders>
              <w:bottom w:val="single" w:sz="8" w:color="0000FF"/>
            </w:tcBorders>
          </w:tcPr>
          <w:p>
            <w:pPr>
              <w:spacing w:after="0"/>
              <w:rPr>
                <w:rFonts w:ascii="Arial" w:cs="Arial" w:eastAsia="Arial" w:hAnsi="Arial"/>
                <w:sz w:val="14"/>
                <w:szCs w:val="14"/>
                <w:color w:val="0000FF"/>
                <w:w w:val="83"/>
              </w:rPr>
            </w:pPr>
            <w:hyperlink w:anchor="page73">
              <w:r>
                <w:rPr>
                  <w:rFonts w:ascii="Arial" w:cs="Arial" w:eastAsia="Arial" w:hAnsi="Arial"/>
                  <w:sz w:val="14"/>
                  <w:szCs w:val="14"/>
                  <w:color w:val="0000FF"/>
                  <w:w w:val="83"/>
                </w:rPr>
                <w:t>Item 2.</w:t>
              </w:r>
            </w:hyperlink>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tcBorders>
              <w:bottom w:val="single" w:sz="8" w:color="0000FF"/>
            </w:tcBorders>
            <w:gridSpan w:val="9"/>
          </w:tcPr>
          <w:p>
            <w:pPr>
              <w:spacing w:after="0"/>
              <w:rPr>
                <w:rFonts w:ascii="Arial" w:cs="Arial" w:eastAsia="Arial" w:hAnsi="Arial"/>
                <w:sz w:val="14"/>
                <w:szCs w:val="14"/>
                <w:color w:val="0000FF"/>
                <w:w w:val="86"/>
              </w:rPr>
            </w:pPr>
            <w:hyperlink w:anchor="page73">
              <w:r>
                <w:rPr>
                  <w:rFonts w:ascii="Arial" w:cs="Arial" w:eastAsia="Arial" w:hAnsi="Arial"/>
                  <w:sz w:val="14"/>
                  <w:szCs w:val="14"/>
                  <w:color w:val="0000FF"/>
                  <w:w w:val="86"/>
                </w:rPr>
                <w:t>Unregistered Sales of Equity Securities and Use of Proceeds</w:t>
              </w:r>
            </w:hyperlink>
          </w:p>
        </w:tc>
        <w:tc>
          <w:tcPr>
            <w:tcW w:w="63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73">
              <w:r>
                <w:rPr>
                  <w:rFonts w:ascii="Arial" w:cs="Arial" w:eastAsia="Arial" w:hAnsi="Arial"/>
                  <w:sz w:val="14"/>
                  <w:szCs w:val="14"/>
                  <w:color w:val="0000FF"/>
                  <w:w w:val="76"/>
                </w:rPr>
                <w:t>73</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0" w:type="dxa"/>
            <w:vAlign w:val="bottom"/>
            <w:tcBorders>
              <w:bottom w:val="single" w:sz="8" w:color="0000FF"/>
            </w:tcBorders>
          </w:tcPr>
          <w:p>
            <w:pPr>
              <w:spacing w:after="0"/>
              <w:rPr>
                <w:rFonts w:ascii="Arial" w:cs="Arial" w:eastAsia="Arial" w:hAnsi="Arial"/>
                <w:sz w:val="14"/>
                <w:szCs w:val="14"/>
                <w:color w:val="0000FF"/>
                <w:w w:val="83"/>
              </w:rPr>
            </w:pPr>
            <w:hyperlink w:anchor="page73">
              <w:r>
                <w:rPr>
                  <w:rFonts w:ascii="Arial" w:cs="Arial" w:eastAsia="Arial" w:hAnsi="Arial"/>
                  <w:sz w:val="14"/>
                  <w:szCs w:val="14"/>
                  <w:color w:val="0000FF"/>
                  <w:w w:val="83"/>
                </w:rPr>
                <w:t>Item 5.</w:t>
              </w:r>
            </w:hyperlink>
          </w:p>
        </w:tc>
        <w:tc>
          <w:tcPr>
            <w:tcW w:w="580" w:type="dxa"/>
            <w:vAlign w:val="bottom"/>
            <w:gridSpan w:val="2"/>
          </w:tcPr>
          <w:p>
            <w:pPr>
              <w:spacing w:after="0"/>
              <w:rPr>
                <w:sz w:val="24"/>
                <w:szCs w:val="24"/>
                <w:color w:val="auto"/>
              </w:rPr>
            </w:pPr>
          </w:p>
        </w:tc>
        <w:tc>
          <w:tcPr>
            <w:tcW w:w="1000" w:type="dxa"/>
            <w:vAlign w:val="bottom"/>
            <w:tcBorders>
              <w:bottom w:val="single" w:sz="8" w:color="0000FF"/>
            </w:tcBorders>
            <w:gridSpan w:val="4"/>
          </w:tcPr>
          <w:p>
            <w:pPr>
              <w:spacing w:after="0"/>
              <w:rPr>
                <w:rFonts w:ascii="Arial" w:cs="Arial" w:eastAsia="Arial" w:hAnsi="Arial"/>
                <w:sz w:val="14"/>
                <w:szCs w:val="14"/>
                <w:color w:val="0000FF"/>
                <w:w w:val="89"/>
              </w:rPr>
            </w:pPr>
            <w:hyperlink w:anchor="page73">
              <w:r>
                <w:rPr>
                  <w:rFonts w:ascii="Arial" w:cs="Arial" w:eastAsia="Arial" w:hAnsi="Arial"/>
                  <w:sz w:val="14"/>
                  <w:szCs w:val="14"/>
                  <w:color w:val="0000FF"/>
                  <w:w w:val="89"/>
                </w:rPr>
                <w:t>Other Information</w:t>
              </w:r>
            </w:hyperlink>
          </w:p>
        </w:tc>
        <w:tc>
          <w:tcPr>
            <w:tcW w:w="864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73">
              <w:r>
                <w:rPr>
                  <w:rFonts w:ascii="Arial" w:cs="Arial" w:eastAsia="Arial" w:hAnsi="Arial"/>
                  <w:sz w:val="14"/>
                  <w:szCs w:val="14"/>
                  <w:color w:val="0000FF"/>
                  <w:w w:val="76"/>
                </w:rPr>
                <w:t>73</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0" w:type="dxa"/>
            <w:vAlign w:val="bottom"/>
            <w:tcBorders>
              <w:bottom w:val="single" w:sz="8" w:color="0000FF"/>
            </w:tcBorders>
          </w:tcPr>
          <w:p>
            <w:pPr>
              <w:spacing w:after="0"/>
              <w:rPr>
                <w:rFonts w:ascii="Arial" w:cs="Arial" w:eastAsia="Arial" w:hAnsi="Arial"/>
                <w:sz w:val="14"/>
                <w:szCs w:val="14"/>
                <w:color w:val="0000FF"/>
                <w:w w:val="83"/>
              </w:rPr>
            </w:pPr>
            <w:hyperlink w:anchor="page73">
              <w:r>
                <w:rPr>
                  <w:rFonts w:ascii="Arial" w:cs="Arial" w:eastAsia="Arial" w:hAnsi="Arial"/>
                  <w:sz w:val="14"/>
                  <w:szCs w:val="14"/>
                  <w:color w:val="0000FF"/>
                  <w:w w:val="83"/>
                </w:rPr>
                <w:t>Item 6.</w:t>
              </w:r>
            </w:hyperlink>
          </w:p>
        </w:tc>
        <w:tc>
          <w:tcPr>
            <w:tcW w:w="580" w:type="dxa"/>
            <w:vAlign w:val="bottom"/>
            <w:gridSpan w:val="2"/>
          </w:tcPr>
          <w:p>
            <w:pPr>
              <w:spacing w:after="0"/>
              <w:rPr>
                <w:sz w:val="24"/>
                <w:szCs w:val="24"/>
                <w:color w:val="auto"/>
              </w:rPr>
            </w:pPr>
          </w:p>
        </w:tc>
        <w:tc>
          <w:tcPr>
            <w:tcW w:w="460" w:type="dxa"/>
            <w:vAlign w:val="bottom"/>
            <w:tcBorders>
              <w:bottom w:val="single" w:sz="8" w:color="0000FF"/>
            </w:tcBorders>
          </w:tcPr>
          <w:p>
            <w:pPr>
              <w:spacing w:after="0"/>
              <w:rPr>
                <w:rFonts w:ascii="Arial" w:cs="Arial" w:eastAsia="Arial" w:hAnsi="Arial"/>
                <w:sz w:val="14"/>
                <w:szCs w:val="14"/>
                <w:color w:val="0000FF"/>
                <w:w w:val="89"/>
              </w:rPr>
            </w:pPr>
            <w:hyperlink w:anchor="page73">
              <w:r>
                <w:rPr>
                  <w:rFonts w:ascii="Arial" w:cs="Arial" w:eastAsia="Arial" w:hAnsi="Arial"/>
                  <w:sz w:val="14"/>
                  <w:szCs w:val="14"/>
                  <w:color w:val="0000FF"/>
                  <w:w w:val="89"/>
                </w:rPr>
                <w:t>Exhibits</w:t>
              </w:r>
            </w:hyperlink>
          </w:p>
        </w:tc>
        <w:tc>
          <w:tcPr>
            <w:tcW w:w="918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73">
              <w:r>
                <w:rPr>
                  <w:rFonts w:ascii="Arial" w:cs="Arial" w:eastAsia="Arial" w:hAnsi="Arial"/>
                  <w:sz w:val="14"/>
                  <w:szCs w:val="14"/>
                  <w:color w:val="0000FF"/>
                  <w:w w:val="76"/>
                </w:rPr>
                <w:t>74</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rFonts w:ascii="Arial" w:cs="Arial" w:eastAsia="Arial" w:hAnsi="Arial"/>
                <w:sz w:val="14"/>
                <w:szCs w:val="14"/>
                <w:color w:val="0000FF"/>
                <w:w w:val="83"/>
              </w:rPr>
            </w:pPr>
            <w:hyperlink w:anchor="page74">
              <w:r>
                <w:rPr>
                  <w:rFonts w:ascii="Arial" w:cs="Arial" w:eastAsia="Arial" w:hAnsi="Arial"/>
                  <w:sz w:val="14"/>
                  <w:szCs w:val="14"/>
                  <w:color w:val="0000FF"/>
                  <w:w w:val="83"/>
                </w:rPr>
                <w:t>Signatures</w:t>
              </w:r>
            </w:hyperlink>
          </w:p>
        </w:tc>
        <w:tc>
          <w:tcPr>
            <w:tcW w:w="906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0000FF"/>
            </w:tcBorders>
          </w:tcPr>
          <w:p>
            <w:pPr>
              <w:spacing w:after="0"/>
              <w:rPr>
                <w:rFonts w:ascii="Arial" w:cs="Arial" w:eastAsia="Arial" w:hAnsi="Arial"/>
                <w:sz w:val="14"/>
                <w:szCs w:val="14"/>
                <w:color w:val="0000FF"/>
                <w:w w:val="76"/>
              </w:rPr>
            </w:pPr>
            <w:hyperlink w:anchor="page74">
              <w:r>
                <w:rPr>
                  <w:rFonts w:ascii="Arial" w:cs="Arial" w:eastAsia="Arial" w:hAnsi="Arial"/>
                  <w:sz w:val="14"/>
                  <w:szCs w:val="14"/>
                  <w:color w:val="0000FF"/>
                  <w:w w:val="76"/>
                </w:rPr>
                <w:t>74</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46355</wp:posOffset>
            </wp:positionV>
            <wp:extent cx="719201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20" w:top="705" w:right="319" w:bottom="1440" w:gutter="0" w:footer="0" w:header="0"/>
        </w:sectPr>
      </w:pPr>
    </w:p>
    <w:bookmarkStart w:id="2" w:name="page3"/>
    <w:bookmarkEnd w:id="2"/>
    <w:p>
      <w:pPr>
        <w:jc w:val="center"/>
        <w:ind w:left="360"/>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66" w:lineRule="exact"/>
        <w:rPr>
          <w:sz w:val="20"/>
          <w:szCs w:val="20"/>
          <w:color w:val="auto"/>
        </w:rPr>
      </w:pPr>
    </w:p>
    <w:p>
      <w:pPr>
        <w:ind w:firstLine="365"/>
        <w:spacing w:after="0" w:line="297" w:lineRule="auto"/>
        <w:rPr>
          <w:sz w:val="20"/>
          <w:szCs w:val="20"/>
          <w:color w:val="auto"/>
        </w:rPr>
      </w:pPr>
      <w:r>
        <w:rPr>
          <w:rFonts w:ascii="Arial" w:cs="Arial" w:eastAsia="Arial" w:hAnsi="Arial"/>
          <w:sz w:val="12"/>
          <w:szCs w:val="12"/>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20" w:lineRule="exact"/>
        <w:rPr>
          <w:sz w:val="20"/>
          <w:szCs w:val="20"/>
          <w:color w:val="auto"/>
        </w:rPr>
      </w:pPr>
    </w:p>
    <w:p>
      <w:pPr>
        <w:ind w:left="720" w:hanging="232"/>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effectively manage our growth, including maintaining our corporate culture;</w:t>
      </w:r>
    </w:p>
    <w:p>
      <w:pPr>
        <w:spacing w:after="0" w:line="163" w:lineRule="exact"/>
        <w:rPr>
          <w:rFonts w:ascii="Arial" w:cs="Arial" w:eastAsia="Arial" w:hAnsi="Arial"/>
          <w:sz w:val="14"/>
          <w:szCs w:val="14"/>
          <w:color w:val="auto"/>
        </w:rPr>
      </w:pPr>
    </w:p>
    <w:p>
      <w:pPr>
        <w:ind w:left="740" w:right="620" w:hanging="252"/>
        <w:spacing w:after="0" w:line="259" w:lineRule="auto"/>
        <w:tabs>
          <w:tab w:leader="none" w:pos="73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future financial performance, including our revenue, cost of revenue, gross margin and operating expenses, ability to generate positive cash flow and ability to achieve and sustain profitability;</w:t>
      </w:r>
    </w:p>
    <w:p>
      <w:pPr>
        <w:spacing w:after="0" w:line="139" w:lineRule="exact"/>
        <w:rPr>
          <w:rFonts w:ascii="Arial" w:cs="Arial" w:eastAsia="Arial" w:hAnsi="Arial"/>
          <w:sz w:val="14"/>
          <w:szCs w:val="14"/>
          <w:color w:val="auto"/>
        </w:rPr>
      </w:pPr>
    </w:p>
    <w:p>
      <w:pPr>
        <w:ind w:left="740" w:right="160" w:hanging="252"/>
        <w:spacing w:after="0" w:line="259" w:lineRule="auto"/>
        <w:tabs>
          <w:tab w:leader="none" w:pos="7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an economic downturn or recession, the coronavirus disease of 2019 (“COVID-19”) pandemic, or significant market volatility in the global economy on our customers, partners, employees and business;</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and retain qualified employees and key personnel;</w:t>
      </w:r>
    </w:p>
    <w:p>
      <w:pPr>
        <w:spacing w:after="0" w:line="163" w:lineRule="exact"/>
        <w:rPr>
          <w:rFonts w:ascii="Arial" w:cs="Arial" w:eastAsia="Arial" w:hAnsi="Arial"/>
          <w:sz w:val="14"/>
          <w:szCs w:val="14"/>
          <w:color w:val="auto"/>
        </w:rPr>
      </w:pPr>
    </w:p>
    <w:p>
      <w:pPr>
        <w:ind w:left="740" w:hanging="252"/>
        <w:spacing w:after="0" w:line="259" w:lineRule="auto"/>
        <w:tabs>
          <w:tab w:leader="none" w:pos="73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retain and increase revenue from existing customers and attract new customers, including our ability to attract and retain enterprises and international organizations as customers for our products and our ability to maintain reliable service levels for our customers;</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anticipated investments in sales and marketing, research and development and additional systems and processes to support our growth;</w:t>
      </w:r>
    </w:p>
    <w:p>
      <w:pPr>
        <w:spacing w:after="0" w:line="163" w:lineRule="exact"/>
        <w:rPr>
          <w:rFonts w:ascii="Arial" w:cs="Arial" w:eastAsia="Arial" w:hAnsi="Arial"/>
          <w:sz w:val="14"/>
          <w:szCs w:val="14"/>
          <w:color w:val="auto"/>
        </w:rPr>
      </w:pPr>
    </w:p>
    <w:p>
      <w:pPr>
        <w:ind w:left="740" w:right="180" w:hanging="252"/>
        <w:spacing w:after="0" w:line="259" w:lineRule="auto"/>
        <w:tabs>
          <w:tab w:leader="none" w:pos="73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compete effectively in an intensely competitive market, including our ability to adapt and respond effectively to rising costs, rapidly changing technology and evolving customer needs, requirements, and preferences;</w:t>
      </w:r>
    </w:p>
    <w:p>
      <w:pPr>
        <w:spacing w:after="0" w:line="139" w:lineRule="exact"/>
        <w:rPr>
          <w:rFonts w:ascii="Arial" w:cs="Arial" w:eastAsia="Arial" w:hAnsi="Arial"/>
          <w:sz w:val="14"/>
          <w:szCs w:val="14"/>
          <w:color w:val="auto"/>
        </w:rPr>
      </w:pPr>
    </w:p>
    <w:p>
      <w:pPr>
        <w:ind w:left="740" w:right="360" w:hanging="252"/>
        <w:spacing w:after="0" w:line="302" w:lineRule="auto"/>
        <w:tabs>
          <w:tab w:leader="none" w:pos="736"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comply with modified or new industry standards, laws and regulations applying to our business, including the General Data Protection Regulation (“GDPR”), the California Consumer Privacy Act of 2018 (“CCPA”), Brazil's General Data Protection Law (Lei Geral de Proteção de Dados Pessoais) (Law No. 13,709/2018), and other privacy or cybersecurity regulations that may be implemented in the future, and Signature-based Handling of Asserted Information Using toKENs (“SHAKEN”) and Secure Telephone Identity Revisited (“STIR”) standards (together, “SHAKEN/STIR”) and other robocalling prevention and anti-spam standards and increased costs associated with such compliance;</w:t>
      </w:r>
    </w:p>
    <w:p>
      <w:pPr>
        <w:spacing w:after="0" w:line="117" w:lineRule="exact"/>
        <w:rPr>
          <w:rFonts w:ascii="Arial" w:cs="Arial" w:eastAsia="Arial" w:hAnsi="Arial"/>
          <w:sz w:val="12"/>
          <w:szCs w:val="12"/>
          <w:color w:val="auto"/>
        </w:rPr>
      </w:pPr>
    </w:p>
    <w:p>
      <w:pPr>
        <w:ind w:left="740" w:right="260" w:hanging="252"/>
        <w:spacing w:after="0" w:line="259" w:lineRule="auto"/>
        <w:tabs>
          <w:tab w:leader="none" w:pos="736" w:val="left"/>
        </w:tabs>
        <w:numPr>
          <w:ilvl w:val="0"/>
          <w:numId w:val="3"/>
        </w:numPr>
        <w:rPr>
          <w:rFonts w:ascii="Arial" w:cs="Arial" w:eastAsia="Arial" w:hAnsi="Arial"/>
          <w:sz w:val="14"/>
          <w:szCs w:val="14"/>
          <w:color w:val="auto"/>
        </w:rPr>
      </w:pPr>
      <w:r>
        <w:rPr>
          <w:rFonts w:ascii="Arial" w:cs="Arial" w:eastAsia="Arial" w:hAnsi="Arial"/>
          <w:sz w:val="14"/>
          <w:szCs w:val="14"/>
          <w:color w:val="auto"/>
        </w:rPr>
        <w:t>potential harm caused by compromises in security, data and infrastructure, including cybersecurity protections, investments and resources and costs required to prevent, detect and remediate potential cybersecurity threats, incidents and breaches of ours or our customers’ systems or information;</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optimize our network service provider coverage and connectivity;</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manage changes in network service provider fees that we pay in connection with the delivery of communications on our platform;</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work closely with email inbox service providers to maintain deliverability rates;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pass on our savings associated with our platform optimization efforts to our customers;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and expected results from changes in our relationships with our larger customers;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form and expand partnerships with technology partners and consulting partners;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anticipated technology trends, such as the use of and demand for cloud communications;</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20"/>
          </w:cols>
          <w:pgMar w:left="300" w:top="868" w:right="379" w:bottom="1440" w:gutter="0" w:footer="0" w:header="0"/>
        </w:sectPr>
      </w:pPr>
    </w:p>
    <w:bookmarkStart w:id="3" w:name="page4"/>
    <w:bookmarkEnd w:id="3"/>
    <w:p>
      <w:pPr>
        <w:ind w:left="720" w:hanging="232"/>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successfully enter into new markets and manage our international expansion;</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sufficiency of our cash and cash equivalents to meet our liquidity needs;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maintain, protect and enhance our intellectual property;</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successfully defend litigation brought against us;</w:t>
      </w:r>
    </w:p>
    <w:p>
      <w:pPr>
        <w:spacing w:after="0" w:line="163" w:lineRule="exact"/>
        <w:rPr>
          <w:rFonts w:ascii="Arial" w:cs="Arial" w:eastAsia="Arial" w:hAnsi="Arial"/>
          <w:sz w:val="14"/>
          <w:szCs w:val="14"/>
          <w:color w:val="auto"/>
        </w:rPr>
      </w:pPr>
    </w:p>
    <w:p>
      <w:pPr>
        <w:ind w:left="740" w:hanging="252"/>
        <w:spacing w:after="0" w:line="259" w:lineRule="auto"/>
        <w:tabs>
          <w:tab w:leader="none" w:pos="73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service the interest on our 3.625% senior notes due 2029 (“2029 Notes”), our 3.875% notes due 2031 (“2031 Notes,” and together with the 2029 Notes, the “Notes”), and repay such Notes;</w:t>
      </w:r>
    </w:p>
    <w:p>
      <w:pPr>
        <w:spacing w:after="0" w:line="143" w:lineRule="exact"/>
        <w:rPr>
          <w:rFonts w:ascii="Arial" w:cs="Arial" w:eastAsia="Arial" w:hAnsi="Arial"/>
          <w:sz w:val="14"/>
          <w:szCs w:val="14"/>
          <w:color w:val="auto"/>
        </w:rPr>
      </w:pPr>
    </w:p>
    <w:p>
      <w:pPr>
        <w:ind w:left="720" w:hanging="232"/>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customers</w:t>
      </w:r>
      <w:r>
        <w:rPr>
          <w:rFonts w:ascii="Arial" w:cs="Arial" w:eastAsia="Arial" w:hAnsi="Arial"/>
          <w:sz w:val="16"/>
          <w:szCs w:val="16"/>
          <w:color w:val="auto"/>
        </w:rPr>
        <w:t>’</w:t>
      </w:r>
      <w:r>
        <w:rPr>
          <w:rFonts w:ascii="Arial" w:cs="Arial" w:eastAsia="Arial" w:hAnsi="Arial"/>
          <w:sz w:val="14"/>
          <w:szCs w:val="14"/>
          <w:color w:val="auto"/>
        </w:rPr>
        <w:t xml:space="preserve"> and other platform users</w:t>
      </w:r>
      <w:r>
        <w:rPr>
          <w:rFonts w:ascii="Arial" w:cs="Arial" w:eastAsia="Arial" w:hAnsi="Arial"/>
          <w:sz w:val="16"/>
          <w:szCs w:val="16"/>
          <w:color w:val="auto"/>
        </w:rPr>
        <w:t>’</w:t>
      </w:r>
      <w:r>
        <w:rPr>
          <w:rFonts w:ascii="Arial" w:cs="Arial" w:eastAsia="Arial" w:hAnsi="Arial"/>
          <w:sz w:val="14"/>
          <w:szCs w:val="14"/>
          <w:color w:val="auto"/>
        </w:rPr>
        <w:t xml:space="preserve"> violation of our policies or other misuse of our platform;</w:t>
      </w:r>
    </w:p>
    <w:p>
      <w:pPr>
        <w:spacing w:after="0" w:line="166" w:lineRule="exact"/>
        <w:rPr>
          <w:rFonts w:ascii="Arial" w:cs="Arial" w:eastAsia="Arial" w:hAnsi="Arial"/>
          <w:sz w:val="14"/>
          <w:szCs w:val="14"/>
          <w:color w:val="auto"/>
        </w:rPr>
      </w:pPr>
    </w:p>
    <w:p>
      <w:pPr>
        <w:ind w:left="740" w:right="40" w:hanging="252"/>
        <w:spacing w:after="0" w:line="259" w:lineRule="auto"/>
        <w:tabs>
          <w:tab w:leader="none" w:pos="73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expectations about the impact of climate change, natural disasters, public health pandemics and epidemics and other natural catastrophic events and man-made problems such as data security breaches, war or terrorism; and</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successfully integrate and realize the benefits of our past or future strategic acquisitions or investments.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caution you that the foregoing list may not contain all of the forward-looking statements made in this Quarterly Report on Form 10-Q.</w:t>
      </w:r>
    </w:p>
    <w:p>
      <w:pPr>
        <w:spacing w:after="0" w:line="164" w:lineRule="exact"/>
        <w:rPr>
          <w:sz w:val="20"/>
          <w:szCs w:val="20"/>
          <w:color w:val="auto"/>
        </w:rPr>
      </w:pPr>
    </w:p>
    <w:p>
      <w:pPr>
        <w:ind w:right="20" w:firstLine="365"/>
        <w:spacing w:after="0" w:line="294" w:lineRule="auto"/>
        <w:rPr>
          <w:sz w:val="20"/>
          <w:szCs w:val="20"/>
          <w:color w:val="auto"/>
        </w:rPr>
      </w:pPr>
      <w:r>
        <w:rPr>
          <w:rFonts w:ascii="Arial" w:cs="Arial" w:eastAsia="Arial" w:hAnsi="Arial"/>
          <w:sz w:val="12"/>
          <w:szCs w:val="12"/>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22" w:lineRule="exact"/>
        <w:rPr>
          <w:sz w:val="20"/>
          <w:szCs w:val="20"/>
          <w:color w:val="auto"/>
        </w:rPr>
      </w:pPr>
    </w:p>
    <w:p>
      <w:pPr>
        <w:ind w:right="100" w:firstLine="365"/>
        <w:spacing w:after="0" w:line="302" w:lineRule="auto"/>
        <w:rPr>
          <w:sz w:val="20"/>
          <w:szCs w:val="20"/>
          <w:color w:val="auto"/>
        </w:rPr>
      </w:pPr>
      <w:r>
        <w:rPr>
          <w:rFonts w:ascii="Arial" w:cs="Arial" w:eastAsia="Arial" w:hAnsi="Arial"/>
          <w:sz w:val="12"/>
          <w:szCs w:val="12"/>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15"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Summary of Risk Factors and Uncertainties Associated with Our Business</w:t>
      </w:r>
    </w:p>
    <w:p>
      <w:pPr>
        <w:spacing w:after="0" w:line="166" w:lineRule="exact"/>
        <w:rPr>
          <w:sz w:val="20"/>
          <w:szCs w:val="20"/>
          <w:color w:val="auto"/>
        </w:rPr>
      </w:pPr>
    </w:p>
    <w:p>
      <w:pPr>
        <w:ind w:right="100" w:firstLine="365"/>
        <w:spacing w:after="0" w:line="250" w:lineRule="auto"/>
        <w:rPr>
          <w:sz w:val="20"/>
          <w:szCs w:val="20"/>
          <w:color w:val="auto"/>
        </w:rPr>
      </w:pPr>
      <w:r>
        <w:rPr>
          <w:rFonts w:ascii="Arial" w:cs="Arial" w:eastAsia="Arial" w:hAnsi="Arial"/>
          <w:sz w:val="14"/>
          <w:szCs w:val="14"/>
          <w:color w:val="auto"/>
        </w:rPr>
        <w:t>Our business is subject to numerous risks and uncertainties outside of our control. One, or a combination, of these risks and uncertainties could materially affect any of those matters as to which we have made forward-looking statements and cause our actual results or an actual event or occurrence to differ materially from those results or an event or occurrence described in a forward-looking statement. Some of the principal risks associated with our business include the following:</w:t>
      </w:r>
    </w:p>
    <w:p>
      <w:pPr>
        <w:spacing w:after="0" w:line="84" w:lineRule="exact"/>
        <w:rPr>
          <w:sz w:val="20"/>
          <w:szCs w:val="20"/>
          <w:color w:val="auto"/>
        </w:rPr>
      </w:pPr>
    </w:p>
    <w:p>
      <w:pPr>
        <w:ind w:left="480" w:hanging="235"/>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4"/>
          <w:szCs w:val="14"/>
          <w:i w:val="1"/>
          <w:iCs w:val="1"/>
          <w:color w:val="auto"/>
        </w:rPr>
        <w:t>our ability to effectively manage our rapid growth;</w:t>
      </w:r>
    </w:p>
    <w:p>
      <w:pPr>
        <w:spacing w:after="0" w:line="8" w:lineRule="exact"/>
        <w:rPr>
          <w:rFonts w:ascii="Arial" w:cs="Arial" w:eastAsia="Arial" w:hAnsi="Arial"/>
          <w:sz w:val="16"/>
          <w:szCs w:val="16"/>
          <w:color w:val="auto"/>
        </w:rPr>
      </w:pPr>
    </w:p>
    <w:p>
      <w:pPr>
        <w:ind w:left="480" w:hanging="235"/>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4"/>
          <w:szCs w:val="14"/>
          <w:i w:val="1"/>
          <w:iCs w:val="1"/>
          <w:color w:val="auto"/>
        </w:rPr>
        <w:t>fluctuations in our quarterly results and our ability to meet securities analysts’ and investors’ expectations;</w:t>
      </w:r>
    </w:p>
    <w:p>
      <w:pPr>
        <w:spacing w:after="0" w:line="8" w:lineRule="exact"/>
        <w:rPr>
          <w:rFonts w:ascii="Arial" w:cs="Arial" w:eastAsia="Arial" w:hAnsi="Arial"/>
          <w:sz w:val="16"/>
          <w:szCs w:val="16"/>
          <w:color w:val="auto"/>
        </w:rPr>
      </w:pPr>
    </w:p>
    <w:p>
      <w:pPr>
        <w:ind w:left="480" w:hanging="235"/>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4"/>
          <w:szCs w:val="14"/>
          <w:i w:val="1"/>
          <w:iCs w:val="1"/>
          <w:color w:val="auto"/>
        </w:rPr>
        <w:t>the impact of an economic downturn or recession, the global COVID-19 pandemic or significant market volatility;</w:t>
      </w:r>
    </w:p>
    <w:p>
      <w:pPr>
        <w:spacing w:after="0" w:line="8" w:lineRule="exact"/>
        <w:rPr>
          <w:rFonts w:ascii="Arial" w:cs="Arial" w:eastAsia="Arial" w:hAnsi="Arial"/>
          <w:sz w:val="16"/>
          <w:szCs w:val="16"/>
          <w:color w:val="auto"/>
        </w:rPr>
      </w:pPr>
    </w:p>
    <w:p>
      <w:pPr>
        <w:ind w:left="480" w:hanging="235"/>
        <w:spacing w:after="0"/>
        <w:tabs>
          <w:tab w:leader="none" w:pos="480" w:val="left"/>
        </w:tabs>
        <w:numPr>
          <w:ilvl w:val="0"/>
          <w:numId w:val="5"/>
        </w:numPr>
        <w:rPr>
          <w:rFonts w:ascii="Arial" w:cs="Arial" w:eastAsia="Arial" w:hAnsi="Arial"/>
          <w:sz w:val="16"/>
          <w:szCs w:val="16"/>
          <w:i w:val="1"/>
          <w:iCs w:val="1"/>
          <w:color w:val="auto"/>
        </w:rPr>
      </w:pPr>
      <w:r>
        <w:rPr>
          <w:rFonts w:ascii="Arial" w:cs="Arial" w:eastAsia="Arial" w:hAnsi="Arial"/>
          <w:sz w:val="14"/>
          <w:szCs w:val="14"/>
          <w:i w:val="1"/>
          <w:iCs w:val="1"/>
          <w:color w:val="auto"/>
        </w:rPr>
        <w:t>the loss of our senior management and other key employees;</w:t>
      </w:r>
    </w:p>
    <w:p>
      <w:pPr>
        <w:spacing w:after="0" w:line="8" w:lineRule="exact"/>
        <w:rPr>
          <w:rFonts w:ascii="Arial" w:cs="Arial" w:eastAsia="Arial" w:hAnsi="Arial"/>
          <w:sz w:val="16"/>
          <w:szCs w:val="16"/>
          <w:i w:val="1"/>
          <w:iCs w:val="1"/>
          <w:color w:val="auto"/>
        </w:rPr>
      </w:pPr>
    </w:p>
    <w:p>
      <w:pPr>
        <w:ind w:left="480" w:hanging="235"/>
        <w:spacing w:after="0"/>
        <w:tabs>
          <w:tab w:leader="none" w:pos="480" w:val="left"/>
        </w:tabs>
        <w:numPr>
          <w:ilvl w:val="0"/>
          <w:numId w:val="5"/>
        </w:numPr>
        <w:rPr>
          <w:rFonts w:ascii="Arial" w:cs="Arial" w:eastAsia="Arial" w:hAnsi="Arial"/>
          <w:sz w:val="16"/>
          <w:szCs w:val="16"/>
          <w:i w:val="1"/>
          <w:iCs w:val="1"/>
          <w:color w:val="auto"/>
        </w:rPr>
      </w:pPr>
      <w:r>
        <w:rPr>
          <w:rFonts w:ascii="Arial" w:cs="Arial" w:eastAsia="Arial" w:hAnsi="Arial"/>
          <w:sz w:val="14"/>
          <w:szCs w:val="14"/>
          <w:i w:val="1"/>
          <w:iCs w:val="1"/>
          <w:color w:val="auto"/>
        </w:rPr>
        <w:t>our ability to hire, retain and motivate qualified employees;</w:t>
      </w:r>
    </w:p>
    <w:p>
      <w:pPr>
        <w:spacing w:after="0" w:line="8" w:lineRule="exact"/>
        <w:rPr>
          <w:rFonts w:ascii="Arial" w:cs="Arial" w:eastAsia="Arial" w:hAnsi="Arial"/>
          <w:sz w:val="16"/>
          <w:szCs w:val="16"/>
          <w:i w:val="1"/>
          <w:iCs w:val="1"/>
          <w:color w:val="auto"/>
        </w:rPr>
      </w:pPr>
    </w:p>
    <w:p>
      <w:pPr>
        <w:ind w:left="480" w:hanging="235"/>
        <w:spacing w:after="0"/>
        <w:tabs>
          <w:tab w:leader="none" w:pos="480" w:val="left"/>
        </w:tabs>
        <w:numPr>
          <w:ilvl w:val="0"/>
          <w:numId w:val="5"/>
        </w:numPr>
        <w:rPr>
          <w:rFonts w:ascii="Arial" w:cs="Arial" w:eastAsia="Arial" w:hAnsi="Arial"/>
          <w:sz w:val="16"/>
          <w:szCs w:val="16"/>
          <w:i w:val="1"/>
          <w:iCs w:val="1"/>
          <w:color w:val="auto"/>
        </w:rPr>
      </w:pPr>
      <w:r>
        <w:rPr>
          <w:rFonts w:ascii="Arial" w:cs="Arial" w:eastAsia="Arial" w:hAnsi="Arial"/>
          <w:sz w:val="14"/>
          <w:szCs w:val="14"/>
          <w:i w:val="1"/>
          <w:iCs w:val="1"/>
          <w:color w:val="auto"/>
        </w:rPr>
        <w:t>our ability to maintain and grow our relationships with existing customers and have them increase their usage of our platform;</w:t>
      </w:r>
    </w:p>
    <w:p>
      <w:pPr>
        <w:spacing w:after="0" w:line="8" w:lineRule="exact"/>
        <w:rPr>
          <w:rFonts w:ascii="Arial" w:cs="Arial" w:eastAsia="Arial" w:hAnsi="Arial"/>
          <w:sz w:val="16"/>
          <w:szCs w:val="16"/>
          <w:i w:val="1"/>
          <w:iCs w:val="1"/>
          <w:color w:val="auto"/>
        </w:rPr>
      </w:pPr>
    </w:p>
    <w:p>
      <w:pPr>
        <w:ind w:left="480" w:hanging="235"/>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4"/>
          <w:szCs w:val="14"/>
          <w:i w:val="1"/>
          <w:iCs w:val="1"/>
          <w:color w:val="auto"/>
        </w:rPr>
        <w:t>our ability to maintain and enhance our brand and increase market awareness of our company and products;</w:t>
      </w:r>
    </w:p>
    <w:p>
      <w:pPr>
        <w:spacing w:after="0" w:line="8" w:lineRule="exact"/>
        <w:rPr>
          <w:rFonts w:ascii="Arial" w:cs="Arial" w:eastAsia="Arial" w:hAnsi="Arial"/>
          <w:sz w:val="16"/>
          <w:szCs w:val="16"/>
          <w:color w:val="auto"/>
        </w:rPr>
      </w:pPr>
    </w:p>
    <w:p>
      <w:pPr>
        <w:ind w:left="480" w:hanging="235"/>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4"/>
          <w:szCs w:val="14"/>
          <w:i w:val="1"/>
          <w:iCs w:val="1"/>
          <w:color w:val="auto"/>
        </w:rPr>
        <w:t>new and unproven markets for our products and platform;</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870" w:right="339" w:bottom="1440" w:gutter="0" w:footer="0" w:header="0"/>
        </w:sectPr>
      </w:pPr>
    </w:p>
    <w:bookmarkStart w:id="4" w:name="page5"/>
    <w:bookmarkEnd w:id="4"/>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limitations on the use and adoption of our solutions due to privacy laws, data collection and transfer restrictions and related domestic or foreign regulations;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ability to attract new customers in a cost-effective manner;</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ability to develop enhancements to our products, increase gross margins and introduce new products that achieve market acceptance;</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ability to compete effectively in the markets in which we participate;</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history of losses and uncertainty about our future profitability;</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ability to increase adoption of our products by enterprises;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ability to expand our relationships with existing technology partner customers and add new technology partner customers;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significant risks associated with expansion of our international operations;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compliance with applicable laws and regulations;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telecommunications-related regulations and future legislative or regulatory actions;</w:t>
      </w:r>
    </w:p>
    <w:p>
      <w:pPr>
        <w:spacing w:after="0" w:line="20"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obtain or retain geographical, mobile, regional, local or toll-free numbers and to effectively process requests to port such numbers in a timely manner due to industry regulations;</w:t>
      </w:r>
    </w:p>
    <w:p>
      <w:pPr>
        <w:spacing w:after="0" w:line="31" w:lineRule="exact"/>
        <w:rPr>
          <w:rFonts w:ascii="Arial" w:cs="Arial" w:eastAsia="Arial" w:hAnsi="Arial"/>
          <w:sz w:val="14"/>
          <w:szCs w:val="14"/>
          <w:color w:val="auto"/>
        </w:rPr>
      </w:pPr>
    </w:p>
    <w:p>
      <w:pPr>
        <w:ind w:left="235" w:hanging="235"/>
        <w:spacing w:after="0"/>
        <w:tabs>
          <w:tab w:leader="none" w:pos="235"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adapt and respond effectively to rapidly changing technology, evolving industry standards, changing regulations, and changing customer needs, requirements or preferences;</w:t>
      </w:r>
    </w:p>
    <w:p>
      <w:pPr>
        <w:spacing w:after="0" w:line="20" w:lineRule="exact"/>
        <w:rPr>
          <w:rFonts w:ascii="Arial" w:cs="Arial" w:eastAsia="Arial" w:hAnsi="Arial"/>
          <w:sz w:val="14"/>
          <w:szCs w:val="14"/>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ability to provide monthly uptime service level commitments of a minimum of 99.95% under our agreements with customers;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any breaches of our networks or systems, or those of AWS or our service providers;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defects or errors in our products;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any loss or decline in revenue from our largest customers;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litigation by third parties for alleged infringement of their proprietary rights;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exposure to substantial liability for intellectual property infringement and other losses from indemnity provisions in various agreements;</w:t>
      </w:r>
    </w:p>
    <w:p>
      <w:pPr>
        <w:spacing w:after="0" w:line="20"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successfully utilize or to integrate acquired businesses and technologies successfully or to achieve the expected benefits of such acquisitions, partnerships and investments;</w:t>
      </w:r>
    </w:p>
    <w:p>
      <w:pPr>
        <w:spacing w:after="0" w:line="20" w:lineRule="exact"/>
        <w:rPr>
          <w:rFonts w:ascii="Arial" w:cs="Arial" w:eastAsia="Arial" w:hAnsi="Arial"/>
          <w:sz w:val="14"/>
          <w:szCs w:val="14"/>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use of open source software;</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reliance on SaaS technologies from third parties;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potentially adverse tax consequences on our global operations and structure;</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fraudulent usage of or activity relating to our products;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unfavorable conditions in our industry or the global economy;</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requirement of additional capital to support our business and its availability on acceptable terms, if at all;</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exposure to foreign currency exchange rate fluctuations;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ability to use our net operating losses and certain other tax attributes to offset future taxable income and taxes;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failure to maintain an effective system of disclosure controls and internal control over financial reporting;</w:t>
      </w:r>
    </w:p>
    <w:p>
      <w:pPr>
        <w:spacing w:after="0" w:line="20" w:lineRule="exact"/>
        <w:rPr>
          <w:rFonts w:ascii="Arial" w:cs="Arial" w:eastAsia="Arial" w:hAnsi="Arial"/>
          <w:sz w:val="16"/>
          <w:szCs w:val="16"/>
          <w:color w:val="auto"/>
        </w:rPr>
      </w:pPr>
    </w:p>
    <w:p>
      <w:pPr>
        <w:ind w:left="235" w:right="40" w:hanging="235"/>
        <w:spacing w:after="0" w:line="233" w:lineRule="auto"/>
        <w:tabs>
          <w:tab w:leader="none" w:pos="231"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the risks of pandemics, epidemics, earthquakes, fire, floods and other natural catastrophic events and of interruption by man-made problems such as power disruptions, computer viruses, data security breaches, war or terrorism;</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volatility of the trading price of our Class A common stock;</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potential decline in the market price of our Class A common stock due to substantial future sales of shares;</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requirement of a significant amount of cash to service our future debt; and</w:t>
      </w:r>
    </w:p>
    <w:p>
      <w:pPr>
        <w:spacing w:after="0" w:line="8" w:lineRule="exact"/>
        <w:rPr>
          <w:rFonts w:ascii="Arial" w:cs="Arial" w:eastAsia="Arial" w:hAnsi="Arial"/>
          <w:sz w:val="16"/>
          <w:szCs w:val="16"/>
          <w:color w:val="auto"/>
        </w:rPr>
      </w:pPr>
    </w:p>
    <w:p>
      <w:pPr>
        <w:ind w:left="235" w:hanging="235"/>
        <w:spacing w:after="0"/>
        <w:tabs>
          <w:tab w:leader="none" w:pos="235" w:val="left"/>
        </w:tabs>
        <w:numPr>
          <w:ilvl w:val="0"/>
          <w:numId w:val="6"/>
        </w:numPr>
        <w:rPr>
          <w:rFonts w:ascii="Arial" w:cs="Arial" w:eastAsia="Arial" w:hAnsi="Arial"/>
          <w:sz w:val="16"/>
          <w:szCs w:val="16"/>
          <w:color w:val="auto"/>
        </w:rPr>
      </w:pPr>
      <w:r>
        <w:rPr>
          <w:rFonts w:ascii="Arial" w:cs="Arial" w:eastAsia="Arial" w:hAnsi="Arial"/>
          <w:sz w:val="14"/>
          <w:szCs w:val="14"/>
          <w:i w:val="1"/>
          <w:iCs w:val="1"/>
          <w:color w:val="auto"/>
        </w:rPr>
        <w:t>our ability to raise the funds necessary for the repayment of the 2029 Notes and 2031 Notes for cash.</w:t>
      </w:r>
    </w:p>
    <w:p>
      <w:pPr>
        <w:spacing w:after="0" w:line="200" w:lineRule="exact"/>
        <w:rPr>
          <w:sz w:val="20"/>
          <w:szCs w:val="20"/>
          <w:color w:val="auto"/>
        </w:rPr>
      </w:pPr>
    </w:p>
    <w:p>
      <w:pPr>
        <w:spacing w:after="0" w:line="206" w:lineRule="exact"/>
        <w:rPr>
          <w:sz w:val="20"/>
          <w:szCs w:val="20"/>
          <w:color w:val="auto"/>
        </w:rPr>
      </w:pPr>
    </w:p>
    <w:p>
      <w:pPr>
        <w:jc w:val="center"/>
        <w:ind w:right="-154"/>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46355</wp:posOffset>
            </wp:positionV>
            <wp:extent cx="719201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0655"/>
          </w:cols>
          <w:pgMar w:left="545" w:top="726" w:right="6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4"/>
          <w:szCs w:val="14"/>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b w:val="1"/>
          <w:bCs w:val="1"/>
          <w:i w:val="1"/>
          <w:iCs w:val="1"/>
          <w:color w:val="auto"/>
        </w:rPr>
        <w:t>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6860" w:type="dxa"/>
            <w:vAlign w:val="bottom"/>
          </w:tcPr>
          <w:p>
            <w:pPr>
              <w:spacing w:after="0"/>
              <w:rPr>
                <w:sz w:val="12"/>
                <w:szCs w:val="12"/>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b w:val="1"/>
                <w:bCs w:val="1"/>
                <w:color w:val="auto"/>
              </w:rPr>
              <w:t>As of June 30,</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560"/>
              <w:spacing w:after="0"/>
              <w:rPr>
                <w:sz w:val="20"/>
                <w:szCs w:val="20"/>
                <w:color w:val="auto"/>
              </w:rPr>
            </w:pPr>
            <w:r>
              <w:rPr>
                <w:rFonts w:ascii="Arial" w:cs="Arial" w:eastAsia="Arial" w:hAnsi="Arial"/>
                <w:sz w:val="11"/>
                <w:szCs w:val="11"/>
                <w:b w:val="1"/>
                <w:bCs w:val="1"/>
                <w:color w:val="auto"/>
              </w:rPr>
              <w:t>As of December 31,</w:t>
            </w:r>
          </w:p>
        </w:tc>
      </w:tr>
      <w:tr>
        <w:trPr>
          <w:trHeight w:val="136"/>
        </w:trPr>
        <w:tc>
          <w:tcPr>
            <w:tcW w:w="6860" w:type="dxa"/>
            <w:vAlign w:val="bottom"/>
          </w:tcPr>
          <w:p>
            <w:pPr>
              <w:spacing w:after="0"/>
              <w:rPr>
                <w:sz w:val="11"/>
                <w:szCs w:val="11"/>
                <w:color w:val="auto"/>
              </w:rPr>
            </w:pPr>
          </w:p>
        </w:tc>
        <w:tc>
          <w:tcPr>
            <w:tcW w:w="146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2022</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900"/>
              <w:spacing w:after="0"/>
              <w:rPr>
                <w:sz w:val="20"/>
                <w:szCs w:val="20"/>
                <w:color w:val="auto"/>
              </w:rPr>
            </w:pPr>
            <w:r>
              <w:rPr>
                <w:rFonts w:ascii="Arial" w:cs="Arial" w:eastAsia="Arial" w:hAnsi="Arial"/>
                <w:sz w:val="11"/>
                <w:szCs w:val="11"/>
                <w:b w:val="1"/>
                <w:bCs w:val="1"/>
                <w:color w:val="auto"/>
              </w:rPr>
              <w:t>2021</w:t>
            </w:r>
          </w:p>
        </w:tc>
      </w:tr>
      <w:tr>
        <w:trPr>
          <w:trHeight w:val="130"/>
        </w:trPr>
        <w:tc>
          <w:tcPr>
            <w:tcW w:w="6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0" w:type="dxa"/>
            <w:vAlign w:val="bottom"/>
            <w:gridSpan w:val="3"/>
          </w:tcPr>
          <w:p>
            <w:pPr>
              <w:jc w:val="right"/>
              <w:ind w:right="119"/>
              <w:spacing w:after="0"/>
              <w:rPr>
                <w:sz w:val="20"/>
                <w:szCs w:val="20"/>
                <w:color w:val="auto"/>
              </w:rPr>
            </w:pPr>
            <w:r>
              <w:rPr>
                <w:rFonts w:ascii="Arial" w:cs="Arial" w:eastAsia="Arial" w:hAnsi="Arial"/>
                <w:sz w:val="11"/>
                <w:szCs w:val="11"/>
                <w:color w:val="auto"/>
              </w:rPr>
              <w:t>(In thousands)</w:t>
            </w:r>
          </w:p>
        </w:tc>
        <w:tc>
          <w:tcPr>
            <w:tcW w:w="1700" w:type="dxa"/>
            <w:vAlign w:val="bottom"/>
          </w:tcPr>
          <w:p>
            <w:pPr>
              <w:spacing w:after="0"/>
              <w:rPr>
                <w:sz w:val="11"/>
                <w:szCs w:val="11"/>
                <w:color w:val="auto"/>
              </w:rPr>
            </w:pPr>
          </w:p>
        </w:tc>
      </w:tr>
      <w:tr>
        <w:trPr>
          <w:trHeight w:val="165"/>
        </w:trPr>
        <w:tc>
          <w:tcPr>
            <w:tcW w:w="6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1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160"/>
        </w:trPr>
        <w:tc>
          <w:tcPr>
            <w:tcW w:w="686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5"/>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1460" w:type="dxa"/>
            <w:vAlign w:val="bottom"/>
            <w:shd w:val="clear" w:color="auto" w:fill="CCEEFF"/>
          </w:tcPr>
          <w:p>
            <w:pPr>
              <w:jc w:val="right"/>
              <w:ind w:right="1321"/>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798,625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1,479,452</w:t>
            </w:r>
          </w:p>
        </w:tc>
      </w:tr>
      <w:tr>
        <w:trPr>
          <w:trHeight w:val="160"/>
        </w:trPr>
        <w:tc>
          <w:tcPr>
            <w:tcW w:w="6860" w:type="dxa"/>
            <w:vAlign w:val="bottom"/>
          </w:tcPr>
          <w:p>
            <w:pPr>
              <w:ind w:left="160"/>
              <w:spacing w:after="0"/>
              <w:rPr>
                <w:sz w:val="20"/>
                <w:szCs w:val="20"/>
                <w:color w:val="auto"/>
              </w:rPr>
            </w:pPr>
            <w:r>
              <w:rPr>
                <w:rFonts w:ascii="Arial" w:cs="Arial" w:eastAsia="Arial" w:hAnsi="Arial"/>
                <w:sz w:val="12"/>
                <w:szCs w:val="12"/>
                <w:color w:val="auto"/>
              </w:rPr>
              <w:t>Short-term marketable securities</w:t>
            </w:r>
          </w:p>
        </w:tc>
        <w:tc>
          <w:tcPr>
            <w:tcW w:w="1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3,593,659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3,878,430</w:t>
            </w:r>
          </w:p>
        </w:tc>
      </w:tr>
      <w:tr>
        <w:trPr>
          <w:trHeight w:val="165"/>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receivable, net</w:t>
            </w:r>
          </w:p>
        </w:tc>
        <w:tc>
          <w:tcPr>
            <w:tcW w:w="1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471,915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388,215</w:t>
            </w:r>
          </w:p>
        </w:tc>
      </w:tr>
      <w:tr>
        <w:trPr>
          <w:trHeight w:val="160"/>
        </w:trPr>
        <w:tc>
          <w:tcPr>
            <w:tcW w:w="68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240,192</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186,131</w:t>
            </w:r>
          </w:p>
        </w:tc>
      </w:tr>
      <w:tr>
        <w:trPr>
          <w:trHeight w:val="155"/>
        </w:trPr>
        <w:tc>
          <w:tcPr>
            <w:tcW w:w="68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Total current assets</w:t>
            </w:r>
          </w:p>
        </w:tc>
        <w:tc>
          <w:tcPr>
            <w:tcW w:w="14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5,104,391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5,932,228</w:t>
            </w:r>
          </w:p>
        </w:tc>
      </w:tr>
      <w:tr>
        <w:trPr>
          <w:trHeight w:val="160"/>
        </w:trPr>
        <w:tc>
          <w:tcPr>
            <w:tcW w:w="6860" w:type="dxa"/>
            <w:vAlign w:val="bottom"/>
          </w:tcPr>
          <w:p>
            <w:pPr>
              <w:ind w:left="160"/>
              <w:spacing w:after="0"/>
              <w:rPr>
                <w:sz w:val="20"/>
                <w:szCs w:val="20"/>
                <w:color w:val="auto"/>
              </w:rPr>
            </w:pPr>
            <w:r>
              <w:rPr>
                <w:rFonts w:ascii="Arial" w:cs="Arial" w:eastAsia="Arial" w:hAnsi="Arial"/>
                <w:sz w:val="12"/>
                <w:szCs w:val="12"/>
                <w:color w:val="auto"/>
              </w:rPr>
              <w:t>Property and equipment, net</w:t>
            </w:r>
          </w:p>
        </w:tc>
        <w:tc>
          <w:tcPr>
            <w:tcW w:w="1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264,767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255,316</w:t>
            </w:r>
          </w:p>
        </w:tc>
      </w:tr>
      <w:tr>
        <w:trPr>
          <w:trHeight w:val="165"/>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right-of-use assets</w:t>
            </w:r>
          </w:p>
        </w:tc>
        <w:tc>
          <w:tcPr>
            <w:tcW w:w="1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213,464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234,584</w:t>
            </w:r>
          </w:p>
        </w:tc>
      </w:tr>
      <w:tr>
        <w:trPr>
          <w:trHeight w:val="160"/>
        </w:trPr>
        <w:tc>
          <w:tcPr>
            <w:tcW w:w="6860" w:type="dxa"/>
            <w:vAlign w:val="bottom"/>
          </w:tcPr>
          <w:p>
            <w:pPr>
              <w:ind w:left="160"/>
              <w:spacing w:after="0"/>
              <w:rPr>
                <w:sz w:val="20"/>
                <w:szCs w:val="20"/>
                <w:color w:val="auto"/>
              </w:rPr>
            </w:pPr>
            <w:r>
              <w:rPr>
                <w:rFonts w:ascii="Arial" w:cs="Arial" w:eastAsia="Arial" w:hAnsi="Arial"/>
                <w:sz w:val="12"/>
                <w:szCs w:val="12"/>
                <w:color w:val="auto"/>
              </w:rPr>
              <w:t>Equity method investment</w:t>
            </w:r>
          </w:p>
        </w:tc>
        <w:tc>
          <w:tcPr>
            <w:tcW w:w="1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750,000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5"/>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Intangible assets, net</w:t>
            </w:r>
          </w:p>
        </w:tc>
        <w:tc>
          <w:tcPr>
            <w:tcW w:w="1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953,522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1,050,012</w:t>
            </w:r>
          </w:p>
        </w:tc>
      </w:tr>
      <w:tr>
        <w:trPr>
          <w:trHeight w:val="160"/>
        </w:trPr>
        <w:tc>
          <w:tcPr>
            <w:tcW w:w="6860" w:type="dxa"/>
            <w:vAlign w:val="bottom"/>
          </w:tcPr>
          <w:p>
            <w:pPr>
              <w:ind w:left="160"/>
              <w:spacing w:after="0"/>
              <w:rPr>
                <w:sz w:val="20"/>
                <w:szCs w:val="20"/>
                <w:color w:val="auto"/>
              </w:rPr>
            </w:pPr>
            <w:r>
              <w:rPr>
                <w:rFonts w:ascii="Arial" w:cs="Arial" w:eastAsia="Arial" w:hAnsi="Arial"/>
                <w:sz w:val="12"/>
                <w:szCs w:val="12"/>
                <w:color w:val="auto"/>
              </w:rPr>
              <w:t>Goodwill</w:t>
            </w:r>
          </w:p>
        </w:tc>
        <w:tc>
          <w:tcPr>
            <w:tcW w:w="1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5,285,563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5,263,166</w:t>
            </w:r>
          </w:p>
        </w:tc>
      </w:tr>
      <w:tr>
        <w:trPr>
          <w:trHeight w:val="162"/>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long-term assets</w:t>
            </w:r>
          </w:p>
        </w:tc>
        <w:tc>
          <w:tcPr>
            <w:tcW w:w="14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297,522</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263,292</w:t>
            </w:r>
          </w:p>
        </w:tc>
      </w:tr>
      <w:tr>
        <w:trPr>
          <w:trHeight w:val="155"/>
        </w:trPr>
        <w:tc>
          <w:tcPr>
            <w:tcW w:w="6860" w:type="dxa"/>
            <w:vAlign w:val="bottom"/>
          </w:tcPr>
          <w:p>
            <w:pPr>
              <w:ind w:left="340"/>
              <w:spacing w:after="0"/>
              <w:rPr>
                <w:sz w:val="20"/>
                <w:szCs w:val="20"/>
                <w:color w:val="auto"/>
              </w:rPr>
            </w:pPr>
            <w:r>
              <w:rPr>
                <w:rFonts w:ascii="Arial" w:cs="Arial" w:eastAsia="Arial" w:hAnsi="Arial"/>
                <w:sz w:val="12"/>
                <w:szCs w:val="12"/>
                <w:color w:val="auto"/>
              </w:rPr>
              <w:t>Total assets</w:t>
            </w:r>
          </w:p>
        </w:tc>
        <w:tc>
          <w:tcPr>
            <w:tcW w:w="1460" w:type="dxa"/>
            <w:vAlign w:val="bottom"/>
            <w:tcBorders>
              <w:bottom w:val="single" w:sz="8" w:color="auto"/>
            </w:tcBorders>
          </w:tcPr>
          <w:p>
            <w:pPr>
              <w:jc w:val="right"/>
              <w:ind w:right="1321"/>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12,869,229</w:t>
            </w: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12,998,598</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23"/>
        </w:trPr>
        <w:tc>
          <w:tcPr>
            <w:tcW w:w="6860" w:type="dxa"/>
            <w:vAlign w:val="bottom"/>
            <w:shd w:val="clear" w:color="auto" w:fill="CCEEFF"/>
          </w:tcPr>
          <w:p>
            <w:pPr>
              <w:ind w:left="20"/>
              <w:spacing w:after="0" w:line="123" w:lineRule="exact"/>
              <w:rPr>
                <w:sz w:val="20"/>
                <w:szCs w:val="20"/>
                <w:color w:val="auto"/>
              </w:rPr>
            </w:pPr>
            <w:r>
              <w:rPr>
                <w:rFonts w:ascii="Arial" w:cs="Arial" w:eastAsia="Arial" w:hAnsi="Arial"/>
                <w:sz w:val="12"/>
                <w:szCs w:val="12"/>
                <w:color w:val="auto"/>
              </w:rPr>
              <w:t>LIABILITIES AND STOCKHOLDERS’ EQUITY</w:t>
            </w:r>
          </w:p>
        </w:tc>
        <w:tc>
          <w:tcPr>
            <w:tcW w:w="1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r>
      <w:tr>
        <w:trPr>
          <w:trHeight w:val="160"/>
        </w:trPr>
        <w:tc>
          <w:tcPr>
            <w:tcW w:w="686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5"/>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payable</w:t>
            </w:r>
          </w:p>
        </w:tc>
        <w:tc>
          <w:tcPr>
            <w:tcW w:w="1460" w:type="dxa"/>
            <w:vAlign w:val="bottom"/>
            <w:shd w:val="clear" w:color="auto" w:fill="CCEEFF"/>
          </w:tcPr>
          <w:p>
            <w:pPr>
              <w:jc w:val="right"/>
              <w:ind w:right="1321"/>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102,039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93,333</w:t>
            </w:r>
          </w:p>
        </w:tc>
      </w:tr>
      <w:tr>
        <w:trPr>
          <w:trHeight w:val="160"/>
        </w:trPr>
        <w:tc>
          <w:tcPr>
            <w:tcW w:w="6860" w:type="dxa"/>
            <w:vAlign w:val="bottom"/>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1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504,810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417,503</w:t>
            </w:r>
          </w:p>
        </w:tc>
      </w:tr>
      <w:tr>
        <w:trPr>
          <w:trHeight w:val="165"/>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Deferred revenue and customer deposits</w:t>
            </w:r>
          </w:p>
        </w:tc>
        <w:tc>
          <w:tcPr>
            <w:tcW w:w="1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137,728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140,389</w:t>
            </w:r>
          </w:p>
        </w:tc>
      </w:tr>
      <w:tr>
        <w:trPr>
          <w:trHeight w:val="160"/>
        </w:trPr>
        <w:tc>
          <w:tcPr>
            <w:tcW w:w="68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Operating lease liability, current</w:t>
            </w:r>
          </w:p>
        </w:tc>
        <w:tc>
          <w:tcPr>
            <w:tcW w:w="1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50,743</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52,325</w:t>
            </w:r>
          </w:p>
        </w:tc>
      </w:tr>
      <w:tr>
        <w:trPr>
          <w:trHeight w:val="155"/>
        </w:trPr>
        <w:tc>
          <w:tcPr>
            <w:tcW w:w="68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Total current liabilities</w:t>
            </w:r>
          </w:p>
        </w:tc>
        <w:tc>
          <w:tcPr>
            <w:tcW w:w="14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795,320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703,550</w:t>
            </w:r>
          </w:p>
        </w:tc>
      </w:tr>
      <w:tr>
        <w:trPr>
          <w:trHeight w:val="160"/>
        </w:trPr>
        <w:tc>
          <w:tcPr>
            <w:tcW w:w="6860" w:type="dxa"/>
            <w:vAlign w:val="bottom"/>
          </w:tcPr>
          <w:p>
            <w:pPr>
              <w:ind w:left="160"/>
              <w:spacing w:after="0"/>
              <w:rPr>
                <w:sz w:val="20"/>
                <w:szCs w:val="20"/>
                <w:color w:val="auto"/>
              </w:rPr>
            </w:pPr>
            <w:r>
              <w:rPr>
                <w:rFonts w:ascii="Arial" w:cs="Arial" w:eastAsia="Arial" w:hAnsi="Arial"/>
                <w:sz w:val="12"/>
                <w:szCs w:val="12"/>
                <w:color w:val="auto"/>
              </w:rPr>
              <w:t>Operating lease liability, noncurrent</w:t>
            </w:r>
          </w:p>
        </w:tc>
        <w:tc>
          <w:tcPr>
            <w:tcW w:w="1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189,068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211,253</w:t>
            </w:r>
          </w:p>
        </w:tc>
      </w:tr>
      <w:tr>
        <w:trPr>
          <w:trHeight w:val="165"/>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Finance lease liability, noncurrent</w:t>
            </w:r>
          </w:p>
        </w:tc>
        <w:tc>
          <w:tcPr>
            <w:tcW w:w="1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18,935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25,132</w:t>
            </w:r>
          </w:p>
        </w:tc>
      </w:tr>
      <w:tr>
        <w:trPr>
          <w:trHeight w:val="160"/>
        </w:trPr>
        <w:tc>
          <w:tcPr>
            <w:tcW w:w="6860" w:type="dxa"/>
            <w:vAlign w:val="bottom"/>
          </w:tcPr>
          <w:p>
            <w:pPr>
              <w:ind w:left="160"/>
              <w:spacing w:after="0"/>
              <w:rPr>
                <w:sz w:val="20"/>
                <w:szCs w:val="20"/>
                <w:color w:val="auto"/>
              </w:rPr>
            </w:pPr>
            <w:r>
              <w:rPr>
                <w:rFonts w:ascii="Arial" w:cs="Arial" w:eastAsia="Arial" w:hAnsi="Arial"/>
                <w:sz w:val="12"/>
                <w:szCs w:val="12"/>
                <w:color w:val="auto"/>
              </w:rPr>
              <w:t>Long-term debt, net</w:t>
            </w:r>
          </w:p>
        </w:tc>
        <w:tc>
          <w:tcPr>
            <w:tcW w:w="1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986,619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985,907</w:t>
            </w:r>
          </w:p>
        </w:tc>
      </w:tr>
      <w:tr>
        <w:trPr>
          <w:trHeight w:val="165"/>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long-term liabilities</w:t>
            </w:r>
          </w:p>
        </w:tc>
        <w:tc>
          <w:tcPr>
            <w:tcW w:w="14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37,292</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41,290</w:t>
            </w:r>
          </w:p>
        </w:tc>
      </w:tr>
      <w:tr>
        <w:trPr>
          <w:trHeight w:val="150"/>
        </w:trPr>
        <w:tc>
          <w:tcPr>
            <w:tcW w:w="686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Total liabilities</w:t>
            </w:r>
          </w:p>
        </w:tc>
        <w:tc>
          <w:tcPr>
            <w:tcW w:w="1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2,027,234</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1,967,132</w:t>
            </w:r>
          </w:p>
        </w:tc>
      </w:tr>
      <w:tr>
        <w:trPr>
          <w:trHeight w:val="145"/>
        </w:trPr>
        <w:tc>
          <w:tcPr>
            <w:tcW w:w="6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Commitments and contingencies (Note 11)</w:t>
            </w:r>
          </w:p>
        </w:tc>
        <w:tc>
          <w:tcPr>
            <w:tcW w:w="1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r>
      <w:tr>
        <w:trPr>
          <w:trHeight w:val="160"/>
        </w:trPr>
        <w:tc>
          <w:tcPr>
            <w:tcW w:w="6860" w:type="dxa"/>
            <w:vAlign w:val="bottom"/>
          </w:tcPr>
          <w:p>
            <w:pPr>
              <w:ind w:left="20"/>
              <w:spacing w:after="0"/>
              <w:rPr>
                <w:sz w:val="20"/>
                <w:szCs w:val="20"/>
                <w:color w:val="auto"/>
              </w:rPr>
            </w:pPr>
            <w:r>
              <w:rPr>
                <w:rFonts w:ascii="Arial" w:cs="Arial" w:eastAsia="Arial" w:hAnsi="Arial"/>
                <w:sz w:val="12"/>
                <w:szCs w:val="12"/>
                <w:color w:val="auto"/>
              </w:rPr>
              <w:t>Stockholders’ equity:</w:t>
            </w: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5"/>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Preferred stock</w:t>
            </w:r>
          </w:p>
        </w:tc>
        <w:tc>
          <w:tcPr>
            <w:tcW w:w="14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6860" w:type="dxa"/>
            <w:vAlign w:val="bottom"/>
          </w:tcPr>
          <w:p>
            <w:pPr>
              <w:ind w:left="160"/>
              <w:spacing w:after="0"/>
              <w:rPr>
                <w:sz w:val="20"/>
                <w:szCs w:val="20"/>
                <w:color w:val="auto"/>
              </w:rPr>
            </w:pPr>
            <w:r>
              <w:rPr>
                <w:rFonts w:ascii="Arial" w:cs="Arial" w:eastAsia="Arial" w:hAnsi="Arial"/>
                <w:sz w:val="12"/>
                <w:szCs w:val="12"/>
                <w:color w:val="auto"/>
              </w:rPr>
              <w:t>Class A and Class B common stock</w:t>
            </w:r>
          </w:p>
        </w:tc>
        <w:tc>
          <w:tcPr>
            <w:tcW w:w="1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180</w:t>
            </w:r>
          </w:p>
        </w:tc>
      </w:tr>
      <w:tr>
        <w:trPr>
          <w:trHeight w:val="165"/>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Additional paid-in capital</w:t>
            </w:r>
          </w:p>
        </w:tc>
        <w:tc>
          <w:tcPr>
            <w:tcW w:w="1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13,623,300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13,169,118</w:t>
            </w:r>
          </w:p>
        </w:tc>
      </w:tr>
      <w:tr>
        <w:trPr>
          <w:trHeight w:val="160"/>
        </w:trPr>
        <w:tc>
          <w:tcPr>
            <w:tcW w:w="6860" w:type="dxa"/>
            <w:vAlign w:val="bottom"/>
          </w:tcPr>
          <w:p>
            <w:pPr>
              <w:ind w:left="160"/>
              <w:spacing w:after="0"/>
              <w:rPr>
                <w:sz w:val="20"/>
                <w:szCs w:val="20"/>
                <w:color w:val="auto"/>
              </w:rPr>
            </w:pPr>
            <w:r>
              <w:rPr>
                <w:rFonts w:ascii="Arial" w:cs="Arial" w:eastAsia="Arial" w:hAnsi="Arial"/>
                <w:sz w:val="12"/>
                <w:szCs w:val="12"/>
                <w:color w:val="auto"/>
              </w:rPr>
              <w:t>Accumulated other comprehensive loss</w:t>
            </w:r>
          </w:p>
        </w:tc>
        <w:tc>
          <w:tcPr>
            <w:tcW w:w="1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(117,401)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(18,141)</w:t>
            </w:r>
          </w:p>
        </w:tc>
      </w:tr>
      <w:tr>
        <w:trPr>
          <w:trHeight w:val="165"/>
        </w:trPr>
        <w:tc>
          <w:tcPr>
            <w:tcW w:w="6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Accumulated deficit</w:t>
            </w:r>
          </w:p>
        </w:tc>
        <w:tc>
          <w:tcPr>
            <w:tcW w:w="14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(2,664,087)</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(2,119,691)</w:t>
            </w:r>
          </w:p>
        </w:tc>
      </w:tr>
      <w:tr>
        <w:trPr>
          <w:trHeight w:val="150"/>
        </w:trPr>
        <w:tc>
          <w:tcPr>
            <w:tcW w:w="686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Total stockholders’ equity</w:t>
            </w:r>
          </w:p>
        </w:tc>
        <w:tc>
          <w:tcPr>
            <w:tcW w:w="1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10,841,995</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11,031,466</w:t>
            </w:r>
          </w:p>
        </w:tc>
      </w:tr>
      <w:tr>
        <w:trPr>
          <w:trHeight w:val="18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Total liabilities and stockholders’ equity</w:t>
            </w:r>
          </w:p>
        </w:tc>
        <w:tc>
          <w:tcPr>
            <w:tcW w:w="1460" w:type="dxa"/>
            <w:vAlign w:val="bottom"/>
            <w:tcBorders>
              <w:bottom w:val="single" w:sz="8" w:color="auto"/>
            </w:tcBorders>
            <w:shd w:val="clear" w:color="auto" w:fill="CCEEFF"/>
          </w:tcPr>
          <w:p>
            <w:pPr>
              <w:jc w:val="right"/>
              <w:ind w:right="1321"/>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12,869,229</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12,998,598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3"/>
          </w:tcPr>
          <w:p>
            <w:pPr>
              <w:jc w:val="right"/>
              <w:ind w:right="59"/>
              <w:spacing w:after="0"/>
              <w:rPr>
                <w:sz w:val="20"/>
                <w:szCs w:val="20"/>
                <w:color w:val="auto"/>
              </w:rPr>
            </w:pPr>
            <w:r>
              <w:rPr>
                <w:rFonts w:ascii="Arial" w:cs="Arial" w:eastAsia="Arial" w:hAnsi="Arial"/>
                <w:sz w:val="11"/>
                <w:szCs w:val="11"/>
                <w:b w:val="1"/>
                <w:bCs w:val="1"/>
                <w:color w:val="auto"/>
              </w:rPr>
              <w:t>Three Months Ended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gridSpan w:val="3"/>
          </w:tcPr>
          <w:p>
            <w:pPr>
              <w:jc w:val="right"/>
              <w:ind w:right="119"/>
              <w:spacing w:after="0"/>
              <w:rPr>
                <w:sz w:val="20"/>
                <w:szCs w:val="20"/>
                <w:color w:val="auto"/>
              </w:rPr>
            </w:pPr>
            <w:r>
              <w:rPr>
                <w:rFonts w:ascii="Arial" w:cs="Arial" w:eastAsia="Arial" w:hAnsi="Arial"/>
                <w:sz w:val="11"/>
                <w:szCs w:val="11"/>
                <w:b w:val="1"/>
                <w:bCs w:val="1"/>
                <w:color w:val="auto"/>
              </w:rPr>
              <w:t>Six Months Ended</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1"/>
                <w:szCs w:val="11"/>
                <w:b w:val="1"/>
                <w:bCs w:val="1"/>
                <w:color w:val="auto"/>
              </w:rPr>
              <w:t>June 30,</w:t>
            </w:r>
          </w:p>
        </w:tc>
        <w:tc>
          <w:tcPr>
            <w:tcW w:w="1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1"/>
                <w:szCs w:val="11"/>
                <w:b w:val="1"/>
                <w:bCs w:val="1"/>
                <w:color w:val="auto"/>
              </w:rPr>
              <w:t>June 30,</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9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0"/>
              <w:spacing w:after="0"/>
              <w:rPr>
                <w:sz w:val="20"/>
                <w:szCs w:val="20"/>
                <w:color w:val="auto"/>
              </w:rPr>
            </w:pPr>
            <w:r>
              <w:rPr>
                <w:rFonts w:ascii="Arial" w:cs="Arial" w:eastAsia="Arial" w:hAnsi="Arial"/>
                <w:sz w:val="11"/>
                <w:szCs w:val="11"/>
                <w:b w:val="1"/>
                <w:bCs w:val="1"/>
                <w:color w:val="auto"/>
              </w:rPr>
              <w:t>2021</w:t>
            </w: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0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30"/>
        </w:trPr>
        <w:tc>
          <w:tcPr>
            <w:tcW w:w="3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5"/>
          </w:tcPr>
          <w:p>
            <w:pPr>
              <w:ind w:left="120"/>
              <w:spacing w:after="0"/>
              <w:rPr>
                <w:sz w:val="20"/>
                <w:szCs w:val="20"/>
                <w:color w:val="auto"/>
              </w:rPr>
            </w:pPr>
            <w:r>
              <w:rPr>
                <w:rFonts w:ascii="Arial" w:cs="Arial" w:eastAsia="Arial" w:hAnsi="Arial"/>
                <w:sz w:val="11"/>
                <w:szCs w:val="11"/>
                <w:color w:val="auto"/>
              </w:rPr>
              <w:t>(In thousands, except share and per share amounts)</w:t>
            </w: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44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943,354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668,931</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1,818,717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1,258,919</w:t>
            </w:r>
          </w:p>
        </w:tc>
        <w:tc>
          <w:tcPr>
            <w:tcW w:w="0" w:type="dxa"/>
            <w:vAlign w:val="bottom"/>
          </w:tcPr>
          <w:p>
            <w:pPr>
              <w:spacing w:after="0"/>
              <w:rPr>
                <w:sz w:val="1"/>
                <w:szCs w:val="1"/>
                <w:color w:val="auto"/>
              </w:rPr>
            </w:pPr>
          </w:p>
        </w:tc>
      </w:tr>
      <w:tr>
        <w:trPr>
          <w:trHeight w:val="16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revenue</w:t>
            </w: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498,065</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337,684</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948,357</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629,368</w:t>
            </w:r>
          </w:p>
        </w:tc>
        <w:tc>
          <w:tcPr>
            <w:tcW w:w="0" w:type="dxa"/>
            <w:vAlign w:val="bottom"/>
          </w:tcPr>
          <w:p>
            <w:pPr>
              <w:spacing w:after="0"/>
              <w:rPr>
                <w:sz w:val="1"/>
                <w:szCs w:val="1"/>
                <w:color w:val="auto"/>
              </w:rPr>
            </w:pPr>
          </w:p>
        </w:tc>
      </w:tr>
      <w:tr>
        <w:trPr>
          <w:trHeight w:val="155"/>
        </w:trPr>
        <w:tc>
          <w:tcPr>
            <w:tcW w:w="39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Gross profit</w:t>
            </w:r>
          </w:p>
        </w:tc>
        <w:tc>
          <w:tcPr>
            <w:tcW w:w="4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445,289</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331,247</w:t>
            </w: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870,360</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629,551</w:t>
            </w:r>
          </w:p>
        </w:tc>
        <w:tc>
          <w:tcPr>
            <w:tcW w:w="0" w:type="dxa"/>
            <w:vAlign w:val="bottom"/>
          </w:tcPr>
          <w:p>
            <w:pPr>
              <w:spacing w:after="0"/>
              <w:rPr>
                <w:sz w:val="1"/>
                <w:szCs w:val="1"/>
                <w:color w:val="auto"/>
              </w:rPr>
            </w:pPr>
          </w:p>
        </w:tc>
      </w:tr>
      <w:tr>
        <w:trPr>
          <w:trHeight w:val="140"/>
        </w:trPr>
        <w:tc>
          <w:tcPr>
            <w:tcW w:w="398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9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Research and development</w:t>
            </w: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279,641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181,280</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520,252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356,080</w:t>
            </w:r>
          </w:p>
        </w:tc>
        <w:tc>
          <w:tcPr>
            <w:tcW w:w="0" w:type="dxa"/>
            <w:vAlign w:val="bottom"/>
          </w:tcPr>
          <w:p>
            <w:pPr>
              <w:spacing w:after="0"/>
              <w:rPr>
                <w:sz w:val="1"/>
                <w:szCs w:val="1"/>
                <w:color w:val="auto"/>
              </w:rPr>
            </w:pPr>
          </w:p>
        </w:tc>
      </w:tr>
      <w:tr>
        <w:trPr>
          <w:trHeight w:val="160"/>
        </w:trPr>
        <w:tc>
          <w:tcPr>
            <w:tcW w:w="3980" w:type="dxa"/>
            <w:vAlign w:val="bottom"/>
          </w:tcPr>
          <w:p>
            <w:pPr>
              <w:ind w:left="260"/>
              <w:spacing w:after="0"/>
              <w:rPr>
                <w:sz w:val="20"/>
                <w:szCs w:val="20"/>
                <w:color w:val="auto"/>
              </w:rPr>
            </w:pPr>
            <w:r>
              <w:rPr>
                <w:rFonts w:ascii="Arial" w:cs="Arial" w:eastAsia="Arial" w:hAnsi="Arial"/>
                <w:sz w:val="12"/>
                <w:szCs w:val="12"/>
                <w:color w:val="auto"/>
              </w:rPr>
              <w:t>Sales and marketing</w:t>
            </w: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334,958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238,058</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622,864</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448,648</w:t>
            </w:r>
          </w:p>
        </w:tc>
        <w:tc>
          <w:tcPr>
            <w:tcW w:w="0" w:type="dxa"/>
            <w:vAlign w:val="bottom"/>
          </w:tcPr>
          <w:p>
            <w:pPr>
              <w:spacing w:after="0"/>
              <w:rPr>
                <w:sz w:val="1"/>
                <w:szCs w:val="1"/>
                <w:color w:val="auto"/>
              </w:rPr>
            </w:pPr>
          </w:p>
        </w:tc>
      </w:tr>
      <w:tr>
        <w:trPr>
          <w:trHeight w:val="165"/>
        </w:trPr>
        <w:tc>
          <w:tcPr>
            <w:tcW w:w="39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General and administrative</w:t>
            </w:r>
          </w:p>
        </w:tc>
        <w:tc>
          <w:tcPr>
            <w:tcW w:w="4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142,626</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114,183</w:t>
            </w: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256,988</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224,436</w:t>
            </w:r>
          </w:p>
        </w:tc>
        <w:tc>
          <w:tcPr>
            <w:tcW w:w="0" w:type="dxa"/>
            <w:vAlign w:val="bottom"/>
          </w:tcPr>
          <w:p>
            <w:pPr>
              <w:spacing w:after="0"/>
              <w:rPr>
                <w:sz w:val="1"/>
                <w:szCs w:val="1"/>
                <w:color w:val="auto"/>
              </w:rPr>
            </w:pPr>
          </w:p>
        </w:tc>
      </w:tr>
      <w:tr>
        <w:trPr>
          <w:trHeight w:val="150"/>
        </w:trPr>
        <w:tc>
          <w:tcPr>
            <w:tcW w:w="398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Total operating expenses</w:t>
            </w: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757,225</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533,521</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1,400,104</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1,029,164</w:t>
            </w:r>
          </w:p>
        </w:tc>
        <w:tc>
          <w:tcPr>
            <w:tcW w:w="0" w:type="dxa"/>
            <w:vAlign w:val="bottom"/>
          </w:tcPr>
          <w:p>
            <w:pPr>
              <w:spacing w:after="0"/>
              <w:rPr>
                <w:sz w:val="1"/>
                <w:szCs w:val="1"/>
                <w:color w:val="auto"/>
              </w:rPr>
            </w:pPr>
          </w:p>
        </w:tc>
      </w:tr>
      <w:tr>
        <w:trPr>
          <w:trHeight w:val="155"/>
        </w:trPr>
        <w:tc>
          <w:tcPr>
            <w:tcW w:w="39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Loss from operations</w:t>
            </w:r>
          </w:p>
        </w:tc>
        <w:tc>
          <w:tcPr>
            <w:tcW w:w="4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(311,936)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(202,274)</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(529,744)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(399,613)</w:t>
            </w:r>
          </w:p>
        </w:tc>
        <w:tc>
          <w:tcPr>
            <w:tcW w:w="0" w:type="dxa"/>
            <w:vAlign w:val="bottom"/>
          </w:tcPr>
          <w:p>
            <w:pPr>
              <w:spacing w:after="0"/>
              <w:rPr>
                <w:sz w:val="1"/>
                <w:szCs w:val="1"/>
                <w:color w:val="auto"/>
              </w:rPr>
            </w:pPr>
          </w:p>
        </w:tc>
      </w:tr>
      <w:tr>
        <w:trPr>
          <w:trHeight w:val="16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expenses, net</w:t>
            </w: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(8,239)</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(24,293)</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(14,916)</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(32,606)</w:t>
            </w:r>
          </w:p>
        </w:tc>
        <w:tc>
          <w:tcPr>
            <w:tcW w:w="0" w:type="dxa"/>
            <w:vAlign w:val="bottom"/>
          </w:tcPr>
          <w:p>
            <w:pPr>
              <w:spacing w:after="0"/>
              <w:rPr>
                <w:sz w:val="1"/>
                <w:szCs w:val="1"/>
                <w:color w:val="auto"/>
              </w:rPr>
            </w:pPr>
          </w:p>
        </w:tc>
      </w:tr>
      <w:tr>
        <w:trPr>
          <w:trHeight w:val="155"/>
        </w:trPr>
        <w:tc>
          <w:tcPr>
            <w:tcW w:w="39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Loss before (provision for) benefit from income taxes</w:t>
            </w:r>
          </w:p>
        </w:tc>
        <w:tc>
          <w:tcPr>
            <w:tcW w:w="4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(320,175)</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(226,567)</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(544,660)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(432,219)</w:t>
            </w:r>
          </w:p>
        </w:tc>
        <w:tc>
          <w:tcPr>
            <w:tcW w:w="0" w:type="dxa"/>
            <w:vAlign w:val="bottom"/>
          </w:tcPr>
          <w:p>
            <w:pPr>
              <w:spacing w:after="0"/>
              <w:rPr>
                <w:sz w:val="1"/>
                <w:szCs w:val="1"/>
                <w:color w:val="auto"/>
              </w:rPr>
            </w:pPr>
          </w:p>
        </w:tc>
      </w:tr>
      <w:tr>
        <w:trPr>
          <w:trHeight w:val="16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(Provision for) benefit from income taxes</w:t>
            </w: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(2,594)</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(1,286)</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264</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(2,176)</w:t>
            </w:r>
          </w:p>
        </w:tc>
        <w:tc>
          <w:tcPr>
            <w:tcW w:w="0" w:type="dxa"/>
            <w:vAlign w:val="bottom"/>
          </w:tcPr>
          <w:p>
            <w:pPr>
              <w:spacing w:after="0"/>
              <w:rPr>
                <w:sz w:val="1"/>
                <w:szCs w:val="1"/>
                <w:color w:val="auto"/>
              </w:rPr>
            </w:pPr>
          </w:p>
        </w:tc>
      </w:tr>
      <w:tr>
        <w:trPr>
          <w:trHeight w:val="178"/>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Net loss attributable to common stockholders</w:t>
            </w:r>
          </w:p>
        </w:tc>
        <w:tc>
          <w:tcPr>
            <w:tcW w:w="4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(322,769)</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(227,853)</w:t>
            </w:r>
          </w:p>
        </w:tc>
        <w:tc>
          <w:tcPr>
            <w:tcW w:w="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(544,396)</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(434,395)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2"/>
                <w:szCs w:val="12"/>
                <w:color w:val="auto"/>
                <w:w w:val="94"/>
              </w:rPr>
              <w:t>Net loss per share attributable to common stockholders, basic and diluted</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980" w:type="dxa"/>
            <w:vAlign w:val="bottom"/>
            <w:vMerge w:val="continue"/>
          </w:tcPr>
          <w:p>
            <w:pPr>
              <w:spacing w:after="0"/>
              <w:rPr>
                <w:sz w:val="10"/>
                <w:szCs w:val="10"/>
                <w:color w:val="auto"/>
              </w:rPr>
            </w:pPr>
          </w:p>
        </w:tc>
        <w:tc>
          <w:tcPr>
            <w:tcW w:w="440" w:type="dxa"/>
            <w:vAlign w:val="bottom"/>
            <w:tcBorders>
              <w:bottom w:val="single" w:sz="8" w:color="auto"/>
            </w:tcBorders>
          </w:tcPr>
          <w:p>
            <w:pPr>
              <w:jc w:val="right"/>
              <w:ind w:right="299"/>
              <w:spacing w:after="0" w:line="123" w:lineRule="exact"/>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color w:val="auto"/>
              </w:rPr>
              <w:t>(1.77)</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right"/>
              <w:ind w:right="439"/>
              <w:spacing w:after="0" w:line="123" w:lineRule="exact"/>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color w:val="auto"/>
              </w:rPr>
              <w:t>(1.31)</w:t>
            </w:r>
          </w:p>
        </w:tc>
        <w:tc>
          <w:tcPr>
            <w:tcW w:w="60" w:type="dxa"/>
            <w:vAlign w:val="bottom"/>
          </w:tcPr>
          <w:p>
            <w:pPr>
              <w:spacing w:after="0"/>
              <w:rPr>
                <w:sz w:val="10"/>
                <w:szCs w:val="10"/>
                <w:color w:val="auto"/>
              </w:rPr>
            </w:pPr>
          </w:p>
        </w:tc>
        <w:tc>
          <w:tcPr>
            <w:tcW w:w="420" w:type="dxa"/>
            <w:vAlign w:val="bottom"/>
            <w:tcBorders>
              <w:bottom w:val="single" w:sz="8" w:color="auto"/>
            </w:tcBorders>
          </w:tcPr>
          <w:p>
            <w:pPr>
              <w:jc w:val="right"/>
              <w:ind w:right="279"/>
              <w:spacing w:after="0" w:line="123" w:lineRule="exact"/>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color w:val="auto"/>
              </w:rPr>
              <w:t>(3.00)</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right"/>
              <w:ind w:right="439"/>
              <w:spacing w:after="0" w:line="123" w:lineRule="exact"/>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2"/>
                <w:szCs w:val="12"/>
                <w:color w:val="auto"/>
              </w:rPr>
              <w:t>(2.55)</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980" w:type="dxa"/>
            <w:vAlign w:val="bottom"/>
            <w:shd w:val="clear" w:color="auto" w:fill="CCEEFF"/>
          </w:tcPr>
          <w:p>
            <w:pPr>
              <w:ind w:left="500"/>
              <w:spacing w:after="0" w:line="88" w:lineRule="exact"/>
              <w:rPr>
                <w:sz w:val="20"/>
                <w:szCs w:val="20"/>
                <w:color w:val="auto"/>
              </w:rPr>
            </w:pPr>
            <w:r>
              <w:rPr>
                <w:rFonts w:ascii="Arial" w:cs="Arial" w:eastAsia="Arial" w:hAnsi="Arial"/>
                <w:sz w:val="10"/>
                <w:szCs w:val="10"/>
                <w:color w:val="auto"/>
              </w:rPr>
              <w:t>Weighted-average shares used in computing net loss per share</w:t>
            </w:r>
          </w:p>
        </w:tc>
        <w:tc>
          <w:tcPr>
            <w:tcW w:w="440" w:type="dxa"/>
            <w:vAlign w:val="bottom"/>
            <w:shd w:val="clear" w:color="auto" w:fill="CCEEFF"/>
          </w:tcPr>
          <w:p>
            <w:pPr>
              <w:spacing w:after="0"/>
              <w:rPr>
                <w:sz w:val="7"/>
                <w:szCs w:val="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182,347,864</w:t>
            </w: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173,407,187</w:t>
            </w: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181,624,316</w:t>
            </w: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170,275,609</w:t>
            </w:r>
          </w:p>
        </w:tc>
        <w:tc>
          <w:tcPr>
            <w:tcW w:w="0" w:type="dxa"/>
            <w:vAlign w:val="bottom"/>
          </w:tcPr>
          <w:p>
            <w:pPr>
              <w:spacing w:after="0"/>
              <w:rPr>
                <w:sz w:val="1"/>
                <w:szCs w:val="1"/>
                <w:color w:val="auto"/>
              </w:rPr>
            </w:pPr>
          </w:p>
        </w:tc>
      </w:tr>
      <w:tr>
        <w:trPr>
          <w:trHeight w:val="159"/>
        </w:trPr>
        <w:tc>
          <w:tcPr>
            <w:tcW w:w="3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attributable to common stockholders, basic and diluted</w:t>
            </w:r>
          </w:p>
        </w:tc>
        <w:tc>
          <w:tcPr>
            <w:tcW w:w="4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1"/>
                <w:szCs w:val="11"/>
                <w:b w:val="1"/>
                <w:bCs w:val="1"/>
                <w:color w:val="auto"/>
              </w:rPr>
              <w:t>Six Months Ended</w:t>
            </w:r>
          </w:p>
        </w:tc>
        <w:tc>
          <w:tcPr>
            <w:tcW w:w="780" w:type="dxa"/>
            <w:vAlign w:val="bottom"/>
          </w:tcPr>
          <w:p>
            <w:pPr>
              <w:spacing w:after="0"/>
              <w:rPr>
                <w:sz w:val="12"/>
                <w:szCs w:val="12"/>
                <w:color w:val="auto"/>
              </w:rPr>
            </w:pPr>
          </w:p>
        </w:tc>
      </w:tr>
      <w:tr>
        <w:trPr>
          <w:trHeight w:val="146"/>
        </w:trPr>
        <w:tc>
          <w:tcPr>
            <w:tcW w:w="6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1"/>
                <w:szCs w:val="11"/>
                <w:b w:val="1"/>
                <w:bCs w:val="1"/>
                <w:color w:val="auto"/>
              </w:rPr>
              <w:t>June 30,</w:t>
            </w:r>
          </w:p>
        </w:tc>
        <w:tc>
          <w:tcPr>
            <w:tcW w:w="780" w:type="dxa"/>
            <w:vAlign w:val="bottom"/>
            <w:tcBorders>
              <w:bottom w:val="single" w:sz="8" w:color="auto"/>
            </w:tcBorders>
          </w:tcPr>
          <w:p>
            <w:pPr>
              <w:spacing w:after="0"/>
              <w:rPr>
                <w:sz w:val="12"/>
                <w:szCs w:val="12"/>
                <w:color w:val="auto"/>
              </w:rPr>
            </w:pPr>
          </w:p>
        </w:tc>
      </w:tr>
      <w:tr>
        <w:trPr>
          <w:trHeight w:val="136"/>
        </w:trPr>
        <w:tc>
          <w:tcPr>
            <w:tcW w:w="60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40"/>
              <w:spacing w:after="0"/>
              <w:rPr>
                <w:sz w:val="20"/>
                <w:szCs w:val="20"/>
                <w:color w:val="auto"/>
              </w:rPr>
            </w:pPr>
            <w:r>
              <w:rPr>
                <w:rFonts w:ascii="Arial" w:cs="Arial" w:eastAsia="Arial" w:hAnsi="Arial"/>
                <w:sz w:val="11"/>
                <w:szCs w:val="11"/>
                <w:b w:val="1"/>
                <w:bCs w:val="1"/>
                <w:color w:val="auto"/>
              </w:rPr>
              <w:t>2021</w:t>
            </w:r>
          </w:p>
        </w:tc>
      </w:tr>
      <w:tr>
        <w:trPr>
          <w:trHeight w:val="130"/>
        </w:trPr>
        <w:tc>
          <w:tcPr>
            <w:tcW w:w="6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3"/>
          </w:tcPr>
          <w:p>
            <w:pPr>
              <w:jc w:val="right"/>
              <w:ind w:right="79"/>
              <w:spacing w:after="0"/>
              <w:rPr>
                <w:sz w:val="20"/>
                <w:szCs w:val="20"/>
                <w:color w:val="auto"/>
              </w:rPr>
            </w:pPr>
            <w:r>
              <w:rPr>
                <w:rFonts w:ascii="Arial" w:cs="Arial" w:eastAsia="Arial" w:hAnsi="Arial"/>
                <w:sz w:val="11"/>
                <w:szCs w:val="11"/>
                <w:color w:val="auto"/>
              </w:rPr>
              <w:t>(In thousands)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(322,769)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(227,853)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(544,396)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(434,395)</w:t>
            </w:r>
          </w:p>
        </w:tc>
      </w:tr>
      <w:tr>
        <w:trPr>
          <w:trHeight w:val="160"/>
        </w:trPr>
        <w:tc>
          <w:tcPr>
            <w:tcW w:w="608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5"/>
        </w:trPr>
        <w:tc>
          <w:tcPr>
            <w:tcW w:w="60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Unrealized loss on marketable securities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(19,022)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(81,848)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(5,155)</w:t>
            </w:r>
          </w:p>
        </w:tc>
      </w:tr>
      <w:tr>
        <w:trPr>
          <w:trHeight w:val="160"/>
        </w:trPr>
        <w:tc>
          <w:tcPr>
            <w:tcW w:w="6080" w:type="dxa"/>
            <w:vAlign w:val="bottom"/>
          </w:tcPr>
          <w:p>
            <w:pPr>
              <w:ind w:left="260"/>
              <w:spacing w:after="0"/>
              <w:rPr>
                <w:sz w:val="20"/>
                <w:szCs w:val="20"/>
                <w:color w:val="auto"/>
              </w:rPr>
            </w:pPr>
            <w:r>
              <w:rPr>
                <w:rFonts w:ascii="Arial" w:cs="Arial" w:eastAsia="Arial" w:hAnsi="Arial"/>
                <w:sz w:val="12"/>
                <w:szCs w:val="12"/>
                <w:color w:val="auto"/>
              </w:rPr>
              <w:t>Foreign currency translation</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(2,289)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(2,454)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(276)</w:t>
            </w:r>
          </w:p>
        </w:tc>
      </w:tr>
      <w:tr>
        <w:trPr>
          <w:trHeight w:val="165"/>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change in market value of effective foreign currency forward exchange contracts</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(11,106)</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(2,908)</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(14,958)</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(2,908)</w:t>
            </w:r>
          </w:p>
        </w:tc>
      </w:tr>
      <w:tr>
        <w:trPr>
          <w:trHeight w:val="150"/>
        </w:trPr>
        <w:tc>
          <w:tcPr>
            <w:tcW w:w="608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Total other comprehensive loss</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(32,417)</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(3,953)</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(99,260)</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(8,339)</w:t>
            </w:r>
          </w:p>
        </w:tc>
      </w:tr>
      <w:tr>
        <w:trPr>
          <w:trHeight w:val="180"/>
        </w:trPr>
        <w:tc>
          <w:tcPr>
            <w:tcW w:w="6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Comprehensive loss attributable to common stockholders</w:t>
            </w: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(355,186)</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(231,806)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(643,656)</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(442,734)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370"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TWILIO,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60" w:type="dxa"/>
            <w:vAlign w:val="bottom"/>
          </w:tcPr>
          <w:p>
            <w:pPr>
              <w:spacing w:after="0"/>
              <w:rPr>
                <w:sz w:val="10"/>
                <w:szCs w:val="10"/>
                <w:color w:val="auto"/>
              </w:rPr>
            </w:pPr>
          </w:p>
        </w:tc>
        <w:tc>
          <w:tcPr>
            <w:tcW w:w="166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9"/>
              </w:rPr>
              <w:t>Common Stock</w:t>
            </w:r>
          </w:p>
        </w:tc>
        <w:tc>
          <w:tcPr>
            <w:tcW w:w="1600" w:type="dxa"/>
            <w:vAlign w:val="bottom"/>
            <w:gridSpan w:val="5"/>
          </w:tcPr>
          <w:p>
            <w:pPr>
              <w:ind w:left="40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8"/>
              </w:rPr>
              <w:t>Accumulated Other</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3860" w:type="dxa"/>
            <w:vAlign w:val="bottom"/>
          </w:tcPr>
          <w:p>
            <w:pPr>
              <w:spacing w:after="0"/>
              <w:rPr>
                <w:sz w:val="5"/>
                <w:szCs w:val="5"/>
                <w:color w:val="auto"/>
              </w:rPr>
            </w:pPr>
          </w:p>
        </w:tc>
        <w:tc>
          <w:tcPr>
            <w:tcW w:w="1000" w:type="dxa"/>
            <w:vAlign w:val="bottom"/>
            <w:gridSpan w:val="2"/>
            <w:vMerge w:val="restart"/>
          </w:tcPr>
          <w:p>
            <w:pPr>
              <w:jc w:val="center"/>
              <w:ind w:left="546"/>
              <w:spacing w:after="0"/>
              <w:rPr>
                <w:sz w:val="20"/>
                <w:szCs w:val="20"/>
                <w:color w:val="auto"/>
              </w:rPr>
            </w:pPr>
            <w:r>
              <w:rPr>
                <w:rFonts w:ascii="Arial" w:cs="Arial" w:eastAsia="Arial" w:hAnsi="Arial"/>
                <w:sz w:val="11"/>
                <w:szCs w:val="11"/>
                <w:b w:val="1"/>
                <w:bCs w:val="1"/>
                <w:color w:val="auto"/>
                <w:w w:val="89"/>
              </w:rPr>
              <w:t>Class A</w:t>
            </w: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Class B</w:t>
            </w: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3860" w:type="dxa"/>
            <w:vAlign w:val="bottom"/>
          </w:tcPr>
          <w:p>
            <w:pPr>
              <w:spacing w:after="0"/>
              <w:rPr>
                <w:sz w:val="6"/>
                <w:szCs w:val="6"/>
                <w:color w:val="auto"/>
              </w:rPr>
            </w:pPr>
          </w:p>
        </w:tc>
        <w:tc>
          <w:tcPr>
            <w:tcW w:w="100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auto"/>
            </w:tcBorders>
            <w:gridSpan w:val="3"/>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3"/>
          </w:tcPr>
          <w:p>
            <w:pPr>
              <w:jc w:val="center"/>
              <w:ind w:right="80"/>
              <w:spacing w:after="0" w:line="81" w:lineRule="exact"/>
              <w:rPr>
                <w:sz w:val="20"/>
                <w:szCs w:val="20"/>
                <w:color w:val="auto"/>
              </w:rPr>
            </w:pPr>
            <w:r>
              <w:rPr>
                <w:rFonts w:ascii="Arial" w:cs="Arial" w:eastAsia="Arial" w:hAnsi="Arial"/>
                <w:sz w:val="9"/>
                <w:szCs w:val="9"/>
                <w:b w:val="1"/>
                <w:bCs w:val="1"/>
                <w:color w:val="auto"/>
              </w:rPr>
              <w:t>Additional Paid-</w:t>
            </w:r>
          </w:p>
        </w:tc>
        <w:tc>
          <w:tcPr>
            <w:tcW w:w="120" w:type="dxa"/>
            <w:vAlign w:val="bottom"/>
          </w:tcPr>
          <w:p>
            <w:pPr>
              <w:spacing w:after="0"/>
              <w:rPr>
                <w:sz w:val="6"/>
                <w:szCs w:val="6"/>
                <w:color w:val="auto"/>
              </w:rPr>
            </w:pPr>
          </w:p>
        </w:tc>
        <w:tc>
          <w:tcPr>
            <w:tcW w:w="98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6"/>
                <w:szCs w:val="6"/>
                <w:color w:val="auto"/>
              </w:rPr>
            </w:pPr>
          </w:p>
        </w:tc>
        <w:tc>
          <w:tcPr>
            <w:tcW w:w="82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Accumulated</w:t>
            </w:r>
          </w:p>
        </w:tc>
        <w:tc>
          <w:tcPr>
            <w:tcW w:w="1000" w:type="dxa"/>
            <w:vAlign w:val="bottom"/>
            <w:gridSpan w:val="2"/>
          </w:tcPr>
          <w:p>
            <w:pPr>
              <w:jc w:val="right"/>
              <w:ind w:right="6"/>
              <w:spacing w:after="0" w:line="81" w:lineRule="exact"/>
              <w:rPr>
                <w:sz w:val="20"/>
                <w:szCs w:val="20"/>
                <w:color w:val="auto"/>
              </w:rPr>
            </w:pPr>
            <w:r>
              <w:rPr>
                <w:rFonts w:ascii="Arial" w:cs="Arial" w:eastAsia="Arial" w:hAnsi="Arial"/>
                <w:sz w:val="9"/>
                <w:szCs w:val="9"/>
                <w:b w:val="1"/>
                <w:bCs w:val="1"/>
                <w:color w:val="auto"/>
              </w:rPr>
              <w:t>Total 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00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Amount</w:t>
            </w:r>
          </w:p>
        </w:tc>
        <w:tc>
          <w:tcPr>
            <w:tcW w:w="86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2"/>
              </w:rPr>
              <w:t>In Capital</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8"/>
              </w:rPr>
              <w:t>(Loss) Income</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7"/>
        </w:trPr>
        <w:tc>
          <w:tcPr>
            <w:tcW w:w="386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9"/>
                <w:szCs w:val="9"/>
                <w:color w:val="auto"/>
              </w:rPr>
              <w:t>(In thousands, except share amounts)</w:t>
            </w: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as of December 31, 2021</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170,625,994</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168</w:t>
            </w: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9,842,105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13,169,118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(18,141)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(2,119,691)</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11,031,466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vMerge w:val="restart"/>
          </w:tcPr>
          <w:p>
            <w:pPr>
              <w:spacing w:after="0"/>
              <w:rPr>
                <w:sz w:val="20"/>
                <w:szCs w:val="20"/>
                <w:color w:val="auto"/>
              </w:rPr>
            </w:pPr>
            <w:r>
              <w:rPr>
                <w:rFonts w:ascii="Arial" w:cs="Arial" w:eastAsia="Arial" w:hAnsi="Arial"/>
                <w:sz w:val="11"/>
                <w:szCs w:val="11"/>
                <w:color w:val="auto"/>
              </w:rPr>
              <w:t>Net loss</w:t>
            </w:r>
          </w:p>
        </w:tc>
        <w:tc>
          <w:tcPr>
            <w:tcW w:w="10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860" w:type="dxa"/>
            <w:vAlign w:val="bottom"/>
            <w:tcBorders>
              <w:top w:val="single" w:sz="8" w:color="CCEEFF"/>
            </w:tcBorders>
            <w:vMerge w:val="continue"/>
          </w:tcPr>
          <w:p>
            <w:pPr>
              <w:spacing w:after="0"/>
              <w:rPr>
                <w:sz w:val="8"/>
                <w:szCs w:val="8"/>
                <w:color w:val="auto"/>
              </w:rPr>
            </w:pPr>
          </w:p>
        </w:tc>
        <w:tc>
          <w:tcPr>
            <w:tcW w:w="940" w:type="dxa"/>
            <w:vAlign w:val="bottom"/>
            <w:tcBorders>
              <w:top w:val="single" w:sz="8" w:color="auto"/>
            </w:tcBorders>
          </w:tcPr>
          <w:p>
            <w:pPr>
              <w:jc w:val="right"/>
              <w:ind w:right="6"/>
              <w:spacing w:after="0" w:line="10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6"/>
              <w:spacing w:after="0" w:line="10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7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(221,627)</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(221,627)</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Exercises of vested stock options</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180,643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193,889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11,727</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20"/>
                <w:szCs w:val="20"/>
                <w:color w:val="auto"/>
              </w:rPr>
            </w:pPr>
            <w:r>
              <w:rPr>
                <w:rFonts w:ascii="Arial" w:cs="Arial" w:eastAsia="Arial" w:hAnsi="Arial"/>
                <w:sz w:val="11"/>
                <w:szCs w:val="11"/>
                <w:color w:val="auto"/>
              </w:rPr>
              <w:t>Vesting of restricted stock units</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877,089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(1,065)</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20"/>
                <w:szCs w:val="20"/>
                <w:color w:val="auto"/>
              </w:rPr>
            </w:pPr>
            <w:r>
              <w:rPr>
                <w:rFonts w:ascii="Arial" w:cs="Arial" w:eastAsia="Arial" w:hAnsi="Arial"/>
                <w:sz w:val="11"/>
                <w:szCs w:val="11"/>
                <w:color w:val="auto"/>
                <w:w w:val="92"/>
              </w:rPr>
              <w:t>Conversion of shares of Class B common stock into shares of Class A common stock</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215,389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(215,389)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Shares of Class A common stock donated to charity</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22,102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4,232</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20"/>
                <w:szCs w:val="20"/>
                <w:color w:val="auto"/>
              </w:rPr>
            </w:pPr>
            <w:r>
              <w:rPr>
                <w:rFonts w:ascii="Arial" w:cs="Arial" w:eastAsia="Arial" w:hAnsi="Arial"/>
                <w:sz w:val="11"/>
                <w:szCs w:val="11"/>
                <w:color w:val="auto"/>
              </w:rPr>
              <w:t>Shares returned from escrow</w:t>
            </w:r>
          </w:p>
        </w:tc>
        <w:tc>
          <w:tcPr>
            <w:tcW w:w="940" w:type="dxa"/>
            <w:vAlign w:val="bottom"/>
          </w:tcPr>
          <w:p>
            <w:pPr>
              <w:jc w:val="right"/>
              <w:spacing w:after="0"/>
              <w:rPr>
                <w:sz w:val="20"/>
                <w:szCs w:val="20"/>
                <w:color w:val="auto"/>
              </w:rPr>
            </w:pPr>
            <w:r>
              <w:rPr>
                <w:rFonts w:ascii="Arial" w:cs="Arial" w:eastAsia="Arial" w:hAnsi="Arial"/>
                <w:sz w:val="11"/>
                <w:szCs w:val="11"/>
                <w:color w:val="auto"/>
              </w:rPr>
              <w:t>(152,239)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(387)</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Unrealized loss on marketable securities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(62,826)</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20"/>
                <w:szCs w:val="20"/>
                <w:color w:val="auto"/>
              </w:rPr>
            </w:pPr>
            <w:r>
              <w:rPr>
                <w:rFonts w:ascii="Arial" w:cs="Arial" w:eastAsia="Arial" w:hAnsi="Arial"/>
                <w:sz w:val="11"/>
                <w:szCs w:val="11"/>
                <w:color w:val="auto"/>
              </w:rPr>
              <w:t>Foreign currency translation</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(165)</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w w:val="93"/>
              </w:rPr>
              <w:t>Net change in market value of effective foreign currency forward exchange contracts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(3,852)</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159,930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159,930</w:t>
            </w:r>
          </w:p>
        </w:tc>
        <w:tc>
          <w:tcPr>
            <w:tcW w:w="0" w:type="dxa"/>
            <w:vAlign w:val="bottom"/>
          </w:tcPr>
          <w:p>
            <w:pPr>
              <w:spacing w:after="0"/>
              <w:rPr>
                <w:sz w:val="1"/>
                <w:szCs w:val="1"/>
                <w:color w:val="auto"/>
              </w:rPr>
            </w:pPr>
          </w:p>
        </w:tc>
      </w:tr>
      <w:tr>
        <w:trPr>
          <w:trHeight w:val="16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as of March 31, 2022</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171,763,174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169</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9,820,605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13,343,554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(84,984)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(2,341,318)</w:t>
            </w: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10,917,433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vMerge w:val="restart"/>
          </w:tcPr>
          <w:p>
            <w:pPr>
              <w:spacing w:after="0"/>
              <w:rPr>
                <w:sz w:val="20"/>
                <w:szCs w:val="20"/>
                <w:color w:val="auto"/>
              </w:rPr>
            </w:pPr>
            <w:r>
              <w:rPr>
                <w:rFonts w:ascii="Arial" w:cs="Arial" w:eastAsia="Arial" w:hAnsi="Arial"/>
                <w:sz w:val="11"/>
                <w:szCs w:val="11"/>
                <w:color w:val="auto"/>
              </w:rPr>
              <w:t>Net loss</w:t>
            </w:r>
          </w:p>
        </w:tc>
        <w:tc>
          <w:tcPr>
            <w:tcW w:w="10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860" w:type="dxa"/>
            <w:vAlign w:val="bottom"/>
            <w:tcBorders>
              <w:top w:val="single" w:sz="8" w:color="CCEEFF"/>
            </w:tcBorders>
            <w:vMerge w:val="continue"/>
          </w:tcPr>
          <w:p>
            <w:pPr>
              <w:spacing w:after="0"/>
              <w:rPr>
                <w:sz w:val="8"/>
                <w:szCs w:val="8"/>
                <w:color w:val="auto"/>
              </w:rPr>
            </w:pPr>
          </w:p>
        </w:tc>
        <w:tc>
          <w:tcPr>
            <w:tcW w:w="940" w:type="dxa"/>
            <w:vAlign w:val="bottom"/>
            <w:tcBorders>
              <w:top w:val="single" w:sz="8" w:color="auto"/>
            </w:tcBorders>
          </w:tcPr>
          <w:p>
            <w:pPr>
              <w:jc w:val="right"/>
              <w:ind w:right="6"/>
              <w:spacing w:after="0" w:line="10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6"/>
              <w:spacing w:after="0" w:line="10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7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(322,769)</w:t>
            </w:r>
          </w:p>
        </w:tc>
        <w:tc>
          <w:tcPr>
            <w:tcW w:w="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(322,769)</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Exercises of vested stock options</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98,111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77,732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5,649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5,649</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20"/>
                <w:szCs w:val="20"/>
                <w:color w:val="auto"/>
              </w:rPr>
            </w:pPr>
            <w:r>
              <w:rPr>
                <w:rFonts w:ascii="Arial" w:cs="Arial" w:eastAsia="Arial" w:hAnsi="Arial"/>
                <w:sz w:val="11"/>
                <w:szCs w:val="11"/>
                <w:color w:val="auto"/>
              </w:rPr>
              <w:t>Vesting of restricted stock units</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1,049,640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20"/>
                <w:szCs w:val="20"/>
                <w:color w:val="auto"/>
              </w:rPr>
            </w:pPr>
            <w:r>
              <w:rPr>
                <w:rFonts w:ascii="Arial" w:cs="Arial" w:eastAsia="Arial" w:hAnsi="Arial"/>
                <w:sz w:val="11"/>
                <w:szCs w:val="11"/>
                <w:color w:val="auto"/>
                <w:w w:val="92"/>
              </w:rPr>
              <w:t>Conversion of shares of Class B common stock into shares of Class A common stock</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80,732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(80,732)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Shares issued under ESPP</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258,221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24,318</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20"/>
                <w:szCs w:val="20"/>
                <w:color w:val="auto"/>
              </w:rPr>
            </w:pPr>
            <w:r>
              <w:rPr>
                <w:rFonts w:ascii="Arial" w:cs="Arial" w:eastAsia="Arial" w:hAnsi="Arial"/>
                <w:sz w:val="11"/>
                <w:szCs w:val="11"/>
                <w:color w:val="auto"/>
              </w:rPr>
              <w:t>Shares of Class A common stock donated to charity</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22,102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2,373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2,373</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Unrealized loss on marketable securities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(19,022)</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20"/>
                <w:szCs w:val="20"/>
                <w:color w:val="auto"/>
              </w:rPr>
            </w:pPr>
            <w:r>
              <w:rPr>
                <w:rFonts w:ascii="Arial" w:cs="Arial" w:eastAsia="Arial" w:hAnsi="Arial"/>
                <w:sz w:val="11"/>
                <w:szCs w:val="11"/>
                <w:color w:val="auto"/>
              </w:rPr>
              <w:t>Foreign currency translation</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(2,289)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(2,289)</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w w:val="93"/>
              </w:rPr>
              <w:t>Net change in market value of effective foreign currency forward exchange contracts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(11,106)</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247,412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247,412</w:t>
            </w:r>
          </w:p>
        </w:tc>
        <w:tc>
          <w:tcPr>
            <w:tcW w:w="0" w:type="dxa"/>
            <w:vAlign w:val="bottom"/>
          </w:tcPr>
          <w:p>
            <w:pPr>
              <w:spacing w:after="0"/>
              <w:rPr>
                <w:sz w:val="1"/>
                <w:szCs w:val="1"/>
                <w:color w:val="auto"/>
              </w:rPr>
            </w:pPr>
          </w:p>
        </w:tc>
      </w:tr>
      <w:tr>
        <w:trPr>
          <w:trHeight w:val="16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as of June 30, 2022</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173,271,942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9,817,605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13,623,300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(117,401)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(2,664,087)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10,841,995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46355</wp:posOffset>
            </wp:positionV>
            <wp:extent cx="719201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060"/>
          </w:cols>
          <w:pgMar w:left="420" w:top="129" w:right="4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TWILIO,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9"/>
              </w:rPr>
              <w:t>Common Stock</w:t>
            </w:r>
          </w:p>
        </w:tc>
        <w:tc>
          <w:tcPr>
            <w:tcW w:w="1600" w:type="dxa"/>
            <w:vAlign w:val="bottom"/>
            <w:gridSpan w:val="5"/>
          </w:tcPr>
          <w:p>
            <w:pPr>
              <w:ind w:left="40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8"/>
              </w:rPr>
              <w:t>Accumulated Other</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gridSpan w:val="2"/>
            <w:vMerge w:val="restart"/>
          </w:tcPr>
          <w:p>
            <w:pPr>
              <w:jc w:val="center"/>
              <w:ind w:left="546"/>
              <w:spacing w:after="0"/>
              <w:rPr>
                <w:sz w:val="20"/>
                <w:szCs w:val="20"/>
                <w:color w:val="auto"/>
              </w:rPr>
            </w:pPr>
            <w:r>
              <w:rPr>
                <w:rFonts w:ascii="Arial" w:cs="Arial" w:eastAsia="Arial" w:hAnsi="Arial"/>
                <w:sz w:val="11"/>
                <w:szCs w:val="11"/>
                <w:b w:val="1"/>
                <w:bCs w:val="1"/>
                <w:color w:val="auto"/>
                <w:w w:val="89"/>
              </w:rPr>
              <w:t>Class A</w:t>
            </w: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Class B</w:t>
            </w: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3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auto"/>
            </w:tcBorders>
            <w:gridSpan w:val="3"/>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3"/>
          </w:tcPr>
          <w:p>
            <w:pPr>
              <w:jc w:val="center"/>
              <w:ind w:right="80"/>
              <w:spacing w:after="0" w:line="81" w:lineRule="exact"/>
              <w:rPr>
                <w:sz w:val="20"/>
                <w:szCs w:val="20"/>
                <w:color w:val="auto"/>
              </w:rPr>
            </w:pPr>
            <w:r>
              <w:rPr>
                <w:rFonts w:ascii="Arial" w:cs="Arial" w:eastAsia="Arial" w:hAnsi="Arial"/>
                <w:sz w:val="9"/>
                <w:szCs w:val="9"/>
                <w:b w:val="1"/>
                <w:bCs w:val="1"/>
                <w:color w:val="auto"/>
              </w:rPr>
              <w:t>Additional Paid-</w:t>
            </w:r>
          </w:p>
        </w:tc>
        <w:tc>
          <w:tcPr>
            <w:tcW w:w="120" w:type="dxa"/>
            <w:vAlign w:val="bottom"/>
          </w:tcPr>
          <w:p>
            <w:pPr>
              <w:spacing w:after="0"/>
              <w:rPr>
                <w:sz w:val="6"/>
                <w:szCs w:val="6"/>
                <w:color w:val="auto"/>
              </w:rPr>
            </w:pPr>
          </w:p>
        </w:tc>
        <w:tc>
          <w:tcPr>
            <w:tcW w:w="98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6"/>
                <w:szCs w:val="6"/>
                <w:color w:val="auto"/>
              </w:rPr>
            </w:pPr>
          </w:p>
        </w:tc>
        <w:tc>
          <w:tcPr>
            <w:tcW w:w="82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Accumulated</w:t>
            </w:r>
          </w:p>
        </w:tc>
        <w:tc>
          <w:tcPr>
            <w:tcW w:w="1000" w:type="dxa"/>
            <w:vAlign w:val="bottom"/>
            <w:gridSpan w:val="2"/>
          </w:tcPr>
          <w:p>
            <w:pPr>
              <w:jc w:val="right"/>
              <w:ind w:right="6"/>
              <w:spacing w:after="0" w:line="81" w:lineRule="exact"/>
              <w:rPr>
                <w:sz w:val="20"/>
                <w:szCs w:val="20"/>
                <w:color w:val="auto"/>
              </w:rPr>
            </w:pPr>
            <w:r>
              <w:rPr>
                <w:rFonts w:ascii="Arial" w:cs="Arial" w:eastAsia="Arial" w:hAnsi="Arial"/>
                <w:sz w:val="9"/>
                <w:szCs w:val="9"/>
                <w:b w:val="1"/>
                <w:bCs w:val="1"/>
                <w:color w:val="auto"/>
              </w:rPr>
              <w:t>Total Stockholders'</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Amount</w:t>
            </w:r>
          </w:p>
        </w:tc>
        <w:tc>
          <w:tcPr>
            <w:tcW w:w="86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2"/>
              </w:rPr>
              <w:t>In Capital</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8"/>
              </w:rPr>
              <w:t>(Loss) Income</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7"/>
        </w:trPr>
        <w:tc>
          <w:tcPr>
            <w:tcW w:w="38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6"/>
          </w:tcPr>
          <w:p>
            <w:pPr>
              <w:ind w:left="260"/>
              <w:spacing w:after="0"/>
              <w:rPr>
                <w:sz w:val="20"/>
                <w:szCs w:val="20"/>
                <w:color w:val="auto"/>
              </w:rPr>
            </w:pPr>
            <w:r>
              <w:rPr>
                <w:rFonts w:ascii="Arial" w:cs="Arial" w:eastAsia="Arial" w:hAnsi="Arial"/>
                <w:sz w:val="9"/>
                <w:szCs w:val="9"/>
                <w:color w:val="auto"/>
                <w:w w:val="92"/>
              </w:rPr>
              <w:t>(In thousands, except share amounts)</w:t>
            </w: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as of December 31, 2020</w:t>
            </w:r>
          </w:p>
        </w:tc>
        <w:tc>
          <w:tcPr>
            <w:tcW w:w="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153,496,222</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151</w:t>
            </w: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10,551,302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w w:val="97"/>
              </w:rPr>
              <w:t>13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9,613,246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9,046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(1,169,791)</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8,452,665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vMerge w:val="restart"/>
          </w:tcPr>
          <w:p>
            <w:pPr>
              <w:spacing w:after="0"/>
              <w:rPr>
                <w:sz w:val="20"/>
                <w:szCs w:val="20"/>
                <w:color w:val="auto"/>
              </w:rPr>
            </w:pPr>
            <w:r>
              <w:rPr>
                <w:rFonts w:ascii="Arial" w:cs="Arial" w:eastAsia="Arial" w:hAnsi="Arial"/>
                <w:sz w:val="11"/>
                <w:szCs w:val="11"/>
                <w:color w:val="auto"/>
              </w:rPr>
              <w:t>Net loss</w:t>
            </w: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800" w:type="dxa"/>
            <w:vAlign w:val="bottom"/>
            <w:tcBorders>
              <w:top w:val="single" w:sz="8" w:color="CCEEFF"/>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Borders>
              <w:top w:val="single" w:sz="8" w:color="auto"/>
            </w:tcBorders>
          </w:tcPr>
          <w:p>
            <w:pPr>
              <w:jc w:val="right"/>
              <w:ind w:right="6"/>
              <w:spacing w:after="0" w:line="10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6"/>
              <w:spacing w:after="0" w:line="10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7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ind w:left="400"/>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(206,542)</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(206,542)</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Exercises of vested stock options</w:t>
            </w:r>
          </w:p>
        </w:tc>
        <w:tc>
          <w:tcPr>
            <w:tcW w:w="100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248,008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211,371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11,564</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rPr>
              <w:t>Vesting of restricted stock units</w:t>
            </w:r>
          </w:p>
        </w:tc>
        <w:tc>
          <w:tcPr>
            <w:tcW w:w="1000" w:type="dxa"/>
            <w:vAlign w:val="bottom"/>
            <w:gridSpan w:val="2"/>
          </w:tcPr>
          <w:p>
            <w:pPr>
              <w:jc w:val="right"/>
              <w:ind w:right="6"/>
              <w:spacing w:after="0"/>
              <w:rPr>
                <w:sz w:val="20"/>
                <w:szCs w:val="20"/>
                <w:color w:val="auto"/>
              </w:rPr>
            </w:pPr>
            <w:r>
              <w:rPr>
                <w:rFonts w:ascii="Arial" w:cs="Arial" w:eastAsia="Arial" w:hAnsi="Arial"/>
                <w:sz w:val="11"/>
                <w:szCs w:val="11"/>
                <w:color w:val="auto"/>
              </w:rPr>
              <w:t>913,966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Value of equity awards withheld for tax liability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(2,774)</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w w:val="91"/>
              </w:rPr>
              <w:t>Conversion of shares of Class B common stock into shares of Class A common stock</w:t>
            </w:r>
          </w:p>
        </w:tc>
        <w:tc>
          <w:tcPr>
            <w:tcW w:w="1000" w:type="dxa"/>
            <w:vAlign w:val="bottom"/>
            <w:gridSpan w:val="2"/>
          </w:tcPr>
          <w:p>
            <w:pPr>
              <w:jc w:val="right"/>
              <w:ind w:right="6"/>
              <w:spacing w:after="0"/>
              <w:rPr>
                <w:sz w:val="20"/>
                <w:szCs w:val="20"/>
                <w:color w:val="auto"/>
              </w:rPr>
            </w:pPr>
            <w:r>
              <w:rPr>
                <w:rFonts w:ascii="Arial" w:cs="Arial" w:eastAsia="Arial" w:hAnsi="Arial"/>
                <w:sz w:val="11"/>
                <w:szCs w:val="11"/>
                <w:color w:val="auto"/>
              </w:rPr>
              <w:t>419,371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(419,371)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Equity component from partial settlement of 2023 convertible senior notes</w:t>
            </w:r>
          </w:p>
        </w:tc>
        <w:tc>
          <w:tcPr>
            <w:tcW w:w="100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1,158,381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80,047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80,049</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rPr>
              <w:t>Shares of Class A common stock donated to charity</w:t>
            </w:r>
          </w:p>
        </w:tc>
        <w:tc>
          <w:tcPr>
            <w:tcW w:w="1000" w:type="dxa"/>
            <w:vAlign w:val="bottom"/>
            <w:gridSpan w:val="2"/>
          </w:tcPr>
          <w:p>
            <w:pPr>
              <w:jc w:val="right"/>
              <w:ind w:right="6"/>
              <w:spacing w:after="0"/>
              <w:rPr>
                <w:sz w:val="20"/>
                <w:szCs w:val="20"/>
                <w:color w:val="auto"/>
              </w:rPr>
            </w:pPr>
            <w:r>
              <w:rPr>
                <w:rFonts w:ascii="Arial" w:cs="Arial" w:eastAsia="Arial" w:hAnsi="Arial"/>
                <w:sz w:val="11"/>
                <w:szCs w:val="11"/>
                <w:color w:val="auto"/>
              </w:rPr>
              <w:t>22,102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9,405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9,405</w:t>
            </w:r>
          </w:p>
        </w:tc>
        <w:tc>
          <w:tcPr>
            <w:tcW w:w="0" w:type="dxa"/>
            <w:vAlign w:val="bottom"/>
          </w:tcPr>
          <w:p>
            <w:pPr>
              <w:spacing w:after="0"/>
              <w:rPr>
                <w:sz w:val="1"/>
                <w:szCs w:val="1"/>
                <w:color w:val="auto"/>
              </w:rPr>
            </w:pPr>
          </w:p>
        </w:tc>
      </w:tr>
      <w:tr>
        <w:trPr>
          <w:trHeight w:val="104"/>
        </w:trPr>
        <w:tc>
          <w:tcPr>
            <w:tcW w:w="3800" w:type="dxa"/>
            <w:vAlign w:val="bottom"/>
            <w:shd w:val="clear" w:color="auto" w:fill="CCEEFF"/>
          </w:tcPr>
          <w:p>
            <w:pPr>
              <w:spacing w:after="0" w:line="104" w:lineRule="exact"/>
              <w:rPr>
                <w:sz w:val="20"/>
                <w:szCs w:val="20"/>
                <w:color w:val="auto"/>
              </w:rPr>
            </w:pPr>
            <w:r>
              <w:rPr>
                <w:rFonts w:ascii="Arial" w:cs="Arial" w:eastAsia="Arial" w:hAnsi="Arial"/>
                <w:sz w:val="11"/>
                <w:szCs w:val="11"/>
                <w:color w:val="auto"/>
                <w:w w:val="98"/>
              </w:rPr>
              <w:t>Issuance of common stock in connection with a follow-on public offering, net of</w:t>
            </w:r>
          </w:p>
        </w:tc>
        <w:tc>
          <w:tcPr>
            <w:tcW w:w="100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4,312,500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1,766,396</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1,766,400</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underwriter discounts</w:t>
            </w:r>
          </w:p>
        </w:tc>
        <w:tc>
          <w:tcPr>
            <w:tcW w:w="10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rPr>
              <w:t>Costs related to the follow-on public offering</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(727)</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Issuance of restricted stock awards</w:t>
            </w:r>
          </w:p>
        </w:tc>
        <w:tc>
          <w:tcPr>
            <w:tcW w:w="100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24,697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rPr>
              <w:t>Unrealized loss on marketable securities</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(4,176)</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Foreign currency translation</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141,542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141,542</w:t>
            </w:r>
          </w:p>
        </w:tc>
        <w:tc>
          <w:tcPr>
            <w:tcW w:w="0" w:type="dxa"/>
            <w:vAlign w:val="bottom"/>
          </w:tcPr>
          <w:p>
            <w:pPr>
              <w:spacing w:after="0"/>
              <w:rPr>
                <w:sz w:val="1"/>
                <w:szCs w:val="1"/>
                <w:color w:val="auto"/>
              </w:rPr>
            </w:pPr>
          </w:p>
        </w:tc>
      </w:tr>
      <w:tr>
        <w:trPr>
          <w:trHeight w:val="16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as of March 31, 2021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160,588,258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158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10,343,302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w w:val="97"/>
              </w:rPr>
              <w:t>13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11,618,698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4,660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(1,376,333)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10,247,196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vMerge w:val="restart"/>
          </w:tcPr>
          <w:p>
            <w:pPr>
              <w:spacing w:after="0"/>
              <w:rPr>
                <w:sz w:val="20"/>
                <w:szCs w:val="20"/>
                <w:color w:val="auto"/>
              </w:rPr>
            </w:pPr>
            <w:r>
              <w:rPr>
                <w:rFonts w:ascii="Arial" w:cs="Arial" w:eastAsia="Arial" w:hAnsi="Arial"/>
                <w:sz w:val="11"/>
                <w:szCs w:val="11"/>
                <w:color w:val="auto"/>
              </w:rPr>
              <w:t>Net loss</w:t>
            </w: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800" w:type="dxa"/>
            <w:vAlign w:val="bottom"/>
            <w:tcBorders>
              <w:top w:val="single" w:sz="8" w:color="CCEEFF"/>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Borders>
              <w:top w:val="single" w:sz="8" w:color="auto"/>
            </w:tcBorders>
          </w:tcPr>
          <w:p>
            <w:pPr>
              <w:jc w:val="right"/>
              <w:ind w:right="6"/>
              <w:spacing w:after="0" w:line="10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6"/>
              <w:spacing w:after="0" w:line="10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7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ind w:left="400"/>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(227,853)</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color w:val="auto"/>
              </w:rPr>
              <w:t>(227,853)</w:t>
            </w:r>
          </w:p>
        </w:tc>
        <w:tc>
          <w:tcPr>
            <w:tcW w:w="0" w:type="dxa"/>
            <w:vAlign w:val="bottom"/>
          </w:tcPr>
          <w:p>
            <w:pPr>
              <w:spacing w:after="0"/>
              <w:rPr>
                <w:sz w:val="1"/>
                <w:szCs w:val="1"/>
                <w:color w:val="auto"/>
              </w:rPr>
            </w:pPr>
          </w:p>
        </w:tc>
      </w:tr>
      <w:tr>
        <w:trPr>
          <w:trHeight w:val="139"/>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Exercises of vested stock options</w:t>
            </w:r>
          </w:p>
        </w:tc>
        <w:tc>
          <w:tcPr>
            <w:tcW w:w="100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294,430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63,164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20,351</w:t>
            </w:r>
          </w:p>
        </w:tc>
        <w:tc>
          <w:tcPr>
            <w:tcW w:w="0" w:type="dxa"/>
            <w:vAlign w:val="bottom"/>
          </w:tcPr>
          <w:p>
            <w:pPr>
              <w:spacing w:after="0"/>
              <w:rPr>
                <w:sz w:val="1"/>
                <w:szCs w:val="1"/>
                <w:color w:val="auto"/>
              </w:rPr>
            </w:pPr>
          </w:p>
        </w:tc>
      </w:tr>
      <w:tr>
        <w:trPr>
          <w:trHeight w:val="148"/>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Vesting of restricted stock units</w:t>
            </w:r>
          </w:p>
        </w:tc>
        <w:tc>
          <w:tcPr>
            <w:tcW w:w="100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839,472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rPr>
              <w:t>Value of equity awards withheld for tax liability</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(5,498)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(1,882)</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w w:val="91"/>
              </w:rPr>
              <w:t>Conversion of shares of Class B common stock into shares of Class A common stock</w:t>
            </w:r>
          </w:p>
        </w:tc>
        <w:tc>
          <w:tcPr>
            <w:tcW w:w="100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188,044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(188,044)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1"/>
                <w:szCs w:val="11"/>
                <w:color w:val="auto"/>
                <w:w w:val="88"/>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1"/>
        </w:trPr>
        <w:tc>
          <w:tcPr>
            <w:tcW w:w="3800" w:type="dxa"/>
            <w:vAlign w:val="bottom"/>
          </w:tcPr>
          <w:p>
            <w:pPr>
              <w:spacing w:after="0" w:line="102" w:lineRule="exact"/>
              <w:rPr>
                <w:sz w:val="20"/>
                <w:szCs w:val="20"/>
                <w:color w:val="auto"/>
              </w:rPr>
            </w:pPr>
            <w:r>
              <w:rPr>
                <w:rFonts w:ascii="Arial" w:cs="Arial" w:eastAsia="Arial" w:hAnsi="Arial"/>
                <w:sz w:val="11"/>
                <w:szCs w:val="11"/>
                <w:color w:val="auto"/>
              </w:rPr>
              <w:t>Equity component from partial settlement of 2023 convertible</w:t>
            </w:r>
          </w:p>
        </w:tc>
        <w:tc>
          <w:tcPr>
            <w:tcW w:w="100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3,688,584</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8"/>
                <w:szCs w:val="8"/>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62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255,590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20" w:type="dxa"/>
            <w:vAlign w:val="bottom"/>
            <w:gridSpan w:val="2"/>
            <w:vMerge w:val="restart"/>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255,594</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rPr>
              <w:t>senior notes</w:t>
            </w: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Settlement of capped call, net of related costs</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225,233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225,233</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rPr>
              <w:t>Shares issued under ESPP</w:t>
            </w:r>
          </w:p>
        </w:tc>
        <w:tc>
          <w:tcPr>
            <w:tcW w:w="1000" w:type="dxa"/>
            <w:vAlign w:val="bottom"/>
            <w:gridSpan w:val="2"/>
          </w:tcPr>
          <w:p>
            <w:pPr>
              <w:jc w:val="right"/>
              <w:ind w:right="6"/>
              <w:spacing w:after="0"/>
              <w:rPr>
                <w:sz w:val="20"/>
                <w:szCs w:val="20"/>
                <w:color w:val="auto"/>
              </w:rPr>
            </w:pPr>
            <w:r>
              <w:rPr>
                <w:rFonts w:ascii="Arial" w:cs="Arial" w:eastAsia="Arial" w:hAnsi="Arial"/>
                <w:sz w:val="11"/>
                <w:szCs w:val="11"/>
                <w:color w:val="auto"/>
              </w:rPr>
              <w:t>100,107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23,699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23,699</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Donated common stock</w:t>
            </w:r>
          </w:p>
        </w:tc>
        <w:tc>
          <w:tcPr>
            <w:tcW w:w="100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22,102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6,789</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rPr>
              <w:t>Costs related to the follow-on public offering</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rPr>
              <w:t>Unrealized loss on marketable securities</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(979)</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rPr>
              <w:t>Foreign currency translation</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spacing w:after="0"/>
              <w:rPr>
                <w:sz w:val="20"/>
                <w:szCs w:val="20"/>
                <w:color w:val="auto"/>
              </w:rPr>
            </w:pPr>
            <w:r>
              <w:rPr>
                <w:rFonts w:ascii="Arial" w:cs="Arial" w:eastAsia="Arial" w:hAnsi="Arial"/>
                <w:sz w:val="11"/>
                <w:szCs w:val="11"/>
                <w:color w:val="auto"/>
                <w:w w:val="92"/>
              </w:rPr>
              <w:t>Net change in market value of effective foreign currency forward exchange contracts</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(2,908)</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148,988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148,988</w:t>
            </w:r>
          </w:p>
        </w:tc>
        <w:tc>
          <w:tcPr>
            <w:tcW w:w="0" w:type="dxa"/>
            <w:vAlign w:val="bottom"/>
          </w:tcPr>
          <w:p>
            <w:pPr>
              <w:spacing w:after="0"/>
              <w:rPr>
                <w:sz w:val="1"/>
                <w:szCs w:val="1"/>
                <w:color w:val="auto"/>
              </w:rPr>
            </w:pPr>
          </w:p>
        </w:tc>
      </w:tr>
      <w:tr>
        <w:trPr>
          <w:trHeight w:val="16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as of June 30, 2021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165,715,499</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164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10,218,422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w w:val="97"/>
              </w:rPr>
              <w:t>12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12,297,415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707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(1,604,186)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10,694,112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46355</wp:posOffset>
            </wp:positionV>
            <wp:extent cx="719201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060"/>
          </w:cols>
          <w:pgMar w:left="420" w:top="129" w:right="4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4"/>
          <w:szCs w:val="14"/>
          <w:b w:val="1"/>
          <w:bCs w:val="1"/>
          <w:color w:val="auto"/>
        </w:rPr>
        <w:t>TWILIO INC</w:t>
      </w:r>
      <w:r>
        <w:rPr>
          <w:rFonts w:ascii="Arial" w:cs="Arial" w:eastAsia="Arial" w:hAnsi="Arial"/>
          <w:sz w:val="10"/>
          <w:szCs w:val="10"/>
          <w:b w:val="1"/>
          <w:bCs w:val="1"/>
          <w:color w:val="auto"/>
        </w:rPr>
        <w:t>.</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Cash Flows</w:t>
      </w:r>
    </w:p>
    <w:p>
      <w:pPr>
        <w:jc w:val="center"/>
        <w:ind w:right="20"/>
        <w:spacing w:after="0"/>
        <w:rPr>
          <w:sz w:val="20"/>
          <w:szCs w:val="20"/>
          <w:color w:val="auto"/>
        </w:rPr>
      </w:pPr>
      <w:r>
        <w:rPr>
          <w:rFonts w:ascii="Arial" w:cs="Arial" w:eastAsia="Arial" w:hAnsi="Arial"/>
          <w:sz w:val="11"/>
          <w:szCs w:val="11"/>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3"/>
          </w:tcPr>
          <w:p>
            <w:pPr>
              <w:jc w:val="center"/>
              <w:ind w:left="389"/>
              <w:spacing w:after="0"/>
              <w:rPr>
                <w:sz w:val="20"/>
                <w:szCs w:val="20"/>
                <w:color w:val="auto"/>
              </w:rPr>
            </w:pPr>
            <w:r>
              <w:rPr>
                <w:rFonts w:ascii="Arial" w:cs="Arial" w:eastAsia="Arial" w:hAnsi="Arial"/>
                <w:sz w:val="10"/>
                <w:szCs w:val="10"/>
                <w:b w:val="1"/>
                <w:bCs w:val="1"/>
                <w:color w:val="auto"/>
                <w:w w:val="92"/>
              </w:rPr>
              <w:t>Six Months Ended</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0"/>
                <w:szCs w:val="10"/>
                <w:b w:val="1"/>
                <w:bCs w:val="1"/>
                <w:color w:val="auto"/>
                <w:w w:val="89"/>
              </w:rPr>
              <w:t>June 30,</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138"/>
        </w:trPr>
        <w:tc>
          <w:tcPr>
            <w:tcW w:w="7120" w:type="dxa"/>
            <w:vAlign w:val="bottom"/>
            <w:shd w:val="clear" w:color="auto" w:fill="CCEEFF"/>
          </w:tcPr>
          <w:p>
            <w:pPr>
              <w:spacing w:after="0"/>
              <w:rPr>
                <w:sz w:val="20"/>
                <w:szCs w:val="20"/>
                <w:color w:val="auto"/>
              </w:rPr>
            </w:pPr>
            <w:r>
              <w:rPr>
                <w:rFonts w:ascii="Arial" w:cs="Arial" w:eastAsia="Arial" w:hAnsi="Arial"/>
                <w:sz w:val="10"/>
                <w:szCs w:val="10"/>
                <w:color w:val="auto"/>
              </w:rPr>
              <w:t>CASH FLOWS FROM OPERATING ACTIVITIES:</w:t>
            </w:r>
          </w:p>
        </w:tc>
        <w:tc>
          <w:tcPr>
            <w:tcW w:w="26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center"/>
              <w:ind w:left="369"/>
              <w:spacing w:after="0"/>
              <w:rPr>
                <w:sz w:val="20"/>
                <w:szCs w:val="20"/>
                <w:color w:val="auto"/>
              </w:rPr>
            </w:pPr>
            <w:r>
              <w:rPr>
                <w:rFonts w:ascii="Arial" w:cs="Arial" w:eastAsia="Arial" w:hAnsi="Arial"/>
                <w:sz w:val="10"/>
                <w:szCs w:val="10"/>
                <w:color w:val="auto"/>
                <w:w w:val="90"/>
              </w:rPr>
              <w:t>(In thousands)</w:t>
            </w: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20" w:type="dxa"/>
            <w:vAlign w:val="bottom"/>
          </w:tcPr>
          <w:p>
            <w:pPr>
              <w:spacing w:after="0"/>
              <w:rPr>
                <w:sz w:val="20"/>
                <w:szCs w:val="20"/>
                <w:color w:val="auto"/>
              </w:rPr>
            </w:pPr>
            <w:r>
              <w:rPr>
                <w:rFonts w:ascii="Arial" w:cs="Arial" w:eastAsia="Arial" w:hAnsi="Arial"/>
                <w:sz w:val="10"/>
                <w:szCs w:val="10"/>
                <w:color w:val="auto"/>
              </w:rPr>
              <w:t>Net loss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(544,396)</w:t>
            </w:r>
          </w:p>
        </w:tc>
        <w:tc>
          <w:tcPr>
            <w:tcW w:w="100" w:type="dxa"/>
            <w:vAlign w:val="bottom"/>
          </w:tcPr>
          <w:p>
            <w:pPr>
              <w:spacing w:after="0"/>
              <w:rPr>
                <w:sz w:val="11"/>
                <w:szCs w:val="11"/>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(434,395)</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spacing w:after="0"/>
              <w:rPr>
                <w:sz w:val="20"/>
                <w:szCs w:val="20"/>
                <w:color w:val="auto"/>
              </w:rPr>
            </w:pPr>
            <w:r>
              <w:rPr>
                <w:rFonts w:ascii="Arial" w:cs="Arial" w:eastAsia="Arial" w:hAnsi="Arial"/>
                <w:sz w:val="10"/>
                <w:szCs w:val="10"/>
                <w:color w:val="auto"/>
              </w:rPr>
              <w:t>Adjustments to reconcile net loss to net cash (used in) provided by operating activities: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Depreciation and amortization</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137,744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119,405</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Non-cash reduction to the right-of-use asset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25,539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23,200</w:t>
            </w: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Net amortization of investment premium and discount</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20,274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13,834</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Amortization of debt discount and issuance costs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5,081</w:t>
            </w: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Stock-based compensation</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397,366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281,323</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Amortization of deferred commissions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26,076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12,394</w:t>
            </w: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Value of shares of Class A common stock donated to charity</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6,605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16,194</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Loss on extinguishment of debt</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28,986</w:t>
            </w: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Other adjustments</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9,927</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8,313</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Changes in operating assets and liabilities: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7120" w:type="dxa"/>
            <w:vAlign w:val="bottom"/>
          </w:tcPr>
          <w:p>
            <w:pPr>
              <w:ind w:left="240"/>
              <w:spacing w:after="0"/>
              <w:rPr>
                <w:sz w:val="20"/>
                <w:szCs w:val="20"/>
                <w:color w:val="auto"/>
              </w:rPr>
            </w:pPr>
            <w:r>
              <w:rPr>
                <w:rFonts w:ascii="Arial" w:cs="Arial" w:eastAsia="Arial" w:hAnsi="Arial"/>
                <w:sz w:val="10"/>
                <w:szCs w:val="10"/>
                <w:color w:val="auto"/>
              </w:rPr>
              <w:t>Accounts receivable</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(91,782)</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(41,687)</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Prepaid expenses and other current assets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(57,997)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(44,604)</w:t>
            </w:r>
          </w:p>
        </w:tc>
        <w:tc>
          <w:tcPr>
            <w:tcW w:w="0" w:type="dxa"/>
            <w:vAlign w:val="bottom"/>
          </w:tcPr>
          <w:p>
            <w:pPr>
              <w:spacing w:after="0"/>
              <w:rPr>
                <w:sz w:val="1"/>
                <w:szCs w:val="1"/>
                <w:color w:val="auto"/>
              </w:rPr>
            </w:pPr>
          </w:p>
        </w:tc>
      </w:tr>
      <w:tr>
        <w:trPr>
          <w:trHeight w:val="137"/>
        </w:trPr>
        <w:tc>
          <w:tcPr>
            <w:tcW w:w="7120" w:type="dxa"/>
            <w:vAlign w:val="bottom"/>
          </w:tcPr>
          <w:p>
            <w:pPr>
              <w:ind w:left="240"/>
              <w:spacing w:after="0"/>
              <w:rPr>
                <w:sz w:val="20"/>
                <w:szCs w:val="20"/>
                <w:color w:val="auto"/>
              </w:rPr>
            </w:pPr>
            <w:r>
              <w:rPr>
                <w:rFonts w:ascii="Arial" w:cs="Arial" w:eastAsia="Arial" w:hAnsi="Arial"/>
                <w:sz w:val="10"/>
                <w:szCs w:val="10"/>
                <w:color w:val="auto"/>
              </w:rPr>
              <w:t>Other long-term assets</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(52,521)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(39,118)</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Accounts payable</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6,654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27,078</w:t>
            </w:r>
          </w:p>
        </w:tc>
        <w:tc>
          <w:tcPr>
            <w:tcW w:w="0" w:type="dxa"/>
            <w:vAlign w:val="bottom"/>
          </w:tcPr>
          <w:p>
            <w:pPr>
              <w:spacing w:after="0"/>
              <w:rPr>
                <w:sz w:val="1"/>
                <w:szCs w:val="1"/>
                <w:color w:val="auto"/>
              </w:rPr>
            </w:pPr>
          </w:p>
        </w:tc>
      </w:tr>
      <w:tr>
        <w:trPr>
          <w:trHeight w:val="137"/>
        </w:trPr>
        <w:tc>
          <w:tcPr>
            <w:tcW w:w="7120" w:type="dxa"/>
            <w:vAlign w:val="bottom"/>
          </w:tcPr>
          <w:p>
            <w:pPr>
              <w:ind w:left="240"/>
              <w:spacing w:after="0"/>
              <w:rPr>
                <w:sz w:val="20"/>
                <w:szCs w:val="20"/>
                <w:color w:val="auto"/>
              </w:rPr>
            </w:pPr>
            <w:r>
              <w:rPr>
                <w:rFonts w:ascii="Arial" w:cs="Arial" w:eastAsia="Arial" w:hAnsi="Arial"/>
                <w:sz w:val="10"/>
                <w:szCs w:val="10"/>
                <w:color w:val="auto"/>
              </w:rPr>
              <w:t>Accrued expenses and other current liabilities</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78,430</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65,923</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Deferred revenue and customer deposits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7,615</w:t>
            </w:r>
          </w:p>
        </w:tc>
        <w:tc>
          <w:tcPr>
            <w:tcW w:w="0" w:type="dxa"/>
            <w:vAlign w:val="bottom"/>
          </w:tcPr>
          <w:p>
            <w:pPr>
              <w:spacing w:after="0"/>
              <w:rPr>
                <w:sz w:val="1"/>
                <w:szCs w:val="1"/>
                <w:color w:val="auto"/>
              </w:rPr>
            </w:pPr>
          </w:p>
        </w:tc>
      </w:tr>
      <w:tr>
        <w:trPr>
          <w:trHeight w:val="137"/>
        </w:trPr>
        <w:tc>
          <w:tcPr>
            <w:tcW w:w="7120" w:type="dxa"/>
            <w:vAlign w:val="bottom"/>
          </w:tcPr>
          <w:p>
            <w:pPr>
              <w:ind w:left="240"/>
              <w:spacing w:after="0"/>
              <w:rPr>
                <w:sz w:val="20"/>
                <w:szCs w:val="20"/>
                <w:color w:val="auto"/>
              </w:rPr>
            </w:pPr>
            <w:r>
              <w:rPr>
                <w:rFonts w:ascii="Arial" w:cs="Arial" w:eastAsia="Arial" w:hAnsi="Arial"/>
                <w:sz w:val="10"/>
                <w:szCs w:val="10"/>
                <w:color w:val="auto"/>
              </w:rPr>
              <w:t>Operating lease liabilities</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(31,127)</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(23,610)</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Other long-term liabilities</w:t>
            </w: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(7,662)</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0" w:type="dxa"/>
            <w:vAlign w:val="bottom"/>
          </w:tcPr>
          <w:p>
            <w:pPr>
              <w:spacing w:after="0"/>
              <w:rPr>
                <w:sz w:val="1"/>
                <w:szCs w:val="1"/>
                <w:color w:val="auto"/>
              </w:rPr>
            </w:pPr>
          </w:p>
        </w:tc>
      </w:tr>
      <w:tr>
        <w:trPr>
          <w:trHeight w:val="127"/>
        </w:trPr>
        <w:tc>
          <w:tcPr>
            <w:tcW w:w="7120" w:type="dxa"/>
            <w:vAlign w:val="bottom"/>
            <w:tcBorders>
              <w:bottom w:val="single" w:sz="8" w:color="CCEEFF"/>
            </w:tcBorders>
          </w:tcPr>
          <w:p>
            <w:pPr>
              <w:ind w:left="340"/>
              <w:spacing w:after="0"/>
              <w:rPr>
                <w:sz w:val="20"/>
                <w:szCs w:val="20"/>
                <w:color w:val="auto"/>
              </w:rPr>
            </w:pPr>
            <w:r>
              <w:rPr>
                <w:rFonts w:ascii="Arial" w:cs="Arial" w:eastAsia="Arial" w:hAnsi="Arial"/>
                <w:sz w:val="10"/>
                <w:szCs w:val="10"/>
                <w:color w:val="auto"/>
              </w:rPr>
              <w:t>Net cash (used in) provided by operating activities</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(80,141)</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26,222</w:t>
            </w:r>
          </w:p>
        </w:tc>
        <w:tc>
          <w:tcPr>
            <w:tcW w:w="0" w:type="dxa"/>
            <w:vAlign w:val="bottom"/>
          </w:tcPr>
          <w:p>
            <w:pPr>
              <w:spacing w:after="0"/>
              <w:rPr>
                <w:sz w:val="1"/>
                <w:szCs w:val="1"/>
                <w:color w:val="auto"/>
              </w:rPr>
            </w:pPr>
          </w:p>
        </w:tc>
      </w:tr>
      <w:tr>
        <w:trPr>
          <w:trHeight w:val="127"/>
        </w:trPr>
        <w:tc>
          <w:tcPr>
            <w:tcW w:w="7120" w:type="dxa"/>
            <w:vAlign w:val="bottom"/>
            <w:shd w:val="clear" w:color="auto" w:fill="CCEEFF"/>
          </w:tcPr>
          <w:p>
            <w:pPr>
              <w:spacing w:after="0"/>
              <w:rPr>
                <w:sz w:val="20"/>
                <w:szCs w:val="20"/>
                <w:color w:val="auto"/>
              </w:rPr>
            </w:pPr>
            <w:r>
              <w:rPr>
                <w:rFonts w:ascii="Arial" w:cs="Arial" w:eastAsia="Arial" w:hAnsi="Arial"/>
                <w:sz w:val="10"/>
                <w:szCs w:val="10"/>
                <w:color w:val="auto"/>
              </w:rPr>
              <w:t>CASH FLOWS FROM INVESTING ACTIVITIES:</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Acquisitions, net of cash acquired and other related payments</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(31,697)</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(94,178)</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Purchases of marketable securities and other investments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(1,325,366)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(2,807,798)</w:t>
            </w: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Proceeds from sales and maturities of marketable securities</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754,574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754,466</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Capitalized software development costs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(22,361)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(21,839)</w:t>
            </w:r>
          </w:p>
        </w:tc>
        <w:tc>
          <w:tcPr>
            <w:tcW w:w="0" w:type="dxa"/>
            <w:vAlign w:val="bottom"/>
          </w:tcPr>
          <w:p>
            <w:pPr>
              <w:spacing w:after="0"/>
              <w:rPr>
                <w:sz w:val="1"/>
                <w:szCs w:val="1"/>
                <w:color w:val="auto"/>
              </w:rPr>
            </w:pPr>
          </w:p>
        </w:tc>
      </w:tr>
      <w:tr>
        <w:trPr>
          <w:trHeight w:val="137"/>
        </w:trPr>
        <w:tc>
          <w:tcPr>
            <w:tcW w:w="712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Purchases of long-lived and intangible assets</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(10,779)</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(12,140)</w:t>
            </w:r>
          </w:p>
        </w:tc>
        <w:tc>
          <w:tcPr>
            <w:tcW w:w="0" w:type="dxa"/>
            <w:vAlign w:val="bottom"/>
          </w:tcPr>
          <w:p>
            <w:pPr>
              <w:spacing w:after="0"/>
              <w:rPr>
                <w:sz w:val="1"/>
                <w:szCs w:val="1"/>
                <w:color w:val="auto"/>
              </w:rPr>
            </w:pPr>
          </w:p>
        </w:tc>
      </w:tr>
      <w:tr>
        <w:trPr>
          <w:trHeight w:val="138"/>
        </w:trPr>
        <w:tc>
          <w:tcPr>
            <w:tcW w:w="71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Net cash used in investing activities</w:t>
            </w:r>
          </w:p>
        </w:tc>
        <w:tc>
          <w:tcPr>
            <w:tcW w:w="2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(635,629)</w:t>
            </w: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(2,181,489)</w:t>
            </w:r>
          </w:p>
        </w:tc>
        <w:tc>
          <w:tcPr>
            <w:tcW w:w="0" w:type="dxa"/>
            <w:vAlign w:val="bottom"/>
          </w:tcPr>
          <w:p>
            <w:pPr>
              <w:spacing w:after="0"/>
              <w:rPr>
                <w:sz w:val="1"/>
                <w:szCs w:val="1"/>
                <w:color w:val="auto"/>
              </w:rPr>
            </w:pPr>
          </w:p>
        </w:tc>
      </w:tr>
      <w:tr>
        <w:trPr>
          <w:trHeight w:val="117"/>
        </w:trPr>
        <w:tc>
          <w:tcPr>
            <w:tcW w:w="7120" w:type="dxa"/>
            <w:vAlign w:val="bottom"/>
          </w:tcPr>
          <w:p>
            <w:pPr>
              <w:spacing w:after="0" w:line="112" w:lineRule="exact"/>
              <w:rPr>
                <w:sz w:val="20"/>
                <w:szCs w:val="20"/>
                <w:color w:val="auto"/>
              </w:rPr>
            </w:pPr>
            <w:r>
              <w:rPr>
                <w:rFonts w:ascii="Arial" w:cs="Arial" w:eastAsia="Arial" w:hAnsi="Arial"/>
                <w:sz w:val="10"/>
                <w:szCs w:val="10"/>
                <w:color w:val="auto"/>
              </w:rPr>
              <w:t>CASH FLOWS FROM FINANCING ACTIVITIES:</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Proceeds from public offerings, net of underwriters' discounts</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1,766,400</w:t>
            </w: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Payments of costs related to public offerings</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(394)</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Proceeds from issuance of senior notes due 2029 and 2031</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987,500</w:t>
            </w: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Payment of debt issuance costs</w:t>
            </w:r>
          </w:p>
        </w:tc>
        <w:tc>
          <w:tcPr>
            <w:tcW w:w="26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(1,362)</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Proceeds from settlements of capped call, net of settlement costs</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228,412</w:t>
            </w: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Principal payments on debt and finance leases</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(6,188)</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(6,658)</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Value of equity awards withheld for tax liabilities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(4,656)</w:t>
            </w:r>
          </w:p>
        </w:tc>
        <w:tc>
          <w:tcPr>
            <w:tcW w:w="0" w:type="dxa"/>
            <w:vAlign w:val="bottom"/>
          </w:tcPr>
          <w:p>
            <w:pPr>
              <w:spacing w:after="0"/>
              <w:rPr>
                <w:sz w:val="1"/>
                <w:szCs w:val="1"/>
                <w:color w:val="auto"/>
              </w:rPr>
            </w:pPr>
          </w:p>
        </w:tc>
      </w:tr>
      <w:tr>
        <w:trPr>
          <w:trHeight w:val="137"/>
        </w:trPr>
        <w:tc>
          <w:tcPr>
            <w:tcW w:w="712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Proceeds from exercises of stock options and shares of Class A common stock issued under ESPP</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41,694</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55,614</w:t>
            </w:r>
          </w:p>
        </w:tc>
        <w:tc>
          <w:tcPr>
            <w:tcW w:w="0" w:type="dxa"/>
            <w:vAlign w:val="bottom"/>
          </w:tcPr>
          <w:p>
            <w:pPr>
              <w:spacing w:after="0"/>
              <w:rPr>
                <w:sz w:val="1"/>
                <w:szCs w:val="1"/>
                <w:color w:val="auto"/>
              </w:rPr>
            </w:pPr>
          </w:p>
        </w:tc>
      </w:tr>
      <w:tr>
        <w:trPr>
          <w:trHeight w:val="138"/>
        </w:trPr>
        <w:tc>
          <w:tcPr>
            <w:tcW w:w="71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Net cash provided by financing activities</w:t>
            </w:r>
          </w:p>
        </w:tc>
        <w:tc>
          <w:tcPr>
            <w:tcW w:w="2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34,402</w:t>
            </w: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3,024,856</w:t>
            </w:r>
          </w:p>
        </w:tc>
        <w:tc>
          <w:tcPr>
            <w:tcW w:w="0" w:type="dxa"/>
            <w:vAlign w:val="bottom"/>
          </w:tcPr>
          <w:p>
            <w:pPr>
              <w:spacing w:after="0"/>
              <w:rPr>
                <w:sz w:val="1"/>
                <w:szCs w:val="1"/>
                <w:color w:val="auto"/>
              </w:rPr>
            </w:pPr>
          </w:p>
        </w:tc>
      </w:tr>
      <w:tr>
        <w:trPr>
          <w:trHeight w:val="127"/>
        </w:trPr>
        <w:tc>
          <w:tcPr>
            <w:tcW w:w="71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Effect of exchange rate changes on cash, cash equivalents and restricted cash</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313</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w:t>
            </w:r>
          </w:p>
        </w:tc>
        <w:tc>
          <w:tcPr>
            <w:tcW w:w="0" w:type="dxa"/>
            <w:vAlign w:val="bottom"/>
          </w:tcPr>
          <w:p>
            <w:pPr>
              <w:spacing w:after="0"/>
              <w:rPr>
                <w:sz w:val="1"/>
                <w:szCs w:val="1"/>
                <w:color w:val="auto"/>
              </w:rPr>
            </w:pPr>
          </w:p>
        </w:tc>
      </w:tr>
      <w:tr>
        <w:trPr>
          <w:trHeight w:val="138"/>
        </w:trPr>
        <w:tc>
          <w:tcPr>
            <w:tcW w:w="7120" w:type="dxa"/>
            <w:vAlign w:val="bottom"/>
            <w:shd w:val="clear" w:color="auto" w:fill="CCEEFF"/>
          </w:tcPr>
          <w:p>
            <w:pPr>
              <w:spacing w:after="0"/>
              <w:rPr>
                <w:sz w:val="20"/>
                <w:szCs w:val="20"/>
                <w:color w:val="auto"/>
              </w:rPr>
            </w:pPr>
            <w:r>
              <w:rPr>
                <w:rFonts w:ascii="Arial" w:cs="Arial" w:eastAsia="Arial" w:hAnsi="Arial"/>
                <w:sz w:val="10"/>
                <w:szCs w:val="10"/>
                <w:color w:val="auto"/>
              </w:rPr>
              <w:t>NET (DECREASE) INCREASE IN CASH, CASH EQUIVALENTS AND RESTRICTED CASH</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(681,055)</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869,446</w:t>
            </w:r>
          </w:p>
        </w:tc>
        <w:tc>
          <w:tcPr>
            <w:tcW w:w="0" w:type="dxa"/>
            <w:vAlign w:val="bottom"/>
          </w:tcPr>
          <w:p>
            <w:pPr>
              <w:spacing w:after="0"/>
              <w:rPr>
                <w:sz w:val="1"/>
                <w:szCs w:val="1"/>
                <w:color w:val="auto"/>
              </w:rPr>
            </w:pPr>
          </w:p>
        </w:tc>
      </w:tr>
      <w:tr>
        <w:trPr>
          <w:trHeight w:val="137"/>
        </w:trPr>
        <w:tc>
          <w:tcPr>
            <w:tcW w:w="71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CASH, CASH EQUIVALENTS AND RESTRICTED CASH—Beginning of period</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1,481,831</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933,885</w:t>
            </w:r>
          </w:p>
        </w:tc>
        <w:tc>
          <w:tcPr>
            <w:tcW w:w="0" w:type="dxa"/>
            <w:vAlign w:val="bottom"/>
          </w:tcPr>
          <w:p>
            <w:pPr>
              <w:spacing w:after="0"/>
              <w:rPr>
                <w:sz w:val="1"/>
                <w:szCs w:val="1"/>
                <w:color w:val="auto"/>
              </w:rPr>
            </w:pPr>
          </w:p>
        </w:tc>
      </w:tr>
      <w:tr>
        <w:trPr>
          <w:trHeight w:val="163"/>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CASH, CASH EQUIVALENTS AND RESTRICTED CASH —End of period</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800,776</w:t>
            </w: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1,803,331</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120" w:type="dxa"/>
            <w:vAlign w:val="bottom"/>
          </w:tcPr>
          <w:p>
            <w:pPr>
              <w:spacing w:after="0" w:line="103" w:lineRule="exact"/>
              <w:rPr>
                <w:sz w:val="20"/>
                <w:szCs w:val="20"/>
                <w:color w:val="auto"/>
              </w:rPr>
            </w:pPr>
            <w:r>
              <w:rPr>
                <w:rFonts w:ascii="Arial" w:cs="Arial" w:eastAsia="Arial" w:hAnsi="Arial"/>
                <w:sz w:val="10"/>
                <w:szCs w:val="10"/>
                <w:color w:val="auto"/>
              </w:rPr>
              <w:t>Cash paid for income taxes, net</w:t>
            </w:r>
          </w:p>
        </w:tc>
        <w:tc>
          <w:tcPr>
            <w:tcW w:w="260" w:type="dxa"/>
            <w:vAlign w:val="bottom"/>
            <w:tcBorders>
              <w:bottom w:val="single" w:sz="8" w:color="auto"/>
            </w:tcBorders>
          </w:tcPr>
          <w:p>
            <w:pPr>
              <w:jc w:val="right"/>
              <w:ind w:right="149"/>
              <w:spacing w:after="0" w:line="103" w:lineRule="exact"/>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4,147</w:t>
            </w:r>
          </w:p>
        </w:tc>
        <w:tc>
          <w:tcPr>
            <w:tcW w:w="100" w:type="dxa"/>
            <w:vAlign w:val="bottom"/>
          </w:tcPr>
          <w:p>
            <w:pPr>
              <w:spacing w:after="0"/>
              <w:rPr>
                <w:sz w:val="8"/>
                <w:szCs w:val="8"/>
                <w:color w:val="auto"/>
              </w:rPr>
            </w:pPr>
          </w:p>
        </w:tc>
        <w:tc>
          <w:tcPr>
            <w:tcW w:w="400" w:type="dxa"/>
            <w:vAlign w:val="bottom"/>
            <w:tcBorders>
              <w:bottom w:val="single" w:sz="8" w:color="auto"/>
            </w:tcBorders>
          </w:tcPr>
          <w:p>
            <w:pPr>
              <w:jc w:val="right"/>
              <w:ind w:right="289"/>
              <w:spacing w:after="0" w:line="103" w:lineRule="exact"/>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3,240</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Cash paid for interest</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18,750</w:t>
            </w: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693</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0"/>
                <w:szCs w:val="10"/>
                <w:color w:val="auto"/>
              </w:rPr>
              <w:t>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71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Value of common stock issued to settle convertible senior notes due 2023</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1,704,969</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7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7120" w:type="dxa"/>
            <w:vAlign w:val="bottom"/>
            <w:shd w:val="clear" w:color="auto" w:fill="CCEEFF"/>
          </w:tcPr>
          <w:p>
            <w:pPr>
              <w:spacing w:after="0"/>
              <w:rPr>
                <w:sz w:val="20"/>
                <w:szCs w:val="20"/>
                <w:color w:val="auto"/>
              </w:rPr>
            </w:pPr>
            <w:r>
              <w:rPr>
                <w:rFonts w:ascii="Arial" w:cs="Arial" w:eastAsia="Arial" w:hAnsi="Arial"/>
                <w:sz w:val="10"/>
                <w:szCs w:val="10"/>
                <w:color w:val="auto"/>
              </w:rPr>
              <w:t>RECONCILIATION OF CASH, CASH EQUIVALENTS AND RESTRICTED CASH TO THE CONDENSED CONSOLIDATED BALANCE SHEETS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Cash and cash equivalents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798,625</w:t>
            </w:r>
          </w:p>
        </w:tc>
        <w:tc>
          <w:tcPr>
            <w:tcW w:w="100" w:type="dxa"/>
            <w:vAlign w:val="bottom"/>
          </w:tcPr>
          <w:p>
            <w:pPr>
              <w:spacing w:after="0"/>
              <w:rPr>
                <w:sz w:val="11"/>
                <w:szCs w:val="11"/>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1,799,602</w:t>
            </w:r>
          </w:p>
        </w:tc>
        <w:tc>
          <w:tcPr>
            <w:tcW w:w="0" w:type="dxa"/>
            <w:vAlign w:val="bottom"/>
          </w:tcPr>
          <w:p>
            <w:pPr>
              <w:spacing w:after="0"/>
              <w:rPr>
                <w:sz w:val="1"/>
                <w:szCs w:val="1"/>
                <w:color w:val="auto"/>
              </w:rPr>
            </w:pPr>
          </w:p>
        </w:tc>
      </w:tr>
      <w:tr>
        <w:trPr>
          <w:trHeight w:val="147"/>
        </w:trPr>
        <w:tc>
          <w:tcPr>
            <w:tcW w:w="7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Restricted cash in other current assets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2,620</w:t>
            </w:r>
          </w:p>
        </w:tc>
        <w:tc>
          <w:tcPr>
            <w:tcW w:w="0" w:type="dxa"/>
            <w:vAlign w:val="bottom"/>
          </w:tcPr>
          <w:p>
            <w:pPr>
              <w:spacing w:after="0"/>
              <w:rPr>
                <w:sz w:val="1"/>
                <w:szCs w:val="1"/>
                <w:color w:val="auto"/>
              </w:rPr>
            </w:pPr>
          </w:p>
        </w:tc>
      </w:tr>
      <w:tr>
        <w:trPr>
          <w:trHeight w:val="137"/>
        </w:trPr>
        <w:tc>
          <w:tcPr>
            <w:tcW w:w="7120" w:type="dxa"/>
            <w:vAlign w:val="bottom"/>
          </w:tcPr>
          <w:p>
            <w:pPr>
              <w:ind w:left="160"/>
              <w:spacing w:after="0"/>
              <w:rPr>
                <w:sz w:val="20"/>
                <w:szCs w:val="20"/>
                <w:color w:val="auto"/>
              </w:rPr>
            </w:pPr>
            <w:r>
              <w:rPr>
                <w:rFonts w:ascii="Arial" w:cs="Arial" w:eastAsia="Arial" w:hAnsi="Arial"/>
                <w:sz w:val="10"/>
                <w:szCs w:val="10"/>
                <w:color w:val="auto"/>
              </w:rPr>
              <w:t>Restricted cash in other long-term assets</w:t>
            </w:r>
          </w:p>
        </w:tc>
        <w:tc>
          <w:tcPr>
            <w:tcW w:w="26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1,109</w:t>
            </w:r>
          </w:p>
        </w:tc>
        <w:tc>
          <w:tcPr>
            <w:tcW w:w="0" w:type="dxa"/>
            <w:vAlign w:val="bottom"/>
          </w:tcPr>
          <w:p>
            <w:pPr>
              <w:spacing w:after="0"/>
              <w:rPr>
                <w:sz w:val="1"/>
                <w:szCs w:val="1"/>
                <w:color w:val="auto"/>
              </w:rPr>
            </w:pPr>
          </w:p>
        </w:tc>
      </w:tr>
      <w:tr>
        <w:trPr>
          <w:trHeight w:val="163"/>
        </w:trPr>
        <w:tc>
          <w:tcPr>
            <w:tcW w:w="7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Total cash, cash equivalents and restricted cash</w:t>
            </w: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800,776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1,803,331</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46355</wp:posOffset>
            </wp:positionV>
            <wp:extent cx="719201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9380"/>
          </w:cols>
          <w:pgMar w:left="1260" w:top="370" w:right="125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Description of Business</w:t>
      </w:r>
    </w:p>
    <w:p>
      <w:pPr>
        <w:spacing w:after="0" w:line="166" w:lineRule="exact"/>
        <w:rPr>
          <w:sz w:val="20"/>
          <w:szCs w:val="20"/>
          <w:color w:val="auto"/>
        </w:rPr>
      </w:pPr>
    </w:p>
    <w:p>
      <w:pPr>
        <w:ind w:firstLine="365"/>
        <w:spacing w:after="0" w:line="250" w:lineRule="auto"/>
        <w:rPr>
          <w:sz w:val="20"/>
          <w:szCs w:val="20"/>
          <w:color w:val="auto"/>
        </w:rPr>
      </w:pPr>
      <w:r>
        <w:rPr>
          <w:rFonts w:ascii="Arial" w:cs="Arial" w:eastAsia="Arial" w:hAnsi="Arial"/>
          <w:sz w:val="14"/>
          <w:szCs w:val="14"/>
          <w:color w:val="auto"/>
        </w:rPr>
        <w:t>Twilio Inc. (the “Company”) was incorporated in the state of Delaware on March 13, 2008. Today's leading companies trust Twilio's Customer Engagement Platform (CEP) to build direct, personalized relationships with their customers everywhere in the world. Twilio enables companies to use communications and data to add intelligence and security to every step of the customer journey, from sales to marketing to growth, customer service and many more engagement use cases in a flexible, programmatic way.</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Company’s headquarters are located in San Francisco, California, and the Company has subsidiaries across North America, South America, Europe, Asia and Australia.</w:t>
      </w:r>
    </w:p>
    <w:p>
      <w:pPr>
        <w:spacing w:after="0" w:line="162" w:lineRule="exact"/>
        <w:rPr>
          <w:sz w:val="20"/>
          <w:szCs w:val="20"/>
          <w:color w:val="auto"/>
        </w:rPr>
      </w:pPr>
    </w:p>
    <w:p>
      <w:pPr>
        <w:ind w:left="140" w:hanging="139"/>
        <w:spacing w:after="0"/>
        <w:tabs>
          <w:tab w:leader="none" w:pos="14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165" w:lineRule="exact"/>
        <w:rPr>
          <w:rFonts w:ascii="Arial" w:cs="Arial" w:eastAsia="Arial" w:hAnsi="Arial"/>
          <w:sz w:val="14"/>
          <w:szCs w:val="14"/>
          <w:b w:val="1"/>
          <w:bCs w:val="1"/>
          <w:color w:val="auto"/>
        </w:rPr>
      </w:pPr>
    </w:p>
    <w:p>
      <w:pPr>
        <w:ind w:left="980" w:hanging="613"/>
        <w:spacing w:after="0"/>
        <w:tabs>
          <w:tab w:leader="none" w:pos="980" w:val="left"/>
        </w:tabs>
        <w:numPr>
          <w:ilvl w:val="1"/>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Basis of Presentation</w:t>
      </w:r>
    </w:p>
    <w:p>
      <w:pPr>
        <w:spacing w:after="0" w:line="164" w:lineRule="exact"/>
        <w:rPr>
          <w:sz w:val="20"/>
          <w:szCs w:val="20"/>
          <w:color w:val="auto"/>
        </w:rPr>
      </w:pPr>
    </w:p>
    <w:p>
      <w:pPr>
        <w:ind w:right="100" w:firstLine="365"/>
        <w:spacing w:after="0" w:line="302" w:lineRule="auto"/>
        <w:rPr>
          <w:sz w:val="20"/>
          <w:szCs w:val="20"/>
          <w:color w:val="auto"/>
        </w:rPr>
      </w:pPr>
      <w:r>
        <w:rPr>
          <w:rFonts w:ascii="Arial" w:cs="Arial" w:eastAsia="Arial" w:hAnsi="Arial"/>
          <w:sz w:val="12"/>
          <w:szCs w:val="12"/>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22, 2022 (“Annual Report”).</w:t>
      </w:r>
    </w:p>
    <w:p>
      <w:pPr>
        <w:spacing w:after="0" w:line="117" w:lineRule="exact"/>
        <w:rPr>
          <w:sz w:val="20"/>
          <w:szCs w:val="20"/>
          <w:color w:val="auto"/>
        </w:rPr>
      </w:pPr>
    </w:p>
    <w:p>
      <w:pPr>
        <w:ind w:right="220" w:firstLine="365"/>
        <w:spacing w:after="0" w:line="259" w:lineRule="auto"/>
        <w:rPr>
          <w:sz w:val="20"/>
          <w:szCs w:val="20"/>
          <w:color w:val="auto"/>
        </w:rPr>
      </w:pPr>
      <w:r>
        <w:rPr>
          <w:rFonts w:ascii="Arial" w:cs="Arial" w:eastAsia="Arial" w:hAnsi="Arial"/>
          <w:sz w:val="14"/>
          <w:szCs w:val="14"/>
          <w:color w:val="auto"/>
        </w:rPr>
        <w:t>The condensed consolidated balance sheet as of December 31, 2021, included herein, was derived from the audited financial statements as of that date, but may not include all disclosures including certain notes required by U.S. GAAP on an annual reporting basis.</w:t>
      </w:r>
    </w:p>
    <w:p>
      <w:pPr>
        <w:spacing w:after="0" w:line="140" w:lineRule="exact"/>
        <w:rPr>
          <w:sz w:val="20"/>
          <w:szCs w:val="20"/>
          <w:color w:val="auto"/>
        </w:rPr>
      </w:pPr>
    </w:p>
    <w:p>
      <w:pPr>
        <w:ind w:right="100" w:firstLine="365"/>
        <w:spacing w:after="0" w:line="250" w:lineRule="auto"/>
        <w:rPr>
          <w:sz w:val="20"/>
          <w:szCs w:val="20"/>
          <w:color w:val="auto"/>
        </w:rPr>
      </w:pPr>
      <w:r>
        <w:rPr>
          <w:rFonts w:ascii="Arial" w:cs="Arial" w:eastAsia="Arial" w:hAnsi="Arial"/>
          <w:sz w:val="14"/>
          <w:szCs w:val="14"/>
          <w:color w:val="auto"/>
        </w:rPr>
        <w:t>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2022 or any future period.</w:t>
      </w:r>
    </w:p>
    <w:p>
      <w:pPr>
        <w:spacing w:after="0" w:line="146" w:lineRule="exact"/>
        <w:rPr>
          <w:sz w:val="20"/>
          <w:szCs w:val="20"/>
          <w:color w:val="auto"/>
        </w:rPr>
      </w:pPr>
    </w:p>
    <w:p>
      <w:pPr>
        <w:ind w:left="980" w:hanging="613"/>
        <w:spacing w:after="0"/>
        <w:tabs>
          <w:tab w:leader="none" w:pos="98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Principles of Consolidation</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condensed consolidated financial statements include the Company and its wholly owned subsidiaries. All significant intercompany balances and transactions have been eliminated.</w:t>
      </w:r>
    </w:p>
    <w:p>
      <w:pPr>
        <w:spacing w:after="0" w:line="187" w:lineRule="exact"/>
        <w:rPr>
          <w:sz w:val="20"/>
          <w:szCs w:val="20"/>
          <w:color w:val="auto"/>
        </w:rPr>
      </w:pPr>
    </w:p>
    <w:p>
      <w:pPr>
        <w:ind w:left="980" w:hanging="613"/>
        <w:spacing w:after="0"/>
        <w:tabs>
          <w:tab w:leader="none" w:pos="98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Use of Estimates</w:t>
      </w:r>
    </w:p>
    <w:p>
      <w:pPr>
        <w:spacing w:after="0" w:line="164" w:lineRule="exact"/>
        <w:rPr>
          <w:sz w:val="20"/>
          <w:szCs w:val="20"/>
          <w:color w:val="auto"/>
        </w:rPr>
      </w:pPr>
    </w:p>
    <w:p>
      <w:pPr>
        <w:ind w:right="80" w:firstLine="365"/>
        <w:spacing w:after="0" w:line="294"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122" w:lineRule="exact"/>
        <w:rPr>
          <w:sz w:val="20"/>
          <w:szCs w:val="20"/>
          <w:color w:val="auto"/>
        </w:rPr>
      </w:pPr>
    </w:p>
    <w:p>
      <w:pPr>
        <w:ind w:left="980" w:hanging="613"/>
        <w:spacing w:after="0"/>
        <w:tabs>
          <w:tab w:leader="none" w:pos="98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Remaining Performance Obligations</w:t>
      </w:r>
    </w:p>
    <w:p>
      <w:pPr>
        <w:spacing w:after="0" w:line="164" w:lineRule="exact"/>
        <w:rPr>
          <w:sz w:val="20"/>
          <w:szCs w:val="20"/>
          <w:color w:val="auto"/>
        </w:rPr>
      </w:pPr>
    </w:p>
    <w:p>
      <w:pPr>
        <w:ind w:right="20" w:firstLine="365"/>
        <w:spacing w:after="0" w:line="259" w:lineRule="auto"/>
        <w:rPr>
          <w:sz w:val="20"/>
          <w:szCs w:val="20"/>
          <w:color w:val="auto"/>
        </w:rPr>
      </w:pPr>
      <w:r>
        <w:rPr>
          <w:rFonts w:ascii="Arial" w:cs="Arial" w:eastAsia="Arial" w:hAnsi="Arial"/>
          <w:sz w:val="14"/>
          <w:szCs w:val="14"/>
          <w:color w:val="auto"/>
        </w:rPr>
        <w:t>Revenue allocated to remaining performance obligations for contracts with durations of more than one year was $140.8 million as of June 30, 2022, of which 69% is expected to be recognized over the next 12 months and 95% is expected to be recognized over the next 24 months.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980" w:hanging="613"/>
        <w:spacing w:after="0"/>
        <w:tabs>
          <w:tab w:leader="none" w:pos="98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Deferred Revenue and Customer Deposits</w:t>
      </w:r>
    </w:p>
    <w:p>
      <w:pPr>
        <w:spacing w:after="0" w:line="164" w:lineRule="exact"/>
        <w:rPr>
          <w:sz w:val="20"/>
          <w:szCs w:val="20"/>
          <w:color w:val="auto"/>
        </w:rPr>
      </w:pPr>
    </w:p>
    <w:p>
      <w:pPr>
        <w:ind w:right="40" w:firstLine="365"/>
        <w:spacing w:after="0" w:line="302" w:lineRule="auto"/>
        <w:rPr>
          <w:sz w:val="20"/>
          <w:szCs w:val="20"/>
          <w:color w:val="auto"/>
        </w:rPr>
      </w:pPr>
      <w:r>
        <w:rPr>
          <w:rFonts w:ascii="Arial" w:cs="Arial" w:eastAsia="Arial" w:hAnsi="Arial"/>
          <w:sz w:val="12"/>
          <w:szCs w:val="12"/>
          <w:color w:val="auto"/>
        </w:rPr>
        <w:t>As of June 30, 2022 and December 31, 2021, the Company recorded $137.8 million and $141.5 million as its deferred revenue and customer deposits, respectively, that are included in deferred revenue and customer deposits and other long-term liabilities in the accompanying condensed consolidated balance sheets. During the three months ended June 30, 2022 and 2021, the Company recognized $29.9 million and $16.4 million of revenue, respectively, that was included in the deferred revenue and customer deposits balance as of the end of the previous year. During the six months ended June 30, 2022 and 2021, the Company recognized $94.7 million and $44.3 million of revenue, respectively, that was included in the deferred revenue and customer deposits balance as of the end of the previous year.</w:t>
      </w:r>
    </w:p>
    <w:p>
      <w:pPr>
        <w:spacing w:after="0" w:line="117" w:lineRule="exact"/>
        <w:rPr>
          <w:sz w:val="20"/>
          <w:szCs w:val="20"/>
          <w:color w:val="auto"/>
        </w:rPr>
      </w:pPr>
    </w:p>
    <w:p>
      <w:pPr>
        <w:ind w:left="960" w:hanging="593"/>
        <w:spacing w:after="0"/>
        <w:tabs>
          <w:tab w:leader="none" w:pos="96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Deferred Sales Commissions</w:t>
      </w:r>
    </w:p>
    <w:p>
      <w:pPr>
        <w:spacing w:after="0" w:line="164" w:lineRule="exact"/>
        <w:rPr>
          <w:sz w:val="20"/>
          <w:szCs w:val="20"/>
          <w:color w:val="auto"/>
        </w:rPr>
      </w:pPr>
    </w:p>
    <w:p>
      <w:pPr>
        <w:ind w:right="100" w:firstLine="365"/>
        <w:spacing w:after="0" w:line="168" w:lineRule="exact"/>
        <w:rPr>
          <w:sz w:val="20"/>
          <w:szCs w:val="20"/>
          <w:color w:val="auto"/>
        </w:rPr>
      </w:pPr>
      <w:r>
        <w:rPr>
          <w:rFonts w:ascii="Arial" w:cs="Arial" w:eastAsia="Arial" w:hAnsi="Arial"/>
          <w:sz w:val="14"/>
          <w:szCs w:val="14"/>
          <w:color w:val="auto"/>
        </w:rPr>
        <w:t>Total net capitalized commission costs as of June 30, 2022 and December 31, 2021, were $212.4 million and $193.4 million, respectively, and are included in prepaid expenses and other current assets and other long</w:t>
      </w:r>
      <w:r>
        <w:rPr>
          <w:rFonts w:ascii="MS PGothic" w:cs="MS PGothic" w:eastAsia="MS PGothic" w:hAnsi="MS PGothic"/>
          <w:sz w:val="14"/>
          <w:szCs w:val="14"/>
          <w:color w:val="auto"/>
        </w:rPr>
        <w:t>‑</w:t>
      </w:r>
      <w:r>
        <w:rPr>
          <w:rFonts w:ascii="Arial" w:cs="Arial" w:eastAsia="Arial" w:hAnsi="Arial"/>
          <w:sz w:val="14"/>
          <w:szCs w:val="14"/>
          <w:color w:val="auto"/>
        </w:rPr>
        <w:t>term assets in the accompanying condensed consolidated balance sheets.</w:t>
      </w:r>
    </w:p>
    <w:p>
      <w:pPr>
        <w:spacing w:after="0" w:line="153" w:lineRule="exact"/>
        <w:rPr>
          <w:sz w:val="20"/>
          <w:szCs w:val="20"/>
          <w:color w:val="auto"/>
        </w:rPr>
      </w:pPr>
    </w:p>
    <w:p>
      <w:pPr>
        <w:ind w:left="980" w:hanging="613"/>
        <w:spacing w:after="0"/>
        <w:tabs>
          <w:tab w:leader="none" w:pos="98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Concentration of Credit Risk</w:t>
      </w:r>
    </w:p>
    <w:p>
      <w:pPr>
        <w:spacing w:after="0" w:line="164" w:lineRule="exact"/>
        <w:rPr>
          <w:sz w:val="20"/>
          <w:szCs w:val="20"/>
          <w:color w:val="auto"/>
        </w:rPr>
      </w:pPr>
    </w:p>
    <w:p>
      <w:pPr>
        <w:jc w:val="both"/>
        <w:ind w:firstLine="365"/>
        <w:spacing w:after="0" w:line="250" w:lineRule="auto"/>
        <w:rPr>
          <w:sz w:val="20"/>
          <w:szCs w:val="20"/>
          <w:color w:val="auto"/>
        </w:rPr>
      </w:pPr>
      <w:r>
        <w:rPr>
          <w:rFonts w:ascii="Arial" w:cs="Arial" w:eastAsia="Arial" w:hAnsi="Arial"/>
          <w:sz w:val="14"/>
          <w:szCs w:val="14"/>
          <w:color w:val="auto"/>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that management believes are financially sound and have minimal credit risk exposure although the balances will exceed insured limits.</w:t>
      </w:r>
    </w:p>
    <w:p>
      <w:pPr>
        <w:spacing w:after="0" w:line="146" w:lineRule="exact"/>
        <w:rPr>
          <w:sz w:val="20"/>
          <w:szCs w:val="20"/>
          <w:color w:val="auto"/>
        </w:rPr>
      </w:pPr>
    </w:p>
    <w:p>
      <w:pPr>
        <w:ind w:right="60" w:firstLine="365"/>
        <w:spacing w:after="0" w:line="247" w:lineRule="auto"/>
        <w:rPr>
          <w:sz w:val="20"/>
          <w:szCs w:val="20"/>
          <w:color w:val="auto"/>
        </w:rPr>
      </w:pPr>
      <w:r>
        <w:rPr>
          <w:rFonts w:ascii="Arial" w:cs="Arial" w:eastAsia="Arial" w:hAnsi="Arial"/>
          <w:sz w:val="14"/>
          <w:szCs w:val="14"/>
          <w:color w:val="auto"/>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The Company does not require collateral from its credit customers and maintains reserves for estimated credit losses on customer accounts when considered necessary. Actual credit losses may differ from the Company’s estimates. During the three and six months ended June 30, 2022 and 2021, no customer organization accounted for more than 10% of the Company’s total revenue.</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2022 and December 31, 2021, no customer organization represented more than 10% of the Company’s gross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960" w:hanging="593"/>
        <w:spacing w:after="0"/>
        <w:tabs>
          <w:tab w:leader="none" w:pos="96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Changes to Significant Accounting Policies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i w:val="1"/>
          <w:iCs w:val="1"/>
          <w:u w:val="single" w:color="auto"/>
          <w:color w:val="auto"/>
        </w:rPr>
        <w:t>Equity Method Investments</w:t>
      </w:r>
    </w:p>
    <w:p>
      <w:pPr>
        <w:spacing w:after="0" w:line="164" w:lineRule="exact"/>
        <w:rPr>
          <w:sz w:val="20"/>
          <w:szCs w:val="20"/>
          <w:color w:val="auto"/>
        </w:rPr>
      </w:pPr>
    </w:p>
    <w:p>
      <w:pPr>
        <w:ind w:right="20" w:firstLine="365"/>
        <w:spacing w:after="0" w:line="289" w:lineRule="auto"/>
        <w:rPr>
          <w:sz w:val="20"/>
          <w:szCs w:val="20"/>
          <w:color w:val="auto"/>
        </w:rPr>
      </w:pPr>
      <w:r>
        <w:rPr>
          <w:rFonts w:ascii="Arial" w:cs="Arial" w:eastAsia="Arial" w:hAnsi="Arial"/>
          <w:sz w:val="12"/>
          <w:szCs w:val="12"/>
          <w:color w:val="auto"/>
        </w:rPr>
        <w:t>Equity investment holdings in which the Company does not have a controlling financial interest in the investee but does exercise significant influence are accounted for under the equity method. Under this method, the investment, originally recorded at cost, is adjusted to recognize the Company’s share of net earnings or losses of the investee as they occur. Losses are limited to the extent of the Company’s investment in, advances to and commitments for the investee. The Company determines the difference between its purchase price and its share of the carrying amount of net equity of the investee, which results in an excess basis in the investment. This excess basis is allocated to the identifiable assets and liabilities of the investee utilizing purchase accounting principles and is recorded within memo accounts that are then used to calculate the equity method adjustments every reporting period. Depending on the nature of the underlying identifiable assets and liabilities, the allocated excess basis amounts are either amortized over the applicable useful lives or determined to be indefinite lived. The Company elected to record the equity method adjustments on a one-quarter lag. The Company evaluates equity method investments for impairment whenever events or changes in circumstance indicate that the carrying amounts of such investments may be impaired. When such indicators exist, the other-than-temporary impairment model is utilized, which considers the severity and duration of a decline in fair value below book value and the Company’s ability and intent to hold the investment for a sufficient period of time to allow for recovery. If a decline in the value of an equity method investment is determined to be other than temporary, a loss is recorded in the current period.</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have been no other changes to the Company’s significant accounting policies as described in its Annual Report.</w:t>
      </w:r>
    </w:p>
    <w:p>
      <w:pPr>
        <w:spacing w:after="0" w:line="164" w:lineRule="exact"/>
        <w:rPr>
          <w:sz w:val="20"/>
          <w:szCs w:val="20"/>
          <w:color w:val="auto"/>
        </w:rPr>
      </w:pPr>
    </w:p>
    <w:p>
      <w:pPr>
        <w:ind w:left="980" w:hanging="613"/>
        <w:spacing w:after="0"/>
        <w:tabs>
          <w:tab w:leader="none" w:pos="98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Recently Adopted Accounting Guidance</w:t>
      </w:r>
    </w:p>
    <w:p>
      <w:pPr>
        <w:spacing w:after="0" w:line="164" w:lineRule="exact"/>
        <w:rPr>
          <w:sz w:val="20"/>
          <w:szCs w:val="20"/>
          <w:color w:val="auto"/>
        </w:rPr>
      </w:pPr>
    </w:p>
    <w:p>
      <w:pPr>
        <w:ind w:right="20" w:firstLine="365"/>
        <w:spacing w:after="0" w:line="245" w:lineRule="auto"/>
        <w:rPr>
          <w:sz w:val="20"/>
          <w:szCs w:val="20"/>
          <w:color w:val="auto"/>
        </w:rPr>
      </w:pPr>
      <w:r>
        <w:rPr>
          <w:rFonts w:ascii="Arial" w:cs="Arial" w:eastAsia="Arial" w:hAnsi="Arial"/>
          <w:sz w:val="14"/>
          <w:szCs w:val="14"/>
          <w:color w:val="auto"/>
        </w:rPr>
        <w:t>In October 2021, the Financial Accounting Standards Board (“FASB”) issued Accounting Standards Update (“ASU”) 2021-08, “Business Combinations (Topic 805): Accounting for Contract Assets and Contract Liabilities from Contracts with Customers,” which requires that an entity recognize and measure contract assets and contract liabilities acquired in a business combination in accordance with ASC 606, "Revenue from Contracts with Customers." At the acquisition date, an acquirer should account for the related revenue contracts as if it had originated the contracts. Generally, this should result in an acquirer recognizing and measuring the acquired contract assets and contract liabilities consistent with how they were recognized and measured in the acquiree's financial statements, assuming the acquirer is able to assess and rely on how the acquiree applied ASC 606. The Company adopted ASU 2021-08 in the first quarter of 2022 with no material impact to the Company's condensed consolidated financial statements.</w:t>
      </w:r>
    </w:p>
    <w:p>
      <w:pPr>
        <w:spacing w:after="0" w:line="331" w:lineRule="exact"/>
        <w:rPr>
          <w:sz w:val="20"/>
          <w:szCs w:val="20"/>
          <w:color w:val="auto"/>
        </w:rPr>
      </w:pPr>
    </w:p>
    <w:p>
      <w:pPr>
        <w:ind w:left="360" w:right="9660" w:hanging="359"/>
        <w:spacing w:after="0" w:line="566" w:lineRule="auto"/>
        <w:tabs>
          <w:tab w:leader="none" w:pos="130"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Fair Value Measurements </w:t>
      </w:r>
      <w:r>
        <w:rPr>
          <w:rFonts w:ascii="Arial" w:cs="Arial" w:eastAsia="Arial" w:hAnsi="Arial"/>
          <w:sz w:val="12"/>
          <w:szCs w:val="12"/>
          <w:i w:val="1"/>
          <w:iCs w:val="1"/>
          <w:color w:val="auto"/>
        </w:rPr>
        <w:t>Financial Assets</w:t>
      </w:r>
    </w:p>
    <w:p>
      <w:pPr>
        <w:ind w:left="360"/>
        <w:spacing w:after="0"/>
        <w:rPr>
          <w:rFonts w:ascii="Arial" w:cs="Arial" w:eastAsia="Arial" w:hAnsi="Arial"/>
          <w:sz w:val="12"/>
          <w:szCs w:val="12"/>
          <w:b w:val="1"/>
          <w:bCs w:val="1"/>
          <w:color w:val="auto"/>
        </w:rPr>
      </w:pPr>
      <w:r>
        <w:rPr>
          <w:rFonts w:ascii="Arial" w:cs="Arial" w:eastAsia="Arial" w:hAnsi="Arial"/>
          <w:sz w:val="14"/>
          <w:szCs w:val="14"/>
          <w:color w:val="auto"/>
        </w:rPr>
        <w:t>The following tables provide the financial assets measured at fair value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5"/>
              </w:rPr>
              <w:t>Amortized</w:t>
            </w:r>
          </w:p>
        </w:tc>
        <w:tc>
          <w:tcPr>
            <w:tcW w:w="18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2"/>
              </w:rPr>
              <w:t>Gross</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84"/>
              </w:rPr>
              <w:t>Gross</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9"/>
                <w:szCs w:val="9"/>
                <w:b w:val="1"/>
                <w:bCs w:val="1"/>
                <w:color w:val="auto"/>
                <w:w w:val="97"/>
              </w:rPr>
              <w:t>Fair Value Hierarchy as of</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280"/>
              <w:spacing w:after="0" w:line="91" w:lineRule="exact"/>
              <w:rPr>
                <w:sz w:val="20"/>
                <w:szCs w:val="20"/>
                <w:color w:val="auto"/>
              </w:rPr>
            </w:pPr>
            <w:r>
              <w:rPr>
                <w:rFonts w:ascii="Arial" w:cs="Arial" w:eastAsia="Arial" w:hAnsi="Arial"/>
                <w:sz w:val="9"/>
                <w:szCs w:val="9"/>
                <w:b w:val="1"/>
                <w:bCs w:val="1"/>
                <w:color w:val="auto"/>
                <w:w w:val="95"/>
              </w:rPr>
              <w:t>Cost or</w:t>
            </w:r>
          </w:p>
        </w:tc>
        <w:tc>
          <w:tcPr>
            <w:tcW w:w="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5"/>
              </w:rPr>
              <w:t>June 30, 2022</w:t>
            </w: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tcPr>
          <w:p>
            <w:pPr>
              <w:jc w:val="center"/>
              <w:ind w:right="280"/>
              <w:spacing w:after="0" w:line="41" w:lineRule="exact"/>
              <w:rPr>
                <w:sz w:val="20"/>
                <w:szCs w:val="20"/>
                <w:color w:val="auto"/>
              </w:rPr>
            </w:pPr>
            <w:r>
              <w:rPr>
                <w:rFonts w:ascii="Arial" w:cs="Arial" w:eastAsia="Arial" w:hAnsi="Arial"/>
                <w:sz w:val="4"/>
                <w:szCs w:val="4"/>
                <w:b w:val="1"/>
                <w:bCs w:val="1"/>
                <w:color w:val="auto"/>
              </w:rPr>
              <w:t>Carrying</w:t>
            </w:r>
          </w:p>
        </w:tc>
        <w:tc>
          <w:tcPr>
            <w:tcW w:w="180" w:type="dxa"/>
            <w:vAlign w:val="bottom"/>
          </w:tcPr>
          <w:p>
            <w:pPr>
              <w:spacing w:after="0"/>
              <w:rPr>
                <w:sz w:val="3"/>
                <w:szCs w:val="3"/>
                <w:color w:val="auto"/>
              </w:rPr>
            </w:pPr>
          </w:p>
        </w:tc>
        <w:tc>
          <w:tcPr>
            <w:tcW w:w="900" w:type="dxa"/>
            <w:vAlign w:val="bottom"/>
            <w:gridSpan w:val="2"/>
          </w:tcPr>
          <w:p>
            <w:pPr>
              <w:jc w:val="center"/>
              <w:ind w:right="260"/>
              <w:spacing w:after="0" w:line="41" w:lineRule="exact"/>
              <w:rPr>
                <w:sz w:val="20"/>
                <w:szCs w:val="20"/>
                <w:color w:val="auto"/>
              </w:rPr>
            </w:pPr>
            <w:r>
              <w:rPr>
                <w:rFonts w:ascii="Arial" w:cs="Arial" w:eastAsia="Arial" w:hAnsi="Arial"/>
                <w:sz w:val="4"/>
                <w:szCs w:val="4"/>
                <w:b w:val="1"/>
                <w:bCs w:val="1"/>
                <w:color w:val="auto"/>
              </w:rPr>
              <w:t>Unrealized</w:t>
            </w:r>
          </w:p>
        </w:tc>
        <w:tc>
          <w:tcPr>
            <w:tcW w:w="160" w:type="dxa"/>
            <w:vAlign w:val="bottom"/>
          </w:tcPr>
          <w:p>
            <w:pPr>
              <w:spacing w:after="0"/>
              <w:rPr>
                <w:sz w:val="3"/>
                <w:szCs w:val="3"/>
                <w:color w:val="auto"/>
              </w:rPr>
            </w:pPr>
          </w:p>
        </w:tc>
        <w:tc>
          <w:tcPr>
            <w:tcW w:w="920" w:type="dxa"/>
            <w:vAlign w:val="bottom"/>
            <w:gridSpan w:val="2"/>
          </w:tcPr>
          <w:p>
            <w:pPr>
              <w:jc w:val="center"/>
              <w:ind w:right="240"/>
              <w:spacing w:after="0" w:line="41" w:lineRule="exact"/>
              <w:rPr>
                <w:sz w:val="20"/>
                <w:szCs w:val="20"/>
                <w:color w:val="auto"/>
              </w:rPr>
            </w:pPr>
            <w:r>
              <w:rPr>
                <w:rFonts w:ascii="Arial" w:cs="Arial" w:eastAsia="Arial" w:hAnsi="Arial"/>
                <w:sz w:val="4"/>
                <w:szCs w:val="4"/>
                <w:b w:val="1"/>
                <w:bCs w:val="1"/>
                <w:color w:val="auto"/>
              </w:rPr>
              <w:t>Unrealized</w:t>
            </w: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jc w:val="right"/>
              <w:ind w:right="230"/>
              <w:spacing w:after="0" w:line="41" w:lineRule="exact"/>
              <w:rPr>
                <w:sz w:val="20"/>
                <w:szCs w:val="20"/>
                <w:color w:val="auto"/>
              </w:rPr>
            </w:pPr>
            <w:r>
              <w:rPr>
                <w:rFonts w:ascii="Arial" w:cs="Arial" w:eastAsia="Arial" w:hAnsi="Arial"/>
                <w:sz w:val="4"/>
                <w:szCs w:val="4"/>
                <w:b w:val="1"/>
                <w:bCs w:val="1"/>
                <w:color w:val="auto"/>
              </w:rPr>
              <w:t>Aggregate</w:t>
            </w:r>
          </w:p>
        </w:tc>
        <w:tc>
          <w:tcPr>
            <w:tcW w:w="0" w:type="dxa"/>
            <w:vAlign w:val="bottom"/>
          </w:tcPr>
          <w:p>
            <w:pPr>
              <w:spacing w:after="0"/>
              <w:rPr>
                <w:sz w:val="1"/>
                <w:szCs w:val="1"/>
                <w:color w:val="auto"/>
              </w:rPr>
            </w:pPr>
          </w:p>
        </w:tc>
      </w:tr>
      <w:tr>
        <w:trPr>
          <w:trHeight w:val="127"/>
        </w:trPr>
        <w:tc>
          <w:tcPr>
            <w:tcW w:w="38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w w:val="91"/>
              </w:rPr>
              <w:t>Value</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9"/>
                <w:szCs w:val="9"/>
                <w:b w:val="1"/>
                <w:bCs w:val="1"/>
                <w:color w:val="auto"/>
                <w:w w:val="95"/>
              </w:rPr>
              <w:t>Gains</w:t>
            </w: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9"/>
                <w:szCs w:val="9"/>
                <w:b w:val="1"/>
                <w:bCs w:val="1"/>
                <w:color w:val="auto"/>
                <w:w w:val="83"/>
              </w:rPr>
              <w:t>Losses</w:t>
            </w: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87"/>
              <w:spacing w:after="0"/>
              <w:rPr>
                <w:sz w:val="20"/>
                <w:szCs w:val="20"/>
                <w:color w:val="auto"/>
              </w:rPr>
            </w:pPr>
            <w:r>
              <w:rPr>
                <w:rFonts w:ascii="Arial" w:cs="Arial" w:eastAsia="Arial" w:hAnsi="Arial"/>
                <w:sz w:val="9"/>
                <w:szCs w:val="9"/>
                <w:b w:val="1"/>
                <w:bCs w:val="1"/>
                <w:color w:val="auto"/>
              </w:rPr>
              <w:t>Level 1</w:t>
            </w: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9"/>
                <w:szCs w:val="9"/>
                <w:b w:val="1"/>
                <w:bCs w:val="1"/>
                <w:color w:val="auto"/>
                <w:w w:val="91"/>
              </w:rPr>
              <w:t>Level 2</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9"/>
                <w:szCs w:val="9"/>
                <w:b w:val="1"/>
                <w:bCs w:val="1"/>
                <w:color w:val="auto"/>
              </w:rPr>
              <w:t>Level 3</w:t>
            </w: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9"/>
                <w:szCs w:val="9"/>
                <w:b w:val="1"/>
                <w:bCs w:val="1"/>
                <w:color w:val="auto"/>
              </w:rPr>
              <w:t>Fair Value</w:t>
            </w:r>
          </w:p>
        </w:tc>
        <w:tc>
          <w:tcPr>
            <w:tcW w:w="0" w:type="dxa"/>
            <w:vAlign w:val="bottom"/>
          </w:tcPr>
          <w:p>
            <w:pPr>
              <w:spacing w:after="0"/>
              <w:rPr>
                <w:sz w:val="1"/>
                <w:szCs w:val="1"/>
                <w:color w:val="auto"/>
              </w:rPr>
            </w:pPr>
          </w:p>
        </w:tc>
      </w:tr>
      <w:tr>
        <w:trPr>
          <w:trHeight w:val="137"/>
        </w:trPr>
        <w:tc>
          <w:tcPr>
            <w:tcW w:w="38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Financial Assets:</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96"/>
              </w:rPr>
              <w:t>(In thousands)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80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Money market funds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1"/>
                <w:szCs w:val="11"/>
                <w:color w:val="auto"/>
              </w:rPr>
              <w:t>131,658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131,658</w:t>
            </w:r>
          </w:p>
        </w:tc>
        <w:tc>
          <w:tcPr>
            <w:tcW w:w="240" w:type="dxa"/>
            <w:vAlign w:val="bottom"/>
            <w:gridSpan w:val="2"/>
            <w:shd w:val="clear" w:color="auto" w:fill="CCEEFF"/>
          </w:tcPr>
          <w:p>
            <w:pPr>
              <w:jc w:val="right"/>
              <w:ind w:right="31"/>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131,658</w:t>
            </w:r>
          </w:p>
        </w:tc>
        <w:tc>
          <w:tcPr>
            <w:tcW w:w="0" w:type="dxa"/>
            <w:vAlign w:val="bottom"/>
          </w:tcPr>
          <w:p>
            <w:pPr>
              <w:spacing w:after="0"/>
              <w:rPr>
                <w:sz w:val="1"/>
                <w:szCs w:val="1"/>
                <w:color w:val="auto"/>
              </w:rPr>
            </w:pPr>
          </w:p>
        </w:tc>
      </w:tr>
      <w:tr>
        <w:trPr>
          <w:trHeight w:val="139"/>
        </w:trPr>
        <w:tc>
          <w:tcPr>
            <w:tcW w:w="3800" w:type="dxa"/>
            <w:vAlign w:val="bottom"/>
          </w:tcPr>
          <w:p>
            <w:pPr>
              <w:ind w:left="160"/>
              <w:spacing w:after="0"/>
              <w:rPr>
                <w:sz w:val="20"/>
                <w:szCs w:val="20"/>
                <w:color w:val="auto"/>
              </w:rPr>
            </w:pPr>
            <w:r>
              <w:rPr>
                <w:rFonts w:ascii="Arial" w:cs="Arial" w:eastAsia="Arial" w:hAnsi="Arial"/>
                <w:sz w:val="11"/>
                <w:szCs w:val="11"/>
                <w:color w:val="auto"/>
              </w:rPr>
              <w:t>Commercial paper</w:t>
            </w:r>
          </w:p>
        </w:tc>
        <w:tc>
          <w:tcPr>
            <w:tcW w:w="180" w:type="dxa"/>
            <w:vAlign w:val="bottom"/>
          </w:tcPr>
          <w:p>
            <w:pPr>
              <w:spacing w:after="0"/>
              <w:rPr>
                <w:sz w:val="12"/>
                <w:szCs w:val="12"/>
                <w:color w:val="auto"/>
              </w:rPr>
            </w:pPr>
          </w:p>
        </w:tc>
        <w:tc>
          <w:tcPr>
            <w:tcW w:w="820" w:type="dxa"/>
            <w:vAlign w:val="bottom"/>
          </w:tcPr>
          <w:p>
            <w:pPr>
              <w:jc w:val="right"/>
              <w:ind w:right="11"/>
              <w:spacing w:after="0"/>
              <w:rPr>
                <w:sz w:val="20"/>
                <w:szCs w:val="20"/>
                <w:color w:val="auto"/>
              </w:rPr>
            </w:pPr>
            <w:r>
              <w:rPr>
                <w:rFonts w:ascii="Arial" w:cs="Arial" w:eastAsia="Arial" w:hAnsi="Arial"/>
                <w:sz w:val="11"/>
                <w:szCs w:val="11"/>
                <w:color w:val="auto"/>
              </w:rPr>
              <w:t>125,645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7"/>
              <w:spacing w:after="0"/>
              <w:rPr>
                <w:sz w:val="20"/>
                <w:szCs w:val="20"/>
                <w:color w:val="auto"/>
              </w:rPr>
            </w:pPr>
            <w:r>
              <w:rPr>
                <w:rFonts w:ascii="Arial" w:cs="Arial" w:eastAsia="Arial" w:hAnsi="Arial"/>
                <w:sz w:val="11"/>
                <w:szCs w:val="11"/>
                <w:color w:val="auto"/>
              </w:rPr>
              <w:t>125,645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125,645</w:t>
            </w:r>
          </w:p>
        </w:tc>
        <w:tc>
          <w:tcPr>
            <w:tcW w:w="0" w:type="dxa"/>
            <w:vAlign w:val="bottom"/>
          </w:tcPr>
          <w:p>
            <w:pPr>
              <w:spacing w:after="0"/>
              <w:rPr>
                <w:sz w:val="1"/>
                <w:szCs w:val="1"/>
                <w:color w:val="auto"/>
              </w:rPr>
            </w:pPr>
          </w:p>
        </w:tc>
      </w:tr>
      <w:tr>
        <w:trPr>
          <w:trHeight w:val="135"/>
        </w:trPr>
        <w:tc>
          <w:tcPr>
            <w:tcW w:w="3800" w:type="dxa"/>
            <w:vAlign w:val="bottom"/>
            <w:tcBorders>
              <w:top w:val="single" w:sz="8" w:color="CCEEFF"/>
            </w:tcBorders>
            <w:shd w:val="clear" w:color="auto" w:fill="CCEEFF"/>
          </w:tcPr>
          <w:p>
            <w:pPr>
              <w:ind w:left="340"/>
              <w:spacing w:after="0" w:line="120" w:lineRule="exact"/>
              <w:rPr>
                <w:sz w:val="20"/>
                <w:szCs w:val="20"/>
                <w:color w:val="auto"/>
              </w:rPr>
            </w:pPr>
            <w:r>
              <w:rPr>
                <w:rFonts w:ascii="Arial" w:cs="Arial" w:eastAsia="Arial" w:hAnsi="Arial"/>
                <w:sz w:val="11"/>
                <w:szCs w:val="11"/>
                <w:color w:val="auto"/>
              </w:rPr>
              <w:t>Total included in cash and cash equivalents</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1"/>
                <w:szCs w:val="11"/>
                <w:color w:val="auto"/>
              </w:rPr>
              <w:t>257,303</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131,658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125,645</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257,303</w:t>
            </w:r>
          </w:p>
        </w:tc>
        <w:tc>
          <w:tcPr>
            <w:tcW w:w="0" w:type="dxa"/>
            <w:vAlign w:val="bottom"/>
          </w:tcPr>
          <w:p>
            <w:pPr>
              <w:spacing w:after="0"/>
              <w:rPr>
                <w:sz w:val="1"/>
                <w:szCs w:val="1"/>
                <w:color w:val="auto"/>
              </w:rPr>
            </w:pPr>
          </w:p>
        </w:tc>
      </w:tr>
      <w:tr>
        <w:trPr>
          <w:trHeight w:val="119"/>
        </w:trPr>
        <w:tc>
          <w:tcPr>
            <w:tcW w:w="3800" w:type="dxa"/>
            <w:vAlign w:val="bottom"/>
          </w:tcPr>
          <w:p>
            <w:pPr>
              <w:ind w:left="20"/>
              <w:spacing w:after="0" w:line="116" w:lineRule="exact"/>
              <w:rPr>
                <w:sz w:val="20"/>
                <w:szCs w:val="20"/>
                <w:color w:val="auto"/>
              </w:rPr>
            </w:pPr>
            <w:r>
              <w:rPr>
                <w:rFonts w:ascii="Arial" w:cs="Arial" w:eastAsia="Arial" w:hAnsi="Arial"/>
                <w:sz w:val="11"/>
                <w:szCs w:val="11"/>
                <w:color w:val="auto"/>
              </w:rPr>
              <w:t>Marketable securities:</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U.S. Treasury securities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1"/>
                <w:szCs w:val="11"/>
                <w:color w:val="auto"/>
              </w:rPr>
              <w:t>464,902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452,791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452,791</w:t>
            </w:r>
          </w:p>
        </w:tc>
        <w:tc>
          <w:tcPr>
            <w:tcW w:w="0" w:type="dxa"/>
            <w:vAlign w:val="bottom"/>
          </w:tcPr>
          <w:p>
            <w:pPr>
              <w:spacing w:after="0"/>
              <w:rPr>
                <w:sz w:val="1"/>
                <w:szCs w:val="1"/>
                <w:color w:val="auto"/>
              </w:rPr>
            </w:pPr>
          </w:p>
        </w:tc>
      </w:tr>
      <w:tr>
        <w:trPr>
          <w:trHeight w:val="139"/>
        </w:trPr>
        <w:tc>
          <w:tcPr>
            <w:tcW w:w="3800" w:type="dxa"/>
            <w:vAlign w:val="bottom"/>
          </w:tcPr>
          <w:p>
            <w:pPr>
              <w:ind w:left="160"/>
              <w:spacing w:after="0"/>
              <w:rPr>
                <w:sz w:val="20"/>
                <w:szCs w:val="20"/>
                <w:color w:val="auto"/>
              </w:rPr>
            </w:pPr>
            <w:r>
              <w:rPr>
                <w:rFonts w:ascii="Arial" w:cs="Arial" w:eastAsia="Arial" w:hAnsi="Arial"/>
                <w:sz w:val="11"/>
                <w:szCs w:val="11"/>
                <w:color w:val="auto"/>
              </w:rPr>
              <w:t>Non-U.S. government securities</w:t>
            </w:r>
          </w:p>
        </w:tc>
        <w:tc>
          <w:tcPr>
            <w:tcW w:w="180" w:type="dxa"/>
            <w:vAlign w:val="bottom"/>
          </w:tcPr>
          <w:p>
            <w:pPr>
              <w:spacing w:after="0"/>
              <w:rPr>
                <w:sz w:val="12"/>
                <w:szCs w:val="12"/>
                <w:color w:val="auto"/>
              </w:rPr>
            </w:pPr>
          </w:p>
        </w:tc>
        <w:tc>
          <w:tcPr>
            <w:tcW w:w="820" w:type="dxa"/>
            <w:vAlign w:val="bottom"/>
          </w:tcPr>
          <w:p>
            <w:pPr>
              <w:jc w:val="right"/>
              <w:ind w:right="11"/>
              <w:spacing w:after="0"/>
              <w:rPr>
                <w:sz w:val="20"/>
                <w:szCs w:val="20"/>
                <w:color w:val="auto"/>
              </w:rPr>
            </w:pPr>
            <w:r>
              <w:rPr>
                <w:rFonts w:ascii="Arial" w:cs="Arial" w:eastAsia="Arial" w:hAnsi="Arial"/>
                <w:sz w:val="11"/>
                <w:szCs w:val="11"/>
                <w:color w:val="auto"/>
              </w:rPr>
              <w:t>157,715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(5,816)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151,901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151,901</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Corporate debt securities and commercial paper</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1"/>
                <w:szCs w:val="11"/>
                <w:color w:val="auto"/>
              </w:rPr>
              <w:t>3,071,733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(82,905)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2,977,967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2,988,967</w:t>
            </w:r>
          </w:p>
        </w:tc>
        <w:tc>
          <w:tcPr>
            <w:tcW w:w="0" w:type="dxa"/>
            <w:vAlign w:val="bottom"/>
          </w:tcPr>
          <w:p>
            <w:pPr>
              <w:spacing w:after="0"/>
              <w:rPr>
                <w:sz w:val="1"/>
                <w:szCs w:val="1"/>
                <w:color w:val="auto"/>
              </w:rPr>
            </w:pPr>
          </w:p>
        </w:tc>
      </w:tr>
      <w:tr>
        <w:trPr>
          <w:trHeight w:val="129"/>
        </w:trPr>
        <w:tc>
          <w:tcPr>
            <w:tcW w:w="3800" w:type="dxa"/>
            <w:vAlign w:val="bottom"/>
            <w:tcBorders>
              <w:bottom w:val="single" w:sz="8" w:color="CCEEFF"/>
            </w:tcBorders>
          </w:tcPr>
          <w:p>
            <w:pPr>
              <w:ind w:left="340"/>
              <w:spacing w:after="0" w:line="116" w:lineRule="exact"/>
              <w:rPr>
                <w:sz w:val="20"/>
                <w:szCs w:val="20"/>
                <w:color w:val="auto"/>
              </w:rPr>
            </w:pPr>
            <w:r>
              <w:rPr>
                <w:rFonts w:ascii="Arial" w:cs="Arial" w:eastAsia="Arial" w:hAnsi="Arial"/>
                <w:sz w:val="11"/>
                <w:szCs w:val="11"/>
                <w:color w:val="auto"/>
              </w:rPr>
              <w:t>Total marketable securities</w:t>
            </w: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1"/>
                <w:szCs w:val="11"/>
                <w:color w:val="auto"/>
              </w:rPr>
              <w:t>3,694,350</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(100,832)</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615,692</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2,977,967</w:t>
            </w:r>
          </w:p>
        </w:tc>
        <w:tc>
          <w:tcPr>
            <w:tcW w:w="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3,593,659</w:t>
            </w:r>
          </w:p>
        </w:tc>
        <w:tc>
          <w:tcPr>
            <w:tcW w:w="0" w:type="dxa"/>
            <w:vAlign w:val="bottom"/>
          </w:tcPr>
          <w:p>
            <w:pPr>
              <w:spacing w:after="0"/>
              <w:rPr>
                <w:sz w:val="1"/>
                <w:szCs w:val="1"/>
                <w:color w:val="auto"/>
              </w:rPr>
            </w:pPr>
          </w:p>
        </w:tc>
      </w:tr>
      <w:tr>
        <w:trPr>
          <w:trHeight w:val="157"/>
        </w:trPr>
        <w:tc>
          <w:tcPr>
            <w:tcW w:w="3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financial assets</w:t>
            </w: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1"/>
                <w:szCs w:val="11"/>
                <w:color w:val="auto"/>
              </w:rPr>
              <w:t>3,951,653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(100,832)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747,350</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3,103,612</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3,850,962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5"/>
              </w:rPr>
              <w:t>Amortized</w:t>
            </w:r>
          </w:p>
        </w:tc>
        <w:tc>
          <w:tcPr>
            <w:tcW w:w="18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2"/>
              </w:rPr>
              <w:t>Gross</w:t>
            </w:r>
          </w:p>
        </w:tc>
        <w:tc>
          <w:tcPr>
            <w:tcW w:w="18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2"/>
              </w:rPr>
              <w:t>Gross</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9"/>
                <w:szCs w:val="9"/>
                <w:b w:val="1"/>
                <w:bCs w:val="1"/>
                <w:color w:val="auto"/>
                <w:w w:val="95"/>
              </w:rPr>
              <w:t>Fair Value Hierarchy as of</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280"/>
              <w:spacing w:after="0" w:line="91" w:lineRule="exact"/>
              <w:rPr>
                <w:sz w:val="20"/>
                <w:szCs w:val="20"/>
                <w:color w:val="auto"/>
              </w:rPr>
            </w:pPr>
            <w:r>
              <w:rPr>
                <w:rFonts w:ascii="Arial" w:cs="Arial" w:eastAsia="Arial" w:hAnsi="Arial"/>
                <w:sz w:val="9"/>
                <w:szCs w:val="9"/>
                <w:b w:val="1"/>
                <w:bCs w:val="1"/>
                <w:color w:val="auto"/>
                <w:w w:val="95"/>
              </w:rPr>
              <w:t>Cost or</w:t>
            </w:r>
          </w:p>
        </w:tc>
        <w:tc>
          <w:tcPr>
            <w:tcW w:w="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200"/>
              <w:spacing w:after="0" w:line="91" w:lineRule="exact"/>
              <w:rPr>
                <w:sz w:val="20"/>
                <w:szCs w:val="20"/>
                <w:color w:val="auto"/>
              </w:rPr>
            </w:pPr>
            <w:r>
              <w:rPr>
                <w:rFonts w:ascii="Arial" w:cs="Arial" w:eastAsia="Arial" w:hAnsi="Arial"/>
                <w:sz w:val="9"/>
                <w:szCs w:val="9"/>
                <w:b w:val="1"/>
                <w:bCs w:val="1"/>
                <w:color w:val="auto"/>
                <w:w w:val="93"/>
              </w:rPr>
              <w:t>December 31, 2021</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tcPr>
          <w:p>
            <w:pPr>
              <w:jc w:val="center"/>
              <w:ind w:right="280"/>
              <w:spacing w:after="0" w:line="41" w:lineRule="exact"/>
              <w:rPr>
                <w:sz w:val="20"/>
                <w:szCs w:val="20"/>
                <w:color w:val="auto"/>
              </w:rPr>
            </w:pPr>
            <w:r>
              <w:rPr>
                <w:rFonts w:ascii="Arial" w:cs="Arial" w:eastAsia="Arial" w:hAnsi="Arial"/>
                <w:sz w:val="4"/>
                <w:szCs w:val="4"/>
                <w:b w:val="1"/>
                <w:bCs w:val="1"/>
                <w:color w:val="auto"/>
              </w:rPr>
              <w:t>Carrying</w:t>
            </w:r>
          </w:p>
        </w:tc>
        <w:tc>
          <w:tcPr>
            <w:tcW w:w="180" w:type="dxa"/>
            <w:vAlign w:val="bottom"/>
          </w:tcPr>
          <w:p>
            <w:pPr>
              <w:spacing w:after="0"/>
              <w:rPr>
                <w:sz w:val="3"/>
                <w:szCs w:val="3"/>
                <w:color w:val="auto"/>
              </w:rPr>
            </w:pPr>
          </w:p>
        </w:tc>
        <w:tc>
          <w:tcPr>
            <w:tcW w:w="900" w:type="dxa"/>
            <w:vAlign w:val="bottom"/>
            <w:gridSpan w:val="2"/>
          </w:tcPr>
          <w:p>
            <w:pPr>
              <w:jc w:val="center"/>
              <w:ind w:right="260"/>
              <w:spacing w:after="0" w:line="41" w:lineRule="exact"/>
              <w:rPr>
                <w:sz w:val="20"/>
                <w:szCs w:val="20"/>
                <w:color w:val="auto"/>
              </w:rPr>
            </w:pPr>
            <w:r>
              <w:rPr>
                <w:rFonts w:ascii="Arial" w:cs="Arial" w:eastAsia="Arial" w:hAnsi="Arial"/>
                <w:sz w:val="4"/>
                <w:szCs w:val="4"/>
                <w:b w:val="1"/>
                <w:bCs w:val="1"/>
                <w:color w:val="auto"/>
              </w:rPr>
              <w:t>Unrealized</w:t>
            </w:r>
          </w:p>
        </w:tc>
        <w:tc>
          <w:tcPr>
            <w:tcW w:w="180" w:type="dxa"/>
            <w:vAlign w:val="bottom"/>
          </w:tcPr>
          <w:p>
            <w:pPr>
              <w:spacing w:after="0"/>
              <w:rPr>
                <w:sz w:val="3"/>
                <w:szCs w:val="3"/>
                <w:color w:val="auto"/>
              </w:rPr>
            </w:pPr>
          </w:p>
        </w:tc>
        <w:tc>
          <w:tcPr>
            <w:tcW w:w="900" w:type="dxa"/>
            <w:vAlign w:val="bottom"/>
            <w:gridSpan w:val="2"/>
          </w:tcPr>
          <w:p>
            <w:pPr>
              <w:jc w:val="center"/>
              <w:ind w:right="260"/>
              <w:spacing w:after="0" w:line="41" w:lineRule="exact"/>
              <w:rPr>
                <w:sz w:val="20"/>
                <w:szCs w:val="20"/>
                <w:color w:val="auto"/>
              </w:rPr>
            </w:pPr>
            <w:r>
              <w:rPr>
                <w:rFonts w:ascii="Arial" w:cs="Arial" w:eastAsia="Arial" w:hAnsi="Arial"/>
                <w:sz w:val="4"/>
                <w:szCs w:val="4"/>
                <w:b w:val="1"/>
                <w:bCs w:val="1"/>
                <w:color w:val="auto"/>
              </w:rPr>
              <w:t>Unrealized</w:t>
            </w: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jc w:val="right"/>
              <w:ind w:right="230"/>
              <w:spacing w:after="0" w:line="41" w:lineRule="exact"/>
              <w:rPr>
                <w:sz w:val="20"/>
                <w:szCs w:val="20"/>
                <w:color w:val="auto"/>
              </w:rPr>
            </w:pPr>
            <w:r>
              <w:rPr>
                <w:rFonts w:ascii="Arial" w:cs="Arial" w:eastAsia="Arial" w:hAnsi="Arial"/>
                <w:sz w:val="4"/>
                <w:szCs w:val="4"/>
                <w:b w:val="1"/>
                <w:bCs w:val="1"/>
                <w:color w:val="auto"/>
              </w:rPr>
              <w:t>Aggregate</w:t>
            </w:r>
          </w:p>
        </w:tc>
        <w:tc>
          <w:tcPr>
            <w:tcW w:w="0" w:type="dxa"/>
            <w:vAlign w:val="bottom"/>
          </w:tcPr>
          <w:p>
            <w:pPr>
              <w:spacing w:after="0"/>
              <w:rPr>
                <w:sz w:val="1"/>
                <w:szCs w:val="1"/>
                <w:color w:val="auto"/>
              </w:rPr>
            </w:pPr>
          </w:p>
        </w:tc>
      </w:tr>
      <w:tr>
        <w:trPr>
          <w:trHeight w:val="127"/>
        </w:trPr>
        <w:tc>
          <w:tcPr>
            <w:tcW w:w="38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w w:val="91"/>
              </w:rPr>
              <w:t>Value</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9"/>
                <w:szCs w:val="9"/>
                <w:b w:val="1"/>
                <w:bCs w:val="1"/>
                <w:color w:val="auto"/>
                <w:w w:val="95"/>
              </w:rPr>
              <w:t>Gains</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w w:val="83"/>
              </w:rPr>
              <w:t>Losses</w:t>
            </w: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07"/>
              <w:spacing w:after="0"/>
              <w:rPr>
                <w:sz w:val="20"/>
                <w:szCs w:val="20"/>
                <w:color w:val="auto"/>
              </w:rPr>
            </w:pPr>
            <w:r>
              <w:rPr>
                <w:rFonts w:ascii="Arial" w:cs="Arial" w:eastAsia="Arial" w:hAnsi="Arial"/>
                <w:sz w:val="9"/>
                <w:szCs w:val="9"/>
                <w:b w:val="1"/>
                <w:bCs w:val="1"/>
                <w:color w:val="auto"/>
              </w:rPr>
              <w:t>Level 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ind w:left="260"/>
              <w:spacing w:after="0"/>
              <w:rPr>
                <w:sz w:val="20"/>
                <w:szCs w:val="20"/>
                <w:color w:val="auto"/>
              </w:rPr>
            </w:pPr>
            <w:r>
              <w:rPr>
                <w:rFonts w:ascii="Arial" w:cs="Arial" w:eastAsia="Arial" w:hAnsi="Arial"/>
                <w:sz w:val="9"/>
                <w:szCs w:val="9"/>
                <w:b w:val="1"/>
                <w:bCs w:val="1"/>
                <w:color w:val="auto"/>
              </w:rPr>
              <w:t>Level 2</w:t>
            </w: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9"/>
                <w:szCs w:val="9"/>
                <w:b w:val="1"/>
                <w:bCs w:val="1"/>
                <w:color w:val="auto"/>
              </w:rPr>
              <w:t>Level 3</w:t>
            </w: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9"/>
                <w:szCs w:val="9"/>
                <w:b w:val="1"/>
                <w:bCs w:val="1"/>
                <w:color w:val="auto"/>
              </w:rPr>
              <w:t>Fair Value</w:t>
            </w:r>
          </w:p>
        </w:tc>
        <w:tc>
          <w:tcPr>
            <w:tcW w:w="0" w:type="dxa"/>
            <w:vAlign w:val="bottom"/>
          </w:tcPr>
          <w:p>
            <w:pPr>
              <w:spacing w:after="0"/>
              <w:rPr>
                <w:sz w:val="1"/>
                <w:szCs w:val="1"/>
                <w:color w:val="auto"/>
              </w:rPr>
            </w:pPr>
          </w:p>
        </w:tc>
      </w:tr>
      <w:tr>
        <w:trPr>
          <w:trHeight w:val="137"/>
        </w:trPr>
        <w:tc>
          <w:tcPr>
            <w:tcW w:w="3800" w:type="dxa"/>
            <w:vAlign w:val="bottom"/>
            <w:shd w:val="clear" w:color="auto" w:fill="CCEEFF"/>
          </w:tcPr>
          <w:p>
            <w:pPr>
              <w:ind w:left="20"/>
              <w:spacing w:after="0" w:line="125" w:lineRule="exact"/>
              <w:rPr>
                <w:sz w:val="20"/>
                <w:szCs w:val="20"/>
                <w:color w:val="auto"/>
              </w:rPr>
            </w:pPr>
            <w:r>
              <w:rPr>
                <w:rFonts w:ascii="Arial" w:cs="Arial" w:eastAsia="Arial" w:hAnsi="Arial"/>
                <w:sz w:val="11"/>
                <w:szCs w:val="11"/>
                <w:b w:val="1"/>
                <w:bCs w:val="1"/>
                <w:color w:val="auto"/>
              </w:rPr>
              <w:t>Financial Assets:</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w w:val="93"/>
              </w:rPr>
              <w:t>(In thousands)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80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Money market funds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1"/>
                <w:szCs w:val="11"/>
                <w:color w:val="auto"/>
              </w:rPr>
              <w:t>786,548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786,548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786,548</w:t>
            </w:r>
          </w:p>
        </w:tc>
        <w:tc>
          <w:tcPr>
            <w:tcW w:w="0" w:type="dxa"/>
            <w:vAlign w:val="bottom"/>
          </w:tcPr>
          <w:p>
            <w:pPr>
              <w:spacing w:after="0"/>
              <w:rPr>
                <w:sz w:val="1"/>
                <w:szCs w:val="1"/>
                <w:color w:val="auto"/>
              </w:rPr>
            </w:pPr>
          </w:p>
        </w:tc>
      </w:tr>
      <w:tr>
        <w:trPr>
          <w:trHeight w:val="139"/>
        </w:trPr>
        <w:tc>
          <w:tcPr>
            <w:tcW w:w="3800" w:type="dxa"/>
            <w:vAlign w:val="bottom"/>
          </w:tcPr>
          <w:p>
            <w:pPr>
              <w:ind w:left="160"/>
              <w:spacing w:after="0"/>
              <w:rPr>
                <w:sz w:val="20"/>
                <w:szCs w:val="20"/>
                <w:color w:val="auto"/>
              </w:rPr>
            </w:pPr>
            <w:r>
              <w:rPr>
                <w:rFonts w:ascii="Arial" w:cs="Arial" w:eastAsia="Arial" w:hAnsi="Arial"/>
                <w:sz w:val="11"/>
                <w:szCs w:val="11"/>
                <w:color w:val="auto"/>
              </w:rPr>
              <w:t>Commercial paper</w:t>
            </w:r>
          </w:p>
        </w:tc>
        <w:tc>
          <w:tcPr>
            <w:tcW w:w="180" w:type="dxa"/>
            <w:vAlign w:val="bottom"/>
          </w:tcPr>
          <w:p>
            <w:pPr>
              <w:spacing w:after="0"/>
              <w:rPr>
                <w:sz w:val="12"/>
                <w:szCs w:val="12"/>
                <w:color w:val="auto"/>
              </w:rPr>
            </w:pPr>
          </w:p>
        </w:tc>
        <w:tc>
          <w:tcPr>
            <w:tcW w:w="820" w:type="dxa"/>
            <w:vAlign w:val="bottom"/>
          </w:tcPr>
          <w:p>
            <w:pPr>
              <w:jc w:val="right"/>
              <w:ind w:right="11"/>
              <w:spacing w:after="0"/>
              <w:rPr>
                <w:sz w:val="20"/>
                <w:szCs w:val="20"/>
                <w:color w:val="auto"/>
              </w:rPr>
            </w:pPr>
            <w:r>
              <w:rPr>
                <w:rFonts w:ascii="Arial" w:cs="Arial" w:eastAsia="Arial" w:hAnsi="Arial"/>
                <w:sz w:val="11"/>
                <w:szCs w:val="11"/>
                <w:color w:val="auto"/>
              </w:rPr>
              <w:t>46,076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0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46,076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46,076</w:t>
            </w:r>
          </w:p>
        </w:tc>
        <w:tc>
          <w:tcPr>
            <w:tcW w:w="0" w:type="dxa"/>
            <w:vAlign w:val="bottom"/>
          </w:tcPr>
          <w:p>
            <w:pPr>
              <w:spacing w:after="0"/>
              <w:rPr>
                <w:sz w:val="1"/>
                <w:szCs w:val="1"/>
                <w:color w:val="auto"/>
              </w:rPr>
            </w:pPr>
          </w:p>
        </w:tc>
      </w:tr>
      <w:tr>
        <w:trPr>
          <w:trHeight w:val="135"/>
        </w:trPr>
        <w:tc>
          <w:tcPr>
            <w:tcW w:w="3800" w:type="dxa"/>
            <w:vAlign w:val="bottom"/>
            <w:tcBorders>
              <w:top w:val="single" w:sz="8" w:color="CCEEFF"/>
            </w:tcBorders>
            <w:shd w:val="clear" w:color="auto" w:fill="CCEEFF"/>
          </w:tcPr>
          <w:p>
            <w:pPr>
              <w:ind w:left="340"/>
              <w:spacing w:after="0" w:line="120" w:lineRule="exact"/>
              <w:rPr>
                <w:sz w:val="20"/>
                <w:szCs w:val="20"/>
                <w:color w:val="auto"/>
              </w:rPr>
            </w:pPr>
            <w:r>
              <w:rPr>
                <w:rFonts w:ascii="Arial" w:cs="Arial" w:eastAsia="Arial" w:hAnsi="Arial"/>
                <w:sz w:val="11"/>
                <w:szCs w:val="11"/>
                <w:color w:val="auto"/>
              </w:rPr>
              <w:t>Total included in cash and cash equivalents</w:t>
            </w:r>
          </w:p>
        </w:tc>
        <w:tc>
          <w:tcPr>
            <w:tcW w:w="1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1"/>
                <w:szCs w:val="11"/>
                <w:color w:val="auto"/>
              </w:rPr>
              <w:t>832,624</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786,548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46,076</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832,624</w:t>
            </w:r>
          </w:p>
        </w:tc>
        <w:tc>
          <w:tcPr>
            <w:tcW w:w="0" w:type="dxa"/>
            <w:vAlign w:val="bottom"/>
          </w:tcPr>
          <w:p>
            <w:pPr>
              <w:spacing w:after="0"/>
              <w:rPr>
                <w:sz w:val="1"/>
                <w:szCs w:val="1"/>
                <w:color w:val="auto"/>
              </w:rPr>
            </w:pPr>
          </w:p>
        </w:tc>
      </w:tr>
      <w:tr>
        <w:trPr>
          <w:trHeight w:val="139"/>
        </w:trPr>
        <w:tc>
          <w:tcPr>
            <w:tcW w:w="3800" w:type="dxa"/>
            <w:vAlign w:val="bottom"/>
          </w:tcPr>
          <w:p>
            <w:pPr>
              <w:ind w:left="20"/>
              <w:spacing w:after="0"/>
              <w:rPr>
                <w:sz w:val="20"/>
                <w:szCs w:val="20"/>
                <w:color w:val="auto"/>
              </w:rPr>
            </w:pPr>
            <w:r>
              <w:rPr>
                <w:rFonts w:ascii="Arial" w:cs="Arial" w:eastAsia="Arial" w:hAnsi="Arial"/>
                <w:sz w:val="11"/>
                <w:szCs w:val="11"/>
                <w:color w:val="auto"/>
              </w:rPr>
              <w:t>Marketable securities: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U.S. Treasury securities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1"/>
                <w:szCs w:val="11"/>
                <w:color w:val="auto"/>
              </w:rPr>
              <w:t>375,305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372,750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372,750</w:t>
            </w:r>
          </w:p>
        </w:tc>
        <w:tc>
          <w:tcPr>
            <w:tcW w:w="0" w:type="dxa"/>
            <w:vAlign w:val="bottom"/>
          </w:tcPr>
          <w:p>
            <w:pPr>
              <w:spacing w:after="0"/>
              <w:rPr>
                <w:sz w:val="1"/>
                <w:szCs w:val="1"/>
                <w:color w:val="auto"/>
              </w:rPr>
            </w:pPr>
          </w:p>
        </w:tc>
      </w:tr>
      <w:tr>
        <w:trPr>
          <w:trHeight w:val="139"/>
        </w:trPr>
        <w:tc>
          <w:tcPr>
            <w:tcW w:w="3800" w:type="dxa"/>
            <w:vAlign w:val="bottom"/>
          </w:tcPr>
          <w:p>
            <w:pPr>
              <w:ind w:left="160"/>
              <w:spacing w:after="0"/>
              <w:rPr>
                <w:sz w:val="20"/>
                <w:szCs w:val="20"/>
                <w:color w:val="auto"/>
              </w:rPr>
            </w:pPr>
            <w:r>
              <w:rPr>
                <w:rFonts w:ascii="Arial" w:cs="Arial" w:eastAsia="Arial" w:hAnsi="Arial"/>
                <w:sz w:val="11"/>
                <w:szCs w:val="11"/>
                <w:color w:val="auto"/>
              </w:rPr>
              <w:t>Non-U.S. government securities</w:t>
            </w:r>
          </w:p>
        </w:tc>
        <w:tc>
          <w:tcPr>
            <w:tcW w:w="180" w:type="dxa"/>
            <w:vAlign w:val="bottom"/>
          </w:tcPr>
          <w:p>
            <w:pPr>
              <w:spacing w:after="0"/>
              <w:rPr>
                <w:sz w:val="12"/>
                <w:szCs w:val="12"/>
                <w:color w:val="auto"/>
              </w:rPr>
            </w:pPr>
          </w:p>
        </w:tc>
        <w:tc>
          <w:tcPr>
            <w:tcW w:w="820" w:type="dxa"/>
            <w:vAlign w:val="bottom"/>
          </w:tcPr>
          <w:p>
            <w:pPr>
              <w:jc w:val="right"/>
              <w:ind w:right="11"/>
              <w:spacing w:after="0"/>
              <w:rPr>
                <w:sz w:val="20"/>
                <w:szCs w:val="20"/>
                <w:color w:val="auto"/>
              </w:rPr>
            </w:pPr>
            <w:r>
              <w:rPr>
                <w:rFonts w:ascii="Arial" w:cs="Arial" w:eastAsia="Arial" w:hAnsi="Arial"/>
                <w:sz w:val="11"/>
                <w:szCs w:val="11"/>
                <w:color w:val="auto"/>
              </w:rPr>
              <w:t>221,641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(1,355)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220,286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220,286</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Corporate debt securities and commercial paper</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1"/>
                <w:szCs w:val="11"/>
                <w:color w:val="auto"/>
              </w:rPr>
              <w:t>3,300,326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(15,892)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3,254,394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3,285,394</w:t>
            </w:r>
          </w:p>
        </w:tc>
        <w:tc>
          <w:tcPr>
            <w:tcW w:w="0" w:type="dxa"/>
            <w:vAlign w:val="bottom"/>
          </w:tcPr>
          <w:p>
            <w:pPr>
              <w:spacing w:after="0"/>
              <w:rPr>
                <w:sz w:val="1"/>
                <w:szCs w:val="1"/>
                <w:color w:val="auto"/>
              </w:rPr>
            </w:pPr>
          </w:p>
        </w:tc>
      </w:tr>
      <w:tr>
        <w:trPr>
          <w:trHeight w:val="129"/>
        </w:trPr>
        <w:tc>
          <w:tcPr>
            <w:tcW w:w="3800" w:type="dxa"/>
            <w:vAlign w:val="bottom"/>
            <w:tcBorders>
              <w:bottom w:val="single" w:sz="8" w:color="CCEEFF"/>
            </w:tcBorders>
          </w:tcPr>
          <w:p>
            <w:pPr>
              <w:ind w:left="340"/>
              <w:spacing w:after="0" w:line="116" w:lineRule="exact"/>
              <w:rPr>
                <w:sz w:val="20"/>
                <w:szCs w:val="20"/>
                <w:color w:val="auto"/>
              </w:rPr>
            </w:pPr>
            <w:r>
              <w:rPr>
                <w:rFonts w:ascii="Arial" w:cs="Arial" w:eastAsia="Arial" w:hAnsi="Arial"/>
                <w:sz w:val="11"/>
                <w:szCs w:val="11"/>
                <w:color w:val="auto"/>
              </w:rPr>
              <w:t>Total marketable securities</w:t>
            </w: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1"/>
                <w:szCs w:val="11"/>
                <w:color w:val="auto"/>
              </w:rPr>
              <w:t>3,897,272</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966</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(19,808)</w:t>
            </w: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624,036</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3,254,394</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3,878,430</w:t>
            </w:r>
          </w:p>
        </w:tc>
        <w:tc>
          <w:tcPr>
            <w:tcW w:w="0" w:type="dxa"/>
            <w:vAlign w:val="bottom"/>
          </w:tcPr>
          <w:p>
            <w:pPr>
              <w:spacing w:after="0"/>
              <w:rPr>
                <w:sz w:val="1"/>
                <w:szCs w:val="1"/>
                <w:color w:val="auto"/>
              </w:rPr>
            </w:pPr>
          </w:p>
        </w:tc>
      </w:tr>
      <w:tr>
        <w:trPr>
          <w:trHeight w:val="157"/>
        </w:trPr>
        <w:tc>
          <w:tcPr>
            <w:tcW w:w="3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Total financial assets</w:t>
            </w: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1"/>
                <w:szCs w:val="11"/>
                <w:color w:val="auto"/>
              </w:rPr>
              <w:t>4,729,896</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966</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(19,808)</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1,410,584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3,300,470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4,711,054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40" w:firstLine="365"/>
        <w:spacing w:after="0" w:line="297" w:lineRule="auto"/>
        <w:rPr>
          <w:sz w:val="20"/>
          <w:szCs w:val="20"/>
          <w:color w:val="auto"/>
        </w:rPr>
      </w:pPr>
      <w:r>
        <w:rPr>
          <w:rFonts w:ascii="Arial" w:cs="Arial" w:eastAsia="Arial" w:hAnsi="Arial"/>
          <w:sz w:val="12"/>
          <w:szCs w:val="12"/>
          <w:color w:val="auto"/>
        </w:rPr>
        <w:t>The Company's primary objective when investing excess cash is preservation of capital, hence the Company's marketable securities primarily consist of U.S. Treasury Securities, non-U.S government securities, high credit quality corporate debt securities and commercial paper. As the Company views its marketable securities as available to support current operations, it has classified all available for sale securities as short-term. As of June 30, 2022 and December 31, 2021, for fixed income securities that were in unrealized loss positions, the Company has determined that (i) it does not have the intent to sell any of these investments, and (ii) it is not more likely than not that it will be required to sell any of these investments before recovery of the entire amortized cost basis. In addition, as of June 30, 2022 and December 31, 2021, the Company anticipates that it will recover the entire amortized cost basis of such fixed income securities before maturity.</w:t>
      </w:r>
    </w:p>
    <w:p>
      <w:pPr>
        <w:spacing w:after="0" w:line="120" w:lineRule="exact"/>
        <w:rPr>
          <w:sz w:val="20"/>
          <w:szCs w:val="20"/>
          <w:color w:val="auto"/>
        </w:rPr>
      </w:pPr>
    </w:p>
    <w:p>
      <w:pPr>
        <w:ind w:right="40" w:firstLine="365"/>
        <w:spacing w:after="0" w:line="259" w:lineRule="auto"/>
        <w:rPr>
          <w:sz w:val="20"/>
          <w:szCs w:val="20"/>
          <w:color w:val="auto"/>
        </w:rPr>
      </w:pPr>
      <w:r>
        <w:rPr>
          <w:rFonts w:ascii="Arial" w:cs="Arial" w:eastAsia="Arial" w:hAnsi="Arial"/>
          <w:sz w:val="14"/>
          <w:szCs w:val="14"/>
          <w:color w:val="auto"/>
        </w:rPr>
        <w:t>Interest earned on marketable securities was $15.6 million and $31.2 million in the three and six months ended June 30, 2022, respectively, and $5.6 million and $9.4 million in the three and six months ended June 30, 2021, respectively. The interest is recorded as other expenses, net, in the accompanying condensed consolidated statements of operations.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the contractual maturities of marketable securities: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45"/>
        </w:trPr>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5"/>
          </w:tcPr>
          <w:p>
            <w:pPr>
              <w:ind w:left="600"/>
              <w:spacing w:after="0"/>
              <w:rPr>
                <w:sz w:val="20"/>
                <w:szCs w:val="20"/>
                <w:color w:val="auto"/>
              </w:rPr>
            </w:pPr>
            <w:r>
              <w:rPr>
                <w:rFonts w:ascii="Arial" w:cs="Arial" w:eastAsia="Arial" w:hAnsi="Arial"/>
                <w:sz w:val="11"/>
                <w:szCs w:val="11"/>
                <w:b w:val="1"/>
                <w:bCs w:val="1"/>
                <w:color w:val="auto"/>
              </w:rPr>
              <w:t>As of June 30, 2022</w:t>
            </w:r>
          </w:p>
        </w:tc>
        <w:tc>
          <w:tcPr>
            <w:tcW w:w="320" w:type="dxa"/>
            <w:vAlign w:val="bottom"/>
          </w:tcPr>
          <w:p>
            <w:pPr>
              <w:spacing w:after="0"/>
              <w:rPr>
                <w:sz w:val="12"/>
                <w:szCs w:val="12"/>
                <w:color w:val="auto"/>
              </w:rPr>
            </w:pPr>
          </w:p>
        </w:tc>
        <w:tc>
          <w:tcPr>
            <w:tcW w:w="2220" w:type="dxa"/>
            <w:vAlign w:val="bottom"/>
            <w:gridSpan w:val="4"/>
          </w:tcPr>
          <w:p>
            <w:pPr>
              <w:jc w:val="right"/>
              <w:ind w:right="642"/>
              <w:spacing w:after="0"/>
              <w:rPr>
                <w:sz w:val="20"/>
                <w:szCs w:val="20"/>
                <w:color w:val="auto"/>
              </w:rPr>
            </w:pPr>
            <w:r>
              <w:rPr>
                <w:rFonts w:ascii="Arial" w:cs="Arial" w:eastAsia="Arial" w:hAnsi="Arial"/>
                <w:sz w:val="11"/>
                <w:szCs w:val="11"/>
                <w:b w:val="1"/>
                <w:bCs w:val="1"/>
                <w:color w:val="auto"/>
              </w:rPr>
              <w:t>As of December 31, 2021</w:t>
            </w:r>
          </w:p>
        </w:tc>
      </w:tr>
      <w:tr>
        <w:trPr>
          <w:trHeight w:val="96"/>
        </w:trPr>
        <w:tc>
          <w:tcPr>
            <w:tcW w:w="43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center"/>
              <w:ind w:right="300"/>
              <w:spacing w:after="0" w:line="96" w:lineRule="exact"/>
              <w:rPr>
                <w:sz w:val="20"/>
                <w:szCs w:val="20"/>
                <w:color w:val="auto"/>
              </w:rPr>
            </w:pPr>
            <w:r>
              <w:rPr>
                <w:rFonts w:ascii="Arial" w:cs="Arial" w:eastAsia="Arial" w:hAnsi="Arial"/>
                <w:sz w:val="11"/>
                <w:szCs w:val="11"/>
                <w:b w:val="1"/>
                <w:bCs w:val="1"/>
                <w:color w:val="auto"/>
                <w:w w:val="89"/>
              </w:rPr>
              <w:t>Amortized</w:t>
            </w: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323"/>
              <w:spacing w:after="0" w:line="96" w:lineRule="exact"/>
              <w:rPr>
                <w:sz w:val="20"/>
                <w:szCs w:val="20"/>
                <w:color w:val="auto"/>
              </w:rPr>
            </w:pPr>
            <w:r>
              <w:rPr>
                <w:rFonts w:ascii="Arial" w:cs="Arial" w:eastAsia="Arial" w:hAnsi="Arial"/>
                <w:sz w:val="11"/>
                <w:szCs w:val="11"/>
                <w:b w:val="1"/>
                <w:bCs w:val="1"/>
                <w:color w:val="auto"/>
              </w:rPr>
              <w:t>Aggregate</w:t>
            </w:r>
          </w:p>
        </w:tc>
        <w:tc>
          <w:tcPr>
            <w:tcW w:w="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2"/>
          </w:tcPr>
          <w:p>
            <w:pPr>
              <w:jc w:val="center"/>
              <w:ind w:right="420"/>
              <w:spacing w:after="0" w:line="96" w:lineRule="exact"/>
              <w:rPr>
                <w:sz w:val="20"/>
                <w:szCs w:val="20"/>
                <w:color w:val="auto"/>
              </w:rPr>
            </w:pPr>
            <w:r>
              <w:rPr>
                <w:rFonts w:ascii="Arial" w:cs="Arial" w:eastAsia="Arial" w:hAnsi="Arial"/>
                <w:sz w:val="11"/>
                <w:szCs w:val="11"/>
                <w:b w:val="1"/>
                <w:bCs w:val="1"/>
                <w:color w:val="auto"/>
                <w:w w:val="92"/>
              </w:rPr>
              <w:t>Amortized</w:t>
            </w: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322"/>
              <w:spacing w:after="0" w:line="96" w:lineRule="exact"/>
              <w:rPr>
                <w:sz w:val="20"/>
                <w:szCs w:val="20"/>
                <w:color w:val="auto"/>
              </w:rPr>
            </w:pPr>
            <w:r>
              <w:rPr>
                <w:rFonts w:ascii="Arial" w:cs="Arial" w:eastAsia="Arial" w:hAnsi="Arial"/>
                <w:sz w:val="11"/>
                <w:szCs w:val="11"/>
                <w:b w:val="1"/>
                <w:bCs w:val="1"/>
                <w:color w:val="auto"/>
              </w:rPr>
              <w:t>Aggregate</w:t>
            </w:r>
          </w:p>
        </w:tc>
      </w:tr>
      <w:tr>
        <w:trPr>
          <w:trHeight w:val="141"/>
        </w:trPr>
        <w:tc>
          <w:tcPr>
            <w:tcW w:w="4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81"/>
              </w:rPr>
              <w:t>Cost</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1"/>
                <w:szCs w:val="11"/>
                <w:b w:val="1"/>
                <w:bCs w:val="1"/>
                <w:color w:val="auto"/>
              </w:rPr>
              <w:t>Fair Value</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w w:val="81"/>
              </w:rPr>
              <w:t>Cost</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Fair Value</w:t>
            </w:r>
          </w:p>
        </w:tc>
      </w:tr>
      <w:tr>
        <w:trPr>
          <w:trHeight w:val="143"/>
        </w:trPr>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Financial Assets:</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(In thousands)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0"/>
        </w:trPr>
        <w:tc>
          <w:tcPr>
            <w:tcW w:w="4300" w:type="dxa"/>
            <w:vAlign w:val="bottom"/>
          </w:tcPr>
          <w:p>
            <w:pPr>
              <w:spacing w:after="0"/>
              <w:rPr>
                <w:sz w:val="20"/>
                <w:szCs w:val="20"/>
                <w:color w:val="auto"/>
              </w:rPr>
            </w:pPr>
            <w:r>
              <w:rPr>
                <w:rFonts w:ascii="Arial" w:cs="Arial" w:eastAsia="Arial" w:hAnsi="Arial"/>
                <w:sz w:val="12"/>
                <w:szCs w:val="12"/>
                <w:color w:val="auto"/>
              </w:rPr>
              <w:t>Less than one year</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1,503,388</w:t>
            </w:r>
          </w:p>
        </w:tc>
        <w:tc>
          <w:tcPr>
            <w:tcW w:w="100" w:type="dxa"/>
            <w:vAlign w:val="bottom"/>
          </w:tcPr>
          <w:p>
            <w:pPr>
              <w:spacing w:after="0"/>
              <w:rPr>
                <w:sz w:val="13"/>
                <w:szCs w:val="13"/>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3"/>
              <w:spacing w:after="0"/>
              <w:rPr>
                <w:sz w:val="20"/>
                <w:szCs w:val="20"/>
                <w:color w:val="auto"/>
              </w:rPr>
            </w:pPr>
            <w:r>
              <w:rPr>
                <w:rFonts w:ascii="Arial" w:cs="Arial" w:eastAsia="Arial" w:hAnsi="Arial"/>
                <w:sz w:val="12"/>
                <w:szCs w:val="12"/>
                <w:color w:val="auto"/>
              </w:rPr>
              <w:t>1,483,243</w:t>
            </w:r>
          </w:p>
        </w:tc>
        <w:tc>
          <w:tcPr>
            <w:tcW w:w="80" w:type="dxa"/>
            <w:vAlign w:val="bottom"/>
          </w:tcPr>
          <w:p>
            <w:pPr>
              <w:spacing w:after="0"/>
              <w:rPr>
                <w:sz w:val="13"/>
                <w:szCs w:val="13"/>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1,084,751</w:t>
            </w:r>
          </w:p>
        </w:tc>
        <w:tc>
          <w:tcPr>
            <w:tcW w:w="100" w:type="dxa"/>
            <w:vAlign w:val="bottom"/>
          </w:tcPr>
          <w:p>
            <w:pPr>
              <w:spacing w:after="0"/>
              <w:rPr>
                <w:sz w:val="13"/>
                <w:szCs w:val="13"/>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1,085,006</w:t>
            </w:r>
          </w:p>
        </w:tc>
      </w:tr>
      <w:tr>
        <w:trPr>
          <w:trHeight w:val="165"/>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One to three years</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2,190,962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2,110,416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2,812,521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2,793,424</w:t>
            </w:r>
          </w:p>
        </w:tc>
      </w:tr>
      <w:tr>
        <w:trPr>
          <w:trHeight w:val="150"/>
        </w:trPr>
        <w:tc>
          <w:tcPr>
            <w:tcW w:w="4300" w:type="dxa"/>
            <w:vAlign w:val="bottom"/>
          </w:tcPr>
          <w:p>
            <w:pPr>
              <w:ind w:left="160"/>
              <w:spacing w:after="0"/>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3,694,350</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3,593,659</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3,897,272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3,878,430</w:t>
            </w: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Strategic Investments</w:t>
      </w:r>
    </w:p>
    <w:p>
      <w:pPr>
        <w:spacing w:after="0" w:line="164" w:lineRule="exact"/>
        <w:rPr>
          <w:sz w:val="20"/>
          <w:szCs w:val="20"/>
          <w:color w:val="auto"/>
        </w:rPr>
      </w:pPr>
    </w:p>
    <w:p>
      <w:pPr>
        <w:ind w:right="120" w:firstLine="365"/>
        <w:spacing w:after="0" w:line="312" w:lineRule="auto"/>
        <w:rPr>
          <w:sz w:val="20"/>
          <w:szCs w:val="20"/>
          <w:color w:val="auto"/>
        </w:rPr>
      </w:pPr>
      <w:r>
        <w:rPr>
          <w:rFonts w:ascii="Arial" w:cs="Arial" w:eastAsia="Arial" w:hAnsi="Arial"/>
          <w:sz w:val="12"/>
          <w:szCs w:val="12"/>
          <w:color w:val="auto"/>
        </w:rPr>
        <w:t>As of June 30, 2022 and December 31, 2021, the Company held strategic investments with a carrying value of $74.3 million and $68.3 million, respectively, recorded as other long-term assets in the accompanying condensed consolidated balance sheets. The carrying value of these securities is determined under the measurement alternative on a non-recurring basis and adjusted for observable changes in fair value. There were no impairments or other adjustments recorded in the three and six months ended June 30, 2022 and 2021, related to these securities.</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Financial Liabilities</w:t>
      </w:r>
    </w:p>
    <w:p>
      <w:pPr>
        <w:spacing w:after="0" w:line="164" w:lineRule="exact"/>
        <w:rPr>
          <w:sz w:val="20"/>
          <w:szCs w:val="20"/>
          <w:color w:val="auto"/>
        </w:rPr>
      </w:pPr>
    </w:p>
    <w:p>
      <w:pPr>
        <w:ind w:right="20" w:firstLine="365"/>
        <w:spacing w:after="0" w:line="342" w:lineRule="auto"/>
        <w:rPr>
          <w:sz w:val="20"/>
          <w:szCs w:val="20"/>
          <w:color w:val="auto"/>
        </w:rPr>
      </w:pPr>
      <w:r>
        <w:rPr>
          <w:rFonts w:ascii="Arial" w:cs="Arial" w:eastAsia="Arial" w:hAnsi="Arial"/>
          <w:sz w:val="12"/>
          <w:szCs w:val="12"/>
          <w:color w:val="auto"/>
        </w:rPr>
        <w:t>The Company’s financial liabilities that are measured at fair value on a recurring basis consist of foreign currency derivative liabilities and are classified as Level 2 financial instruments in the fair value hierarchy. As of June 30, 2022 and December 31, 2021, the aggregate fair value of these instruments and the associated gross unrealized losses were not significant.</w:t>
      </w:r>
    </w:p>
    <w:p>
      <w:pPr>
        <w:spacing w:after="0" w:line="94" w:lineRule="exact"/>
        <w:rPr>
          <w:sz w:val="20"/>
          <w:szCs w:val="20"/>
          <w:color w:val="auto"/>
        </w:rPr>
      </w:pPr>
    </w:p>
    <w:p>
      <w:pPr>
        <w:ind w:firstLine="365"/>
        <w:spacing w:after="0" w:line="250" w:lineRule="auto"/>
        <w:rPr>
          <w:sz w:val="20"/>
          <w:szCs w:val="20"/>
          <w:color w:val="auto"/>
        </w:rPr>
      </w:pPr>
      <w:r>
        <w:rPr>
          <w:rFonts w:ascii="Arial" w:cs="Arial" w:eastAsia="Arial" w:hAnsi="Arial"/>
          <w:sz w:val="14"/>
          <w:szCs w:val="14"/>
          <w:color w:val="auto"/>
        </w:rPr>
        <w:t>The Company’s financial liabilities that are not measured at fair value on a recurring basis are its Senior Notes due 2029 (“2029 Notes”) and its Senior Notes due 2031 (“2031 Notes”). As of June 30, 2022 the fair value of the 2029 Notes and 2031 Notes were $425.8 million and $417.1 million, respectively. As of December 31, 2021, the fair value of the 2029 Notes and 2031 Notes were $510.2 million and $512.8 million,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Property and Equipment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Property and equipment consisted of the following:</w:t>
      </w:r>
    </w:p>
    <w:p>
      <w:pPr>
        <w:spacing w:after="0" w:line="188" w:lineRule="exact"/>
        <w:rPr>
          <w:sz w:val="20"/>
          <w:szCs w:val="20"/>
          <w:color w:val="auto"/>
        </w:rPr>
      </w:pPr>
    </w:p>
    <w:tbl>
      <w:tblPr>
        <w:tblLayout w:type="fixed"/>
        <w:tblInd w:w="1620" w:type="dxa"/>
        <w:tblCellMar>
          <w:top w:w="0" w:type="dxa"/>
          <w:left w:w="0" w:type="dxa"/>
          <w:bottom w:w="0" w:type="dxa"/>
          <w:right w:w="0" w:type="dxa"/>
        </w:tblCellMar>
      </w:tblPr>
      <w:tr>
        <w:trPr>
          <w:trHeight w:val="145"/>
        </w:trPr>
        <w:tc>
          <w:tcPr>
            <w:tcW w:w="49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As of June 30, 2022</w:t>
            </w: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w w:val="91"/>
              </w:rPr>
              <w:t>As of December 31, 2021</w:t>
            </w:r>
          </w:p>
        </w:tc>
      </w:tr>
      <w:tr>
        <w:trPr>
          <w:trHeight w:val="134"/>
        </w:trPr>
        <w:tc>
          <w:tcPr>
            <w:tcW w:w="4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4"/>
          </w:tcPr>
          <w:p>
            <w:pPr>
              <w:jc w:val="right"/>
              <w:ind w:right="1200"/>
              <w:spacing w:after="0"/>
              <w:rPr>
                <w:sz w:val="20"/>
                <w:szCs w:val="20"/>
                <w:color w:val="auto"/>
              </w:rPr>
            </w:pPr>
            <w:r>
              <w:rPr>
                <w:rFonts w:ascii="Arial" w:cs="Arial" w:eastAsia="Arial" w:hAnsi="Arial"/>
                <w:sz w:val="11"/>
                <w:szCs w:val="11"/>
                <w:color w:val="auto"/>
              </w:rPr>
              <w:t>(In thousands)</w:t>
            </w:r>
          </w:p>
        </w:tc>
      </w:tr>
      <w:tr>
        <w:trPr>
          <w:trHeight w:val="165"/>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Capitalized internal-use software development costs</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230,089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198,589</w:t>
            </w:r>
          </w:p>
        </w:tc>
      </w:tr>
      <w:tr>
        <w:trPr>
          <w:trHeight w:val="162"/>
        </w:trPr>
        <w:tc>
          <w:tcPr>
            <w:tcW w:w="4920" w:type="dxa"/>
            <w:vAlign w:val="bottom"/>
          </w:tcPr>
          <w:p>
            <w:pPr>
              <w:ind w:left="20"/>
              <w:spacing w:after="0" w:line="162" w:lineRule="exact"/>
              <w:rPr>
                <w:sz w:val="20"/>
                <w:szCs w:val="20"/>
                <w:color w:val="auto"/>
              </w:rPr>
            </w:pPr>
            <w:r>
              <w:rPr>
                <w:rFonts w:ascii="Arial" w:cs="Arial" w:eastAsia="Arial" w:hAnsi="Arial"/>
                <w:sz w:val="12"/>
                <w:szCs w:val="12"/>
                <w:color w:val="auto"/>
              </w:rPr>
              <w:t xml:space="preserve">Data center equipment </w:t>
            </w:r>
            <w:r>
              <w:rPr>
                <w:rFonts w:ascii="Arial" w:cs="Arial" w:eastAsia="Arial" w:hAnsi="Arial"/>
                <w:sz w:val="15"/>
                <w:szCs w:val="15"/>
                <w:color w:val="auto"/>
                <w:vertAlign w:val="superscript"/>
              </w:rPr>
              <w:t>(1)</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79,170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77,946</w:t>
            </w:r>
          </w:p>
        </w:tc>
      </w:tr>
      <w:tr>
        <w:trPr>
          <w:trHeight w:val="162"/>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Leasehold improvements</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85,297</w:t>
            </w:r>
          </w:p>
        </w:tc>
      </w:tr>
      <w:tr>
        <w:trPr>
          <w:trHeight w:val="160"/>
        </w:trPr>
        <w:tc>
          <w:tcPr>
            <w:tcW w:w="4920" w:type="dxa"/>
            <w:vAlign w:val="bottom"/>
          </w:tcPr>
          <w:p>
            <w:pPr>
              <w:ind w:left="20"/>
              <w:spacing w:after="0"/>
              <w:rPr>
                <w:sz w:val="20"/>
                <w:szCs w:val="20"/>
                <w:color w:val="auto"/>
              </w:rPr>
            </w:pPr>
            <w:r>
              <w:rPr>
                <w:rFonts w:ascii="Arial" w:cs="Arial" w:eastAsia="Arial" w:hAnsi="Arial"/>
                <w:sz w:val="12"/>
                <w:szCs w:val="12"/>
                <w:color w:val="auto"/>
              </w:rPr>
              <w:t>Office equipment</w:t>
            </w:r>
          </w:p>
        </w:tc>
        <w:tc>
          <w:tcPr>
            <w:tcW w:w="2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64,798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58,636</w:t>
            </w:r>
          </w:p>
        </w:tc>
      </w:tr>
      <w:tr>
        <w:trPr>
          <w:trHeight w:val="165"/>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Furniture and fixtures</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15,360</w:t>
            </w:r>
          </w:p>
        </w:tc>
      </w:tr>
      <w:tr>
        <w:trPr>
          <w:trHeight w:val="16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Software</w:t>
            </w: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10,931</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10,506</w:t>
            </w:r>
          </w:p>
        </w:tc>
      </w:tr>
      <w:tr>
        <w:trPr>
          <w:trHeight w:val="155"/>
        </w:trPr>
        <w:tc>
          <w:tcPr>
            <w:tcW w:w="4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property and equipment</w:t>
            </w: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488,519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446,334</w:t>
            </w:r>
          </w:p>
        </w:tc>
      </w:tr>
      <w:tr>
        <w:trPr>
          <w:trHeight w:val="162"/>
        </w:trPr>
        <w:tc>
          <w:tcPr>
            <w:tcW w:w="4920" w:type="dxa"/>
            <w:vAlign w:val="bottom"/>
            <w:tcBorders>
              <w:bottom w:val="single" w:sz="8" w:color="CCEEFF"/>
            </w:tcBorders>
          </w:tcPr>
          <w:p>
            <w:pPr>
              <w:ind w:left="20"/>
              <w:spacing w:after="0" w:line="162" w:lineRule="exact"/>
              <w:rPr>
                <w:sz w:val="20"/>
                <w:szCs w:val="20"/>
                <w:color w:val="auto"/>
              </w:rPr>
            </w:pPr>
            <w:r>
              <w:rPr>
                <w:rFonts w:ascii="Arial" w:cs="Arial" w:eastAsia="Arial" w:hAnsi="Arial"/>
                <w:sz w:val="12"/>
                <w:szCs w:val="12"/>
                <w:color w:val="auto"/>
              </w:rPr>
              <w:t xml:space="preserve">Less: accumulated depreciation and amortization </w:t>
            </w:r>
            <w:r>
              <w:rPr>
                <w:rFonts w:ascii="Arial" w:cs="Arial" w:eastAsia="Arial" w:hAnsi="Arial"/>
                <w:sz w:val="15"/>
                <w:szCs w:val="15"/>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(223,752)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(191,018)</w:t>
            </w:r>
          </w:p>
        </w:tc>
      </w:tr>
      <w:tr>
        <w:trPr>
          <w:trHeight w:val="178"/>
        </w:trPr>
        <w:tc>
          <w:tcPr>
            <w:tcW w:w="4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Total property and equipment, net</w:t>
            </w: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264,767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255,316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3" w:lineRule="exact"/>
        <w:rPr>
          <w:sz w:val="20"/>
          <w:szCs w:val="20"/>
          <w:color w:val="auto"/>
        </w:rPr>
      </w:pPr>
    </w:p>
    <w:p>
      <w:pPr>
        <w:ind w:left="360" w:right="100"/>
        <w:spacing w:after="0" w:line="231" w:lineRule="auto"/>
        <w:rPr>
          <w:sz w:val="20"/>
          <w:szCs w:val="20"/>
          <w:color w:val="auto"/>
        </w:rPr>
      </w:pPr>
      <w:r>
        <w:rPr>
          <w:rFonts w:ascii="Arial" w:cs="Arial" w:eastAsia="Arial" w:hAnsi="Arial"/>
          <w:sz w:val="7"/>
          <w:szCs w:val="7"/>
          <w:color w:val="auto"/>
        </w:rPr>
        <w:t>(</w:t>
      </w:r>
      <w:r>
        <w:rPr>
          <w:rFonts w:ascii="Arial" w:cs="Arial" w:eastAsia="Arial" w:hAnsi="Arial"/>
          <w:sz w:val="15"/>
          <w:szCs w:val="15"/>
          <w:color w:val="auto"/>
          <w:vertAlign w:val="superscript"/>
        </w:rPr>
        <w:t>1</w:t>
      </w:r>
      <w:r>
        <w:rPr>
          <w:rFonts w:ascii="Arial" w:cs="Arial" w:eastAsia="Arial" w:hAnsi="Arial"/>
          <w:sz w:val="7"/>
          <w:szCs w:val="7"/>
          <w:color w:val="auto"/>
        </w:rPr>
        <w:t xml:space="preserve">) </w:t>
      </w:r>
      <w:r>
        <w:rPr>
          <w:rFonts w:ascii="Arial" w:cs="Arial" w:eastAsia="Arial" w:hAnsi="Arial"/>
          <w:sz w:val="12"/>
          <w:szCs w:val="12"/>
          <w:color w:val="auto"/>
        </w:rPr>
        <w:t>Data center equipment contains $63.0 million in assets held under finance leases as of each June 30, 2022, and December 31, 2021. Accumulated depreciation and amortization contains $33.3 million and $26.8 million in</w:t>
      </w:r>
      <w:r>
        <w:rPr>
          <w:rFonts w:ascii="Arial" w:cs="Arial" w:eastAsia="Arial" w:hAnsi="Arial"/>
          <w:sz w:val="7"/>
          <w:szCs w:val="7"/>
          <w:color w:val="auto"/>
        </w:rPr>
        <w:t xml:space="preserve"> </w:t>
      </w:r>
      <w:r>
        <w:rPr>
          <w:rFonts w:ascii="Arial" w:cs="Arial" w:eastAsia="Arial" w:hAnsi="Arial"/>
          <w:sz w:val="12"/>
          <w:szCs w:val="12"/>
          <w:color w:val="auto"/>
        </w:rPr>
        <w:t>accumulated amortization for assets held under finance leases as of June 30, 2022, and December 31, 2021, respectively.</w:t>
      </w:r>
    </w:p>
    <w:p>
      <w:pPr>
        <w:spacing w:after="0" w:line="147" w:lineRule="exact"/>
        <w:rPr>
          <w:sz w:val="20"/>
          <w:szCs w:val="20"/>
          <w:color w:val="auto"/>
        </w:rPr>
      </w:pPr>
    </w:p>
    <w:p>
      <w:pPr>
        <w:ind w:firstLine="365"/>
        <w:spacing w:after="0" w:line="259" w:lineRule="auto"/>
        <w:rPr>
          <w:sz w:val="20"/>
          <w:szCs w:val="20"/>
          <w:color w:val="auto"/>
        </w:rPr>
      </w:pPr>
      <w:r>
        <w:rPr>
          <w:rFonts w:ascii="Arial" w:cs="Arial" w:eastAsia="Arial" w:hAnsi="Arial"/>
          <w:sz w:val="14"/>
          <w:szCs w:val="14"/>
          <w:color w:val="auto"/>
        </w:rPr>
        <w:t>Depreciation and amortization expense was $17.4 million and $14.2 million in the three months ended June 30, 2022 and 2021, respectively, and $34.0 million and $28.7 million in the six months ended June 30, 2022 and 2021, respectively.</w:t>
      </w:r>
    </w:p>
    <w:p>
      <w:pPr>
        <w:spacing w:after="0" w:line="140" w:lineRule="exact"/>
        <w:rPr>
          <w:sz w:val="20"/>
          <w:szCs w:val="20"/>
          <w:color w:val="auto"/>
        </w:rPr>
      </w:pPr>
    </w:p>
    <w:p>
      <w:pPr>
        <w:ind w:right="360" w:firstLine="365"/>
        <w:spacing w:after="0" w:line="168" w:lineRule="exact"/>
        <w:rPr>
          <w:sz w:val="20"/>
          <w:szCs w:val="20"/>
          <w:color w:val="auto"/>
        </w:rPr>
      </w:pPr>
      <w:r>
        <w:rPr>
          <w:rFonts w:ascii="Arial" w:cs="Arial" w:eastAsia="Arial" w:hAnsi="Arial"/>
          <w:sz w:val="14"/>
          <w:szCs w:val="14"/>
          <w:color w:val="auto"/>
        </w:rPr>
        <w:t>The Company capitalized $17.2 million and $16.5 million in internal</w:t>
      </w:r>
      <w:r>
        <w:rPr>
          <w:rFonts w:ascii="MS PGothic" w:cs="MS PGothic" w:eastAsia="MS PGothic" w:hAnsi="MS PGothic"/>
          <w:sz w:val="14"/>
          <w:szCs w:val="14"/>
          <w:color w:val="auto"/>
        </w:rPr>
        <w:t>‑</w:t>
      </w:r>
      <w:r>
        <w:rPr>
          <w:rFonts w:ascii="Arial" w:cs="Arial" w:eastAsia="Arial" w:hAnsi="Arial"/>
          <w:sz w:val="14"/>
          <w:szCs w:val="14"/>
          <w:color w:val="auto"/>
        </w:rPr>
        <w:t>use software development costs in the three months ended June 30, 2022 and 2021, respectively, and $31.9 million and $31.5 million in the six months ended June 30, 2022 and 2021,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Derivatives and Hedging</w:t>
      </w:r>
    </w:p>
    <w:p>
      <w:pPr>
        <w:spacing w:after="0" w:line="166" w:lineRule="exact"/>
        <w:rPr>
          <w:sz w:val="20"/>
          <w:szCs w:val="20"/>
          <w:color w:val="auto"/>
        </w:rPr>
      </w:pPr>
    </w:p>
    <w:p>
      <w:pPr>
        <w:ind w:firstLine="365"/>
        <w:spacing w:after="0" w:line="259" w:lineRule="auto"/>
        <w:rPr>
          <w:sz w:val="20"/>
          <w:szCs w:val="20"/>
          <w:color w:val="auto"/>
        </w:rPr>
      </w:pPr>
      <w:r>
        <w:rPr>
          <w:rFonts w:ascii="Arial" w:cs="Arial" w:eastAsia="Arial" w:hAnsi="Arial"/>
          <w:sz w:val="14"/>
          <w:szCs w:val="14"/>
          <w:color w:val="auto"/>
        </w:rPr>
        <w:t>As of June 30, 2022, the Company had outstanding foreign currency forward contracts designated as cash flow hedges with a total sell notional value of $448.6 million. The notional value represents the amount that will be sold upon maturity of the forward contract. As of June 30, 2022, these contracts had maturities of less than 12 months.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Gains and losses associated with these foreign currency forward contracts were as follows:</w:t>
      </w:r>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2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Condensed Consolidated Statement of</w:t>
            </w:r>
          </w:p>
        </w:tc>
        <w:tc>
          <w:tcPr>
            <w:tcW w:w="560" w:type="dxa"/>
            <w:vAlign w:val="bottom"/>
          </w:tcPr>
          <w:p>
            <w:pPr>
              <w:spacing w:after="0"/>
              <w:rPr>
                <w:sz w:val="12"/>
                <w:szCs w:val="12"/>
                <w:color w:val="auto"/>
              </w:rPr>
            </w:pPr>
          </w:p>
        </w:tc>
        <w:tc>
          <w:tcPr>
            <w:tcW w:w="1680" w:type="dxa"/>
            <w:vAlign w:val="bottom"/>
            <w:gridSpan w:val="2"/>
            <w:vMerge w:val="restart"/>
          </w:tcPr>
          <w:p>
            <w:pPr>
              <w:jc w:val="right"/>
              <w:ind w:right="24"/>
              <w:spacing w:after="0"/>
              <w:rPr>
                <w:sz w:val="20"/>
                <w:szCs w:val="20"/>
                <w:color w:val="auto"/>
              </w:rPr>
            </w:pPr>
            <w:r>
              <w:rPr>
                <w:rFonts w:ascii="Arial" w:cs="Arial" w:eastAsia="Arial" w:hAnsi="Arial"/>
                <w:sz w:val="11"/>
                <w:szCs w:val="11"/>
                <w:b w:val="1"/>
                <w:bCs w:val="1"/>
                <w:color w:val="auto"/>
              </w:rPr>
              <w:t>Three Months Ended June 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80" w:type="dxa"/>
            <w:vAlign w:val="bottom"/>
            <w:gridSpan w:val="3"/>
            <w:vMerge w:val="restart"/>
          </w:tcPr>
          <w:p>
            <w:pPr>
              <w:jc w:val="right"/>
              <w:ind w:right="404"/>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2660" w:type="dxa"/>
            <w:vAlign w:val="bottom"/>
            <w:gridSpan w:val="2"/>
          </w:tcPr>
          <w:p>
            <w:pPr>
              <w:jc w:val="right"/>
              <w:ind w:right="200"/>
              <w:spacing w:after="0" w:line="102" w:lineRule="exact"/>
              <w:rPr>
                <w:sz w:val="20"/>
                <w:szCs w:val="20"/>
                <w:color w:val="auto"/>
              </w:rPr>
            </w:pPr>
            <w:r>
              <w:rPr>
                <w:rFonts w:ascii="Arial" w:cs="Arial" w:eastAsia="Arial" w:hAnsi="Arial"/>
                <w:sz w:val="11"/>
                <w:szCs w:val="11"/>
                <w:b w:val="1"/>
                <w:bCs w:val="1"/>
                <w:color w:val="auto"/>
              </w:rPr>
              <w:t>Operations and Statement of Comprehensive</w:t>
            </w:r>
          </w:p>
        </w:tc>
        <w:tc>
          <w:tcPr>
            <w:tcW w:w="5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2"/>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2660" w:type="dxa"/>
            <w:vAlign w:val="bottom"/>
            <w:gridSpan w:val="2"/>
          </w:tcPr>
          <w:p>
            <w:pPr>
              <w:ind w:left="1160"/>
              <w:spacing w:after="0"/>
              <w:rPr>
                <w:sz w:val="20"/>
                <w:szCs w:val="20"/>
                <w:color w:val="auto"/>
              </w:rPr>
            </w:pPr>
            <w:r>
              <w:rPr>
                <w:rFonts w:ascii="Arial" w:cs="Arial" w:eastAsia="Arial" w:hAnsi="Arial"/>
                <w:sz w:val="12"/>
                <w:szCs w:val="12"/>
                <w:b w:val="1"/>
                <w:bCs w:val="1"/>
                <w:color w:val="auto"/>
              </w:rPr>
              <w:t>Loss</w:t>
            </w:r>
          </w:p>
        </w:tc>
        <w:tc>
          <w:tcPr>
            <w:tcW w:w="560" w:type="dxa"/>
            <w:vAlign w:val="bottom"/>
          </w:tcPr>
          <w:p>
            <w:pPr>
              <w:spacing w:after="0"/>
              <w:rPr>
                <w:sz w:val="13"/>
                <w:szCs w:val="13"/>
                <w:color w:val="auto"/>
              </w:rPr>
            </w:pPr>
          </w:p>
        </w:tc>
        <w:tc>
          <w:tcPr>
            <w:tcW w:w="880" w:type="dxa"/>
            <w:vAlign w:val="bottom"/>
          </w:tcPr>
          <w:p>
            <w:pPr>
              <w:jc w:val="right"/>
              <w:ind w:right="464"/>
              <w:spacing w:after="0"/>
              <w:rPr>
                <w:sz w:val="20"/>
                <w:szCs w:val="20"/>
                <w:color w:val="auto"/>
              </w:rPr>
            </w:pPr>
            <w:r>
              <w:rPr>
                <w:rFonts w:ascii="Arial" w:cs="Arial" w:eastAsia="Arial" w:hAnsi="Arial"/>
                <w:sz w:val="12"/>
                <w:szCs w:val="12"/>
                <w:b w:val="1"/>
                <w:bCs w:val="1"/>
                <w:color w:val="auto"/>
              </w:rPr>
              <w:t>2022</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ind w:right="464"/>
              <w:spacing w:after="0"/>
              <w:rPr>
                <w:sz w:val="20"/>
                <w:szCs w:val="20"/>
                <w:color w:val="auto"/>
              </w:rPr>
            </w:pPr>
            <w:r>
              <w:rPr>
                <w:rFonts w:ascii="Arial" w:cs="Arial" w:eastAsia="Arial" w:hAnsi="Arial"/>
                <w:sz w:val="12"/>
                <w:szCs w:val="12"/>
                <w:b w:val="1"/>
                <w:bCs w:val="1"/>
                <w:color w:val="auto"/>
              </w:rPr>
              <w:t>2022</w:t>
            </w:r>
          </w:p>
        </w:tc>
        <w:tc>
          <w:tcPr>
            <w:tcW w:w="420" w:type="dxa"/>
            <w:vAlign w:val="bottom"/>
          </w:tcPr>
          <w:p>
            <w:pPr>
              <w:spacing w:after="0"/>
              <w:rPr>
                <w:sz w:val="13"/>
                <w:szCs w:val="13"/>
                <w:color w:val="auto"/>
              </w:rPr>
            </w:pPr>
          </w:p>
        </w:tc>
        <w:tc>
          <w:tcPr>
            <w:tcW w:w="680" w:type="dxa"/>
            <w:vAlign w:val="bottom"/>
          </w:tcPr>
          <w:p>
            <w:pPr>
              <w:jc w:val="right"/>
              <w:ind w:right="264"/>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right"/>
              <w:ind w:right="46"/>
              <w:spacing w:after="0"/>
              <w:rPr>
                <w:sz w:val="20"/>
                <w:szCs w:val="20"/>
                <w:color w:val="auto"/>
              </w:rPr>
            </w:pPr>
            <w:r>
              <w:rPr>
                <w:rFonts w:ascii="Arial" w:cs="Arial" w:eastAsia="Arial" w:hAnsi="Arial"/>
                <w:sz w:val="11"/>
                <w:szCs w:val="11"/>
                <w:color w:val="auto"/>
              </w:rPr>
              <w:t>(In thousands)</w:t>
            </w:r>
          </w:p>
        </w:tc>
        <w:tc>
          <w:tcPr>
            <w:tcW w:w="8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80" w:type="dxa"/>
            <w:vAlign w:val="bottom"/>
            <w:shd w:val="clear" w:color="auto" w:fill="CCEEFF"/>
          </w:tcPr>
          <w:p>
            <w:pPr>
              <w:ind w:left="380"/>
              <w:spacing w:after="0" w:line="128" w:lineRule="exact"/>
              <w:rPr>
                <w:sz w:val="20"/>
                <w:szCs w:val="20"/>
                <w:color w:val="auto"/>
              </w:rPr>
            </w:pPr>
            <w:r>
              <w:rPr>
                <w:rFonts w:ascii="Arial" w:cs="Arial" w:eastAsia="Arial" w:hAnsi="Arial"/>
                <w:sz w:val="12"/>
                <w:szCs w:val="12"/>
                <w:color w:val="auto"/>
              </w:rPr>
              <w:t>Losses recognized in OCI</w:t>
            </w:r>
          </w:p>
        </w:tc>
        <w:tc>
          <w:tcPr>
            <w:tcW w:w="2660" w:type="dxa"/>
            <w:vAlign w:val="bottom"/>
            <w:gridSpan w:val="2"/>
            <w:shd w:val="clear" w:color="auto" w:fill="CCEEFF"/>
          </w:tcPr>
          <w:p>
            <w:pPr>
              <w:ind w:left="20"/>
              <w:spacing w:after="0" w:line="128" w:lineRule="exact"/>
              <w:rPr>
                <w:sz w:val="20"/>
                <w:szCs w:val="20"/>
                <w:color w:val="auto"/>
              </w:rPr>
            </w:pPr>
            <w:r>
              <w:rPr>
                <w:rFonts w:ascii="Arial" w:cs="Arial" w:eastAsia="Arial" w:hAnsi="Arial"/>
                <w:sz w:val="12"/>
                <w:szCs w:val="12"/>
                <w:color w:val="auto"/>
              </w:rPr>
              <w:t>Net change in market value of effective foreign</w:t>
            </w: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rPr>
              <w:t>11,106</w:t>
            </w:r>
          </w:p>
        </w:tc>
        <w:tc>
          <w:tcPr>
            <w:tcW w:w="800" w:type="dxa"/>
            <w:vAlign w:val="bottom"/>
            <w:shd w:val="clear" w:color="auto" w:fill="CCEEFF"/>
          </w:tcPr>
          <w:p>
            <w:pPr>
              <w:jc w:val="right"/>
              <w:ind w:right="444"/>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79"/>
              </w:rPr>
              <w:t>2,908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rPr>
              <w:t>14,958</w:t>
            </w:r>
          </w:p>
        </w:tc>
        <w:tc>
          <w:tcPr>
            <w:tcW w:w="4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2,908</w:t>
            </w:r>
          </w:p>
        </w:tc>
        <w:tc>
          <w:tcPr>
            <w:tcW w:w="0" w:type="dxa"/>
            <w:vAlign w:val="bottom"/>
          </w:tcPr>
          <w:p>
            <w:pPr>
              <w:spacing w:after="0"/>
              <w:rPr>
                <w:sz w:val="1"/>
                <w:szCs w:val="1"/>
                <w:color w:val="auto"/>
              </w:rPr>
            </w:pPr>
          </w:p>
        </w:tc>
      </w:tr>
      <w:tr>
        <w:trPr>
          <w:trHeight w:val="159"/>
        </w:trPr>
        <w:tc>
          <w:tcPr>
            <w:tcW w:w="2480" w:type="dxa"/>
            <w:vAlign w:val="bottom"/>
            <w:shd w:val="clear" w:color="auto" w:fill="CCEEFF"/>
          </w:tcPr>
          <w:p>
            <w:pPr>
              <w:spacing w:after="0"/>
              <w:rPr>
                <w:sz w:val="13"/>
                <w:szCs w:val="13"/>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currency forward exchange contracts</w:t>
            </w: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480" w:type="dxa"/>
            <w:vAlign w:val="bottom"/>
          </w:tcPr>
          <w:p>
            <w:pPr>
              <w:ind w:left="20"/>
              <w:spacing w:after="0" w:line="125" w:lineRule="exact"/>
              <w:rPr>
                <w:sz w:val="20"/>
                <w:szCs w:val="20"/>
                <w:color w:val="auto"/>
              </w:rPr>
            </w:pPr>
            <w:r>
              <w:rPr>
                <w:rFonts w:ascii="Arial" w:cs="Arial" w:eastAsia="Arial" w:hAnsi="Arial"/>
                <w:sz w:val="12"/>
                <w:szCs w:val="12"/>
                <w:color w:val="auto"/>
                <w:w w:val="95"/>
              </w:rPr>
              <w:t>Losses recognized in income due to instruments</w:t>
            </w:r>
          </w:p>
        </w:tc>
        <w:tc>
          <w:tcPr>
            <w:tcW w:w="2660" w:type="dxa"/>
            <w:vAlign w:val="bottom"/>
            <w:gridSpan w:val="2"/>
          </w:tcPr>
          <w:p>
            <w:pPr>
              <w:ind w:left="380"/>
              <w:spacing w:after="0" w:line="125" w:lineRule="exact"/>
              <w:rPr>
                <w:sz w:val="20"/>
                <w:szCs w:val="20"/>
                <w:color w:val="auto"/>
              </w:rPr>
            </w:pPr>
            <w:r>
              <w:rPr>
                <w:rFonts w:ascii="Arial" w:cs="Arial" w:eastAsia="Arial" w:hAnsi="Arial"/>
                <w:sz w:val="12"/>
                <w:szCs w:val="12"/>
                <w:color w:val="auto"/>
              </w:rPr>
              <w:t>Cost of revenue</w:t>
            </w:r>
          </w:p>
        </w:tc>
        <w:tc>
          <w:tcPr>
            <w:tcW w:w="560" w:type="dxa"/>
            <w:vAlign w:val="bottom"/>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204"/>
              <w:spacing w:after="0" w:line="125" w:lineRule="exact"/>
              <w:rPr>
                <w:sz w:val="20"/>
                <w:szCs w:val="20"/>
                <w:color w:val="auto"/>
              </w:rPr>
            </w:pPr>
            <w:r>
              <w:rPr>
                <w:rFonts w:ascii="Arial" w:cs="Arial" w:eastAsia="Arial" w:hAnsi="Arial"/>
                <w:sz w:val="11"/>
                <w:szCs w:val="11"/>
                <w:color w:val="auto"/>
              </w:rPr>
              <w:t>7,566</w:t>
            </w:r>
          </w:p>
        </w:tc>
        <w:tc>
          <w:tcPr>
            <w:tcW w:w="800" w:type="dxa"/>
            <w:vAlign w:val="bottom"/>
          </w:tcPr>
          <w:p>
            <w:pPr>
              <w:jc w:val="right"/>
              <w:ind w:right="444"/>
              <w:spacing w:after="0" w:line="125" w:lineRule="exact"/>
              <w:rPr>
                <w:sz w:val="20"/>
                <w:szCs w:val="20"/>
                <w:color w:val="auto"/>
              </w:rPr>
            </w:pPr>
            <w:r>
              <w:rPr>
                <w:rFonts w:ascii="Arial" w:cs="Arial" w:eastAsia="Arial" w:hAnsi="Arial"/>
                <w:sz w:val="11"/>
                <w:szCs w:val="11"/>
                <w:color w:val="auto"/>
              </w:rPr>
              <w:t>$</w:t>
            </w:r>
          </w:p>
        </w:tc>
        <w:tc>
          <w:tcPr>
            <w:tcW w:w="300" w:type="dxa"/>
            <w:vAlign w:val="bottom"/>
          </w:tcPr>
          <w:p>
            <w:pPr>
              <w:jc w:val="right"/>
              <w:ind w:right="6"/>
              <w:spacing w:after="0" w:line="125" w:lineRule="exact"/>
              <w:rPr>
                <w:sz w:val="20"/>
                <w:szCs w:val="20"/>
                <w:color w:val="auto"/>
              </w:rPr>
            </w:pPr>
            <w:r>
              <w:rPr>
                <w:rFonts w:ascii="Arial" w:cs="Arial" w:eastAsia="Arial" w:hAnsi="Arial"/>
                <w:sz w:val="11"/>
                <w:szCs w:val="11"/>
                <w:color w:val="auto"/>
              </w:rPr>
              <w:t>467</w:t>
            </w:r>
          </w:p>
        </w:tc>
        <w:tc>
          <w:tcPr>
            <w:tcW w:w="80" w:type="dxa"/>
            <w:vAlign w:val="bottom"/>
          </w:tcPr>
          <w:p>
            <w:pPr>
              <w:spacing w:after="0"/>
              <w:rPr>
                <w:sz w:val="10"/>
                <w:szCs w:val="10"/>
                <w:color w:val="auto"/>
              </w:rPr>
            </w:pPr>
          </w:p>
        </w:tc>
        <w:tc>
          <w:tcPr>
            <w:tcW w:w="560" w:type="dxa"/>
            <w:vAlign w:val="bottom"/>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204"/>
              <w:spacing w:after="0" w:line="125" w:lineRule="exact"/>
              <w:rPr>
                <w:sz w:val="20"/>
                <w:szCs w:val="20"/>
                <w:color w:val="auto"/>
              </w:rPr>
            </w:pPr>
            <w:r>
              <w:rPr>
                <w:rFonts w:ascii="Arial" w:cs="Arial" w:eastAsia="Arial" w:hAnsi="Arial"/>
                <w:sz w:val="11"/>
                <w:szCs w:val="11"/>
                <w:color w:val="auto"/>
              </w:rPr>
              <w:t>9,163</w:t>
            </w:r>
          </w:p>
        </w:tc>
        <w:tc>
          <w:tcPr>
            <w:tcW w:w="420" w:type="dxa"/>
            <w:vAlign w:val="bottom"/>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4"/>
              <w:spacing w:after="0" w:line="125" w:lineRule="exact"/>
              <w:rPr>
                <w:sz w:val="20"/>
                <w:szCs w:val="20"/>
                <w:color w:val="auto"/>
              </w:rPr>
            </w:pPr>
            <w:r>
              <w:rPr>
                <w:rFonts w:ascii="Arial" w:cs="Arial" w:eastAsia="Arial" w:hAnsi="Arial"/>
                <w:sz w:val="11"/>
                <w:szCs w:val="11"/>
                <w:color w:val="auto"/>
              </w:rPr>
              <w:t>467</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Arial" w:cs="Arial" w:eastAsia="Arial" w:hAnsi="Arial"/>
                <w:sz w:val="12"/>
                <w:szCs w:val="12"/>
                <w:color w:val="auto"/>
              </w:rPr>
              <w:t>maturing</w:t>
            </w: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300" w:firstLine="365"/>
        <w:spacing w:after="0" w:line="302" w:lineRule="auto"/>
        <w:rPr>
          <w:sz w:val="20"/>
          <w:szCs w:val="20"/>
          <w:color w:val="auto"/>
        </w:rPr>
      </w:pPr>
      <w:r>
        <w:rPr>
          <w:rFonts w:ascii="Arial" w:cs="Arial" w:eastAsia="Arial" w:hAnsi="Arial"/>
          <w:sz w:val="12"/>
          <w:szCs w:val="12"/>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June 30, 2022, the Company did not have any offsetting arrangements.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Equity Method Investment</w:t>
      </w:r>
    </w:p>
    <w:p>
      <w:pPr>
        <w:spacing w:after="0" w:line="166" w:lineRule="exact"/>
        <w:rPr>
          <w:sz w:val="20"/>
          <w:szCs w:val="20"/>
          <w:color w:val="auto"/>
        </w:rPr>
      </w:pPr>
    </w:p>
    <w:p>
      <w:pPr>
        <w:ind w:right="140" w:firstLine="365"/>
        <w:spacing w:after="0" w:line="292" w:lineRule="auto"/>
        <w:rPr>
          <w:sz w:val="20"/>
          <w:szCs w:val="20"/>
          <w:color w:val="auto"/>
        </w:rPr>
      </w:pPr>
      <w:r>
        <w:rPr>
          <w:rFonts w:ascii="Arial" w:cs="Arial" w:eastAsia="Arial" w:hAnsi="Arial"/>
          <w:sz w:val="12"/>
          <w:szCs w:val="12"/>
          <w:color w:val="auto"/>
        </w:rPr>
        <w:t>In May 2022, the Company paid $750.0 million in cash to acquire approximately 43% of the total number of Syniverse Corporation’s (“Syniverse”) common shares issued and outstanding after the closing of the transaction. The Company determined that it does not have a controlling financial interest in Syniverse but does exercise significant influence and therefore, the investment was accounted for under the equity method. Utilizing the purchase accounting principles, the Company determined that on the investment date there was an estimated preliminary excess investment basis of $507.3 million related to its share of the identifiable intangible assets of Syniverse. While the Company used its best estimates and assumptions as part of this allocation process to accurately value the investee’s assets and liabilities, these estimates are inherently uncertain and subject to refinement. The authoritative guidance allows a measurement period of up to one year from the date of investment to make adjustments to these preliminary allocations. Since the Company elected to recognize the proportionate share of its equity method adjustments on a one-quarter lag, there was no impact from these allocations on the Company’s condensed consolidated statements of operations for the three and six months ended June 30, 2022.</w:t>
      </w:r>
    </w:p>
    <w:p>
      <w:pPr>
        <w:spacing w:after="0" w:line="124" w:lineRule="exact"/>
        <w:rPr>
          <w:sz w:val="20"/>
          <w:szCs w:val="20"/>
          <w:color w:val="auto"/>
        </w:rPr>
      </w:pPr>
    </w:p>
    <w:p>
      <w:pPr>
        <w:ind w:right="60" w:firstLine="365"/>
        <w:spacing w:after="0" w:line="312" w:lineRule="auto"/>
        <w:rPr>
          <w:sz w:val="20"/>
          <w:szCs w:val="20"/>
          <w:color w:val="auto"/>
        </w:rPr>
      </w:pPr>
      <w:r>
        <w:rPr>
          <w:rFonts w:ascii="Arial" w:cs="Arial" w:eastAsia="Arial" w:hAnsi="Arial"/>
          <w:sz w:val="12"/>
          <w:szCs w:val="12"/>
          <w:color w:val="auto"/>
        </w:rPr>
        <w:t>In conjunction with the investment, the Company and Syniverse entered into a wholesale agreement, pursuant to which Syniverse will process, route and deliver application-to-person messages originating and/or terminating between the Company’s customers and mobile network operators. The impact of transactions that occurred from the date of investment through June 30, 2022, is not significant to the accompanying condensed consolidated statements of operations for the three months and six months ended June 30, 2022.</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Goodwill and Intangible Assets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Goodwill</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goodwill balance as of June 30, 2022 and December 31, 2021 was as follows:</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145"/>
        </w:trPr>
        <w:tc>
          <w:tcPr>
            <w:tcW w:w="87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1"/>
                <w:szCs w:val="11"/>
                <w:b w:val="1"/>
                <w:bCs w:val="1"/>
                <w:color w:val="auto"/>
              </w:rPr>
              <w:t>Total</w:t>
            </w:r>
          </w:p>
        </w:tc>
      </w:tr>
      <w:tr>
        <w:trPr>
          <w:trHeight w:val="134"/>
        </w:trPr>
        <w:tc>
          <w:tcPr>
            <w:tcW w:w="8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jc w:val="right"/>
              <w:ind w:right="262"/>
              <w:spacing w:after="0"/>
              <w:rPr>
                <w:sz w:val="20"/>
                <w:szCs w:val="20"/>
                <w:color w:val="auto"/>
              </w:rPr>
            </w:pPr>
            <w:r>
              <w:rPr>
                <w:rFonts w:ascii="Arial" w:cs="Arial" w:eastAsia="Arial" w:hAnsi="Arial"/>
                <w:sz w:val="11"/>
                <w:szCs w:val="11"/>
                <w:color w:val="auto"/>
              </w:rPr>
              <w:t>(In thousands)</w:t>
            </w:r>
          </w:p>
        </w:tc>
      </w:tr>
      <w:tr>
        <w:trPr>
          <w:trHeight w:val="165"/>
        </w:trPr>
        <w:tc>
          <w:tcPr>
            <w:tcW w:w="8720" w:type="dxa"/>
            <w:vAlign w:val="bottom"/>
            <w:shd w:val="clear" w:color="auto" w:fill="CCEEFF"/>
          </w:tcPr>
          <w:p>
            <w:pPr>
              <w:ind w:left="500"/>
              <w:spacing w:after="0"/>
              <w:rPr>
                <w:sz w:val="20"/>
                <w:szCs w:val="20"/>
                <w:color w:val="auto"/>
              </w:rPr>
            </w:pPr>
            <w:r>
              <w:rPr>
                <w:rFonts w:ascii="Arial" w:cs="Arial" w:eastAsia="Arial" w:hAnsi="Arial"/>
                <w:sz w:val="12"/>
                <w:szCs w:val="12"/>
                <w:color w:val="auto"/>
              </w:rPr>
              <w:t>Balance as of December 31, 2021</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5,263,166</w:t>
            </w:r>
          </w:p>
        </w:tc>
      </w:tr>
      <w:tr>
        <w:trPr>
          <w:trHeight w:val="160"/>
        </w:trPr>
        <w:tc>
          <w:tcPr>
            <w:tcW w:w="8720" w:type="dxa"/>
            <w:vAlign w:val="bottom"/>
            <w:tcBorders>
              <w:bottom w:val="single" w:sz="8" w:color="CCEEFF"/>
            </w:tcBorders>
          </w:tcPr>
          <w:p>
            <w:pPr>
              <w:ind w:left="660"/>
              <w:spacing w:after="0"/>
              <w:rPr>
                <w:sz w:val="20"/>
                <w:szCs w:val="20"/>
                <w:color w:val="auto"/>
              </w:rPr>
            </w:pPr>
            <w:r>
              <w:rPr>
                <w:rFonts w:ascii="Arial" w:cs="Arial" w:eastAsia="Arial" w:hAnsi="Arial"/>
                <w:sz w:val="12"/>
                <w:szCs w:val="12"/>
                <w:color w:val="auto"/>
              </w:rPr>
              <w:t>Goodwill additions and adjustments</w:t>
            </w:r>
          </w:p>
        </w:tc>
        <w:tc>
          <w:tcPr>
            <w:tcW w:w="6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22,397</w:t>
            </w:r>
          </w:p>
        </w:tc>
      </w:tr>
      <w:tr>
        <w:trPr>
          <w:trHeight w:val="178"/>
        </w:trPr>
        <w:tc>
          <w:tcPr>
            <w:tcW w:w="8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Balance as of June 30, 2022</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5,285,563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Intangible assets consisted of the following:</w:t>
      </w:r>
    </w:p>
    <w:p>
      <w:pPr>
        <w:spacing w:after="0" w:line="198"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52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8"/>
              </w:rPr>
              <w:t>As of June 30, 2022</w:t>
            </w:r>
          </w:p>
        </w:tc>
        <w:tc>
          <w:tcPr>
            <w:tcW w:w="8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5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Gross</w:t>
            </w:r>
          </w:p>
        </w:tc>
        <w:tc>
          <w:tcPr>
            <w:tcW w:w="560" w:type="dxa"/>
            <w:vAlign w:val="bottom"/>
          </w:tcPr>
          <w:p>
            <w:pPr>
              <w:spacing w:after="0"/>
              <w:rPr>
                <w:sz w:val="8"/>
                <w:szCs w:val="8"/>
                <w:color w:val="auto"/>
              </w:rPr>
            </w:pPr>
          </w:p>
        </w:tc>
        <w:tc>
          <w:tcPr>
            <w:tcW w:w="132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w w:val="89"/>
              </w:rPr>
              <w:t>Accumulated</w:t>
            </w:r>
          </w:p>
        </w:tc>
        <w:tc>
          <w:tcPr>
            <w:tcW w:w="800" w:type="dxa"/>
            <w:vAlign w:val="bottom"/>
          </w:tcPr>
          <w:p>
            <w:pPr>
              <w:spacing w:after="0"/>
              <w:rPr>
                <w:sz w:val="8"/>
                <w:szCs w:val="8"/>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1"/>
        </w:trPr>
        <w:tc>
          <w:tcPr>
            <w:tcW w:w="5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Amortization</w:t>
            </w:r>
          </w:p>
        </w:tc>
        <w:tc>
          <w:tcPr>
            <w:tcW w:w="8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00" w:type="dxa"/>
            <w:vAlign w:val="bottom"/>
            <w:shd w:val="clear" w:color="auto" w:fill="CCEEFF"/>
          </w:tcPr>
          <w:p>
            <w:pPr>
              <w:ind w:left="500"/>
              <w:spacing w:after="0" w:line="153" w:lineRule="exact"/>
              <w:rPr>
                <w:sz w:val="20"/>
                <w:szCs w:val="20"/>
                <w:color w:val="auto"/>
              </w:rPr>
            </w:pPr>
            <w:r>
              <w:rPr>
                <w:rFonts w:ascii="Arial" w:cs="Arial" w:eastAsia="Arial" w:hAnsi="Arial"/>
                <w:sz w:val="14"/>
                <w:szCs w:val="14"/>
                <w:color w:val="auto"/>
              </w:rPr>
              <w:t>Amortizable intangible assets:</w:t>
            </w: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color w:val="auto"/>
                <w:w w:val="88"/>
              </w:rPr>
              <w:t>(In thousands)</w:t>
            </w:r>
          </w:p>
        </w:tc>
        <w:tc>
          <w:tcPr>
            <w:tcW w:w="8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0" w:type="dxa"/>
            <w:vAlign w:val="bottom"/>
          </w:tcPr>
          <w:p>
            <w:pPr>
              <w:ind w:left="620"/>
              <w:spacing w:after="0"/>
              <w:rPr>
                <w:sz w:val="20"/>
                <w:szCs w:val="20"/>
                <w:color w:val="auto"/>
              </w:rPr>
            </w:pPr>
            <w:r>
              <w:rPr>
                <w:rFonts w:ascii="Arial" w:cs="Arial" w:eastAsia="Arial" w:hAnsi="Arial"/>
                <w:sz w:val="14"/>
                <w:szCs w:val="14"/>
                <w:color w:val="auto"/>
              </w:rPr>
              <w:t>Developed technology</w:t>
            </w:r>
          </w:p>
        </w:tc>
        <w:tc>
          <w:tcPr>
            <w:tcW w:w="8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796,037</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(279,964)</w:t>
            </w:r>
          </w:p>
        </w:tc>
        <w:tc>
          <w:tcPr>
            <w:tcW w:w="100" w:type="dxa"/>
            <w:vAlign w:val="bottom"/>
          </w:tcPr>
          <w:p>
            <w:pPr>
              <w:spacing w:after="0"/>
              <w:rPr>
                <w:sz w:val="15"/>
                <w:szCs w:val="15"/>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516,073</w:t>
            </w:r>
          </w:p>
        </w:tc>
        <w:tc>
          <w:tcPr>
            <w:tcW w:w="0" w:type="dxa"/>
            <w:vAlign w:val="bottom"/>
          </w:tcPr>
          <w:p>
            <w:pPr>
              <w:spacing w:after="0"/>
              <w:rPr>
                <w:sz w:val="1"/>
                <w:szCs w:val="1"/>
                <w:color w:val="auto"/>
              </w:rPr>
            </w:pPr>
          </w:p>
        </w:tc>
      </w:tr>
      <w:tr>
        <w:trPr>
          <w:trHeight w:val="173"/>
        </w:trPr>
        <w:tc>
          <w:tcPr>
            <w:tcW w:w="52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Customer relationships</w:t>
            </w: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538,941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(166,255)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372,686</w:t>
            </w:r>
          </w:p>
        </w:tc>
        <w:tc>
          <w:tcPr>
            <w:tcW w:w="0" w:type="dxa"/>
            <w:vAlign w:val="bottom"/>
          </w:tcPr>
          <w:p>
            <w:pPr>
              <w:spacing w:after="0"/>
              <w:rPr>
                <w:sz w:val="1"/>
                <w:szCs w:val="1"/>
                <w:color w:val="auto"/>
              </w:rPr>
            </w:pPr>
          </w:p>
        </w:tc>
      </w:tr>
      <w:tr>
        <w:trPr>
          <w:trHeight w:val="173"/>
        </w:trPr>
        <w:tc>
          <w:tcPr>
            <w:tcW w:w="5200" w:type="dxa"/>
            <w:vAlign w:val="bottom"/>
          </w:tcPr>
          <w:p>
            <w:pPr>
              <w:ind w:left="620"/>
              <w:spacing w:after="0"/>
              <w:rPr>
                <w:sz w:val="20"/>
                <w:szCs w:val="20"/>
                <w:color w:val="auto"/>
              </w:rPr>
            </w:pPr>
            <w:r>
              <w:rPr>
                <w:rFonts w:ascii="Arial" w:cs="Arial" w:eastAsia="Arial" w:hAnsi="Arial"/>
                <w:sz w:val="14"/>
                <w:szCs w:val="14"/>
                <w:color w:val="auto"/>
              </w:rPr>
              <w:t>Supplier relationships</w:t>
            </w:r>
          </w:p>
        </w:tc>
        <w:tc>
          <w:tcPr>
            <w:tcW w:w="8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57,248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(14,638)</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42,610</w:t>
            </w:r>
          </w:p>
        </w:tc>
        <w:tc>
          <w:tcPr>
            <w:tcW w:w="0" w:type="dxa"/>
            <w:vAlign w:val="bottom"/>
          </w:tcPr>
          <w:p>
            <w:pPr>
              <w:spacing w:after="0"/>
              <w:rPr>
                <w:sz w:val="1"/>
                <w:szCs w:val="1"/>
                <w:color w:val="auto"/>
              </w:rPr>
            </w:pPr>
          </w:p>
        </w:tc>
      </w:tr>
      <w:tr>
        <w:trPr>
          <w:trHeight w:val="173"/>
        </w:trPr>
        <w:tc>
          <w:tcPr>
            <w:tcW w:w="52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Trade names</w:t>
            </w: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(17,019)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13,514</w:t>
            </w:r>
          </w:p>
        </w:tc>
        <w:tc>
          <w:tcPr>
            <w:tcW w:w="0" w:type="dxa"/>
            <w:vAlign w:val="bottom"/>
          </w:tcPr>
          <w:p>
            <w:pPr>
              <w:spacing w:after="0"/>
              <w:rPr>
                <w:sz w:val="1"/>
                <w:szCs w:val="1"/>
                <w:color w:val="auto"/>
              </w:rPr>
            </w:pPr>
          </w:p>
        </w:tc>
      </w:tr>
      <w:tr>
        <w:trPr>
          <w:trHeight w:val="173"/>
        </w:trPr>
        <w:tc>
          <w:tcPr>
            <w:tcW w:w="5200" w:type="dxa"/>
            <w:vAlign w:val="bottom"/>
          </w:tcPr>
          <w:p>
            <w:pPr>
              <w:ind w:left="620"/>
              <w:spacing w:after="0"/>
              <w:rPr>
                <w:sz w:val="20"/>
                <w:szCs w:val="20"/>
                <w:color w:val="auto"/>
              </w:rPr>
            </w:pPr>
            <w:r>
              <w:rPr>
                <w:rFonts w:ascii="Arial" w:cs="Arial" w:eastAsia="Arial" w:hAnsi="Arial"/>
                <w:sz w:val="14"/>
                <w:szCs w:val="14"/>
                <w:color w:val="auto"/>
              </w:rPr>
              <w:t>Order backlog</w:t>
            </w:r>
          </w:p>
        </w:tc>
        <w:tc>
          <w:tcPr>
            <w:tcW w:w="8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52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Patent</w:t>
            </w:r>
          </w:p>
        </w:tc>
        <w:tc>
          <w:tcPr>
            <w:tcW w:w="8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4,028</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3,424</w:t>
            </w:r>
          </w:p>
        </w:tc>
        <w:tc>
          <w:tcPr>
            <w:tcW w:w="0" w:type="dxa"/>
            <w:vAlign w:val="bottom"/>
          </w:tcPr>
          <w:p>
            <w:pPr>
              <w:spacing w:after="0"/>
              <w:rPr>
                <w:sz w:val="1"/>
                <w:szCs w:val="1"/>
                <w:color w:val="auto"/>
              </w:rPr>
            </w:pPr>
          </w:p>
        </w:tc>
      </w:tr>
      <w:tr>
        <w:trPr>
          <w:trHeight w:val="163"/>
        </w:trPr>
        <w:tc>
          <w:tcPr>
            <w:tcW w:w="5200" w:type="dxa"/>
            <w:vAlign w:val="bottom"/>
            <w:tcBorders>
              <w:bottom w:val="single" w:sz="8" w:color="CCEEFF"/>
            </w:tcBorders>
          </w:tcPr>
          <w:p>
            <w:pPr>
              <w:ind w:left="860"/>
              <w:spacing w:after="0"/>
              <w:rPr>
                <w:sz w:val="20"/>
                <w:szCs w:val="20"/>
                <w:color w:val="auto"/>
              </w:rPr>
            </w:pPr>
            <w:r>
              <w:rPr>
                <w:rFonts w:ascii="Arial" w:cs="Arial" w:eastAsia="Arial" w:hAnsi="Arial"/>
                <w:sz w:val="14"/>
                <w:szCs w:val="14"/>
                <w:color w:val="auto"/>
              </w:rPr>
              <w:t>Total amortizable intangible assets</w:t>
            </w: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1,436,787</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(488,480)</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948,307</w:t>
            </w:r>
          </w:p>
        </w:tc>
        <w:tc>
          <w:tcPr>
            <w:tcW w:w="0" w:type="dxa"/>
            <w:vAlign w:val="bottom"/>
          </w:tcPr>
          <w:p>
            <w:pPr>
              <w:spacing w:after="0"/>
              <w:rPr>
                <w:sz w:val="1"/>
                <w:szCs w:val="1"/>
                <w:color w:val="auto"/>
              </w:rPr>
            </w:pPr>
          </w:p>
        </w:tc>
      </w:tr>
      <w:tr>
        <w:trPr>
          <w:trHeight w:val="153"/>
        </w:trPr>
        <w:tc>
          <w:tcPr>
            <w:tcW w:w="5200" w:type="dxa"/>
            <w:vAlign w:val="bottom"/>
            <w:shd w:val="clear" w:color="auto" w:fill="CCEEFF"/>
          </w:tcPr>
          <w:p>
            <w:pPr>
              <w:ind w:left="500"/>
              <w:spacing w:after="0" w:line="153" w:lineRule="exact"/>
              <w:rPr>
                <w:sz w:val="20"/>
                <w:szCs w:val="20"/>
                <w:color w:val="auto"/>
              </w:rPr>
            </w:pPr>
            <w:r>
              <w:rPr>
                <w:rFonts w:ascii="Arial" w:cs="Arial" w:eastAsia="Arial" w:hAnsi="Arial"/>
                <w:sz w:val="14"/>
                <w:szCs w:val="14"/>
                <w:color w:val="auto"/>
              </w:rPr>
              <w:t>Non-amortizable intangible assets:</w:t>
            </w: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0" w:type="dxa"/>
            <w:vAlign w:val="bottom"/>
          </w:tcPr>
          <w:p>
            <w:pPr>
              <w:ind w:left="620"/>
              <w:spacing w:after="0"/>
              <w:rPr>
                <w:sz w:val="20"/>
                <w:szCs w:val="20"/>
                <w:color w:val="auto"/>
              </w:rPr>
            </w:pPr>
            <w:r>
              <w:rPr>
                <w:rFonts w:ascii="Arial" w:cs="Arial" w:eastAsia="Arial" w:hAnsi="Arial"/>
                <w:sz w:val="14"/>
                <w:szCs w:val="14"/>
                <w:color w:val="auto"/>
              </w:rPr>
              <w:t>Telecommunication licenses</w:t>
            </w:r>
          </w:p>
        </w:tc>
        <w:tc>
          <w:tcPr>
            <w:tcW w:w="8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4,920</w:t>
            </w:r>
          </w:p>
        </w:tc>
        <w:tc>
          <w:tcPr>
            <w:tcW w:w="0" w:type="dxa"/>
            <w:vAlign w:val="bottom"/>
          </w:tcPr>
          <w:p>
            <w:pPr>
              <w:spacing w:after="0"/>
              <w:rPr>
                <w:sz w:val="1"/>
                <w:szCs w:val="1"/>
                <w:color w:val="auto"/>
              </w:rPr>
            </w:pPr>
          </w:p>
        </w:tc>
      </w:tr>
      <w:tr>
        <w:trPr>
          <w:trHeight w:val="173"/>
        </w:trPr>
        <w:tc>
          <w:tcPr>
            <w:tcW w:w="52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Trademarks and other</w:t>
            </w: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63"/>
        </w:trPr>
        <w:tc>
          <w:tcPr>
            <w:tcW w:w="5200" w:type="dxa"/>
            <w:vAlign w:val="bottom"/>
          </w:tcPr>
          <w:p>
            <w:pPr>
              <w:ind w:left="860"/>
              <w:spacing w:after="0"/>
              <w:rPr>
                <w:sz w:val="20"/>
                <w:szCs w:val="20"/>
                <w:color w:val="auto"/>
              </w:rPr>
            </w:pPr>
            <w:r>
              <w:rPr>
                <w:rFonts w:ascii="Arial" w:cs="Arial" w:eastAsia="Arial" w:hAnsi="Arial"/>
                <w:sz w:val="14"/>
                <w:szCs w:val="14"/>
                <w:color w:val="auto"/>
              </w:rPr>
              <w:t>Total</w:t>
            </w:r>
          </w:p>
        </w:tc>
        <w:tc>
          <w:tcPr>
            <w:tcW w:w="8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1,442,002</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(488,480)</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953,522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150"/>
        </w:trPr>
        <w:tc>
          <w:tcPr>
            <w:tcW w:w="64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7"/>
              </w:rPr>
              <w:t>As of December 31, 2021</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Gross</w:t>
            </w:r>
          </w:p>
        </w:tc>
        <w:tc>
          <w:tcPr>
            <w:tcW w:w="100" w:type="dxa"/>
            <w:vAlign w:val="bottom"/>
          </w:tcPr>
          <w:p>
            <w:pPr>
              <w:spacing w:after="0"/>
              <w:rPr>
                <w:sz w:val="8"/>
                <w:szCs w:val="8"/>
                <w:color w:val="auto"/>
              </w:rPr>
            </w:pPr>
          </w:p>
        </w:tc>
        <w:tc>
          <w:tcPr>
            <w:tcW w:w="1380" w:type="dxa"/>
            <w:vAlign w:val="bottom"/>
            <w:gridSpan w:val="2"/>
          </w:tcPr>
          <w:p>
            <w:pPr>
              <w:jc w:val="center"/>
              <w:ind w:right="200"/>
              <w:spacing w:after="0" w:line="101" w:lineRule="exact"/>
              <w:rPr>
                <w:sz w:val="20"/>
                <w:szCs w:val="20"/>
                <w:color w:val="auto"/>
              </w:rPr>
            </w:pPr>
            <w:r>
              <w:rPr>
                <w:rFonts w:ascii="Arial" w:cs="Arial" w:eastAsia="Arial" w:hAnsi="Arial"/>
                <w:sz w:val="11"/>
                <w:szCs w:val="11"/>
                <w:b w:val="1"/>
                <w:bCs w:val="1"/>
                <w:color w:val="auto"/>
                <w:w w:val="89"/>
              </w:rPr>
              <w:t>Accumulated</w:t>
            </w:r>
          </w:p>
        </w:tc>
        <w:tc>
          <w:tcPr>
            <w:tcW w:w="340" w:type="dxa"/>
            <w:vAlign w:val="bottom"/>
          </w:tcPr>
          <w:p>
            <w:pPr>
              <w:spacing w:after="0"/>
              <w:rPr>
                <w:sz w:val="8"/>
                <w:szCs w:val="8"/>
                <w:color w:val="auto"/>
              </w:rPr>
            </w:pPr>
          </w:p>
        </w:tc>
        <w:tc>
          <w:tcPr>
            <w:tcW w:w="1040" w:type="dxa"/>
            <w:vAlign w:val="bottom"/>
            <w:vMerge w:val="restart"/>
          </w:tcPr>
          <w:p>
            <w:pPr>
              <w:jc w:val="right"/>
              <w:ind w:right="554"/>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1"/>
        </w:trPr>
        <w:tc>
          <w:tcPr>
            <w:tcW w:w="64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2"/>
              </w:rPr>
              <w:t>Amortization</w:t>
            </w: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Amortizable intangible assets: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color w:val="auto"/>
                <w:w w:val="88"/>
              </w:rPr>
              <w:t>(In thousands)</w:t>
            </w: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40" w:type="dxa"/>
            <w:vAlign w:val="bottom"/>
          </w:tcPr>
          <w:p>
            <w:pPr>
              <w:ind w:left="140"/>
              <w:spacing w:after="0"/>
              <w:rPr>
                <w:sz w:val="20"/>
                <w:szCs w:val="20"/>
                <w:color w:val="auto"/>
              </w:rPr>
            </w:pPr>
            <w:r>
              <w:rPr>
                <w:rFonts w:ascii="Arial" w:cs="Arial" w:eastAsia="Arial" w:hAnsi="Arial"/>
                <w:sz w:val="14"/>
                <w:szCs w:val="14"/>
                <w:color w:val="auto"/>
              </w:rPr>
              <w:t>Developed technology</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794,831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(222,765)</w:t>
            </w:r>
          </w:p>
        </w:tc>
        <w:tc>
          <w:tcPr>
            <w:tcW w:w="8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572,066</w:t>
            </w:r>
          </w:p>
        </w:tc>
        <w:tc>
          <w:tcPr>
            <w:tcW w:w="0" w:type="dxa"/>
            <w:vAlign w:val="bottom"/>
          </w:tcPr>
          <w:p>
            <w:pPr>
              <w:spacing w:after="0"/>
              <w:rPr>
                <w:sz w:val="1"/>
                <w:szCs w:val="1"/>
                <w:color w:val="auto"/>
              </w:rPr>
            </w:pPr>
          </w:p>
        </w:tc>
      </w:tr>
      <w:tr>
        <w:trPr>
          <w:trHeight w:val="173"/>
        </w:trPr>
        <w:tc>
          <w:tcPr>
            <w:tcW w:w="6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Customer relationships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538,264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(128,035)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410,229</w:t>
            </w:r>
          </w:p>
        </w:tc>
        <w:tc>
          <w:tcPr>
            <w:tcW w:w="0" w:type="dxa"/>
            <w:vAlign w:val="bottom"/>
          </w:tcPr>
          <w:p>
            <w:pPr>
              <w:spacing w:after="0"/>
              <w:rPr>
                <w:sz w:val="1"/>
                <w:szCs w:val="1"/>
                <w:color w:val="auto"/>
              </w:rPr>
            </w:pPr>
          </w:p>
        </w:tc>
      </w:tr>
      <w:tr>
        <w:trPr>
          <w:trHeight w:val="173"/>
        </w:trPr>
        <w:tc>
          <w:tcPr>
            <w:tcW w:w="6440" w:type="dxa"/>
            <w:vAlign w:val="bottom"/>
          </w:tcPr>
          <w:p>
            <w:pPr>
              <w:ind w:left="140"/>
              <w:spacing w:after="0"/>
              <w:rPr>
                <w:sz w:val="20"/>
                <w:szCs w:val="20"/>
                <w:color w:val="auto"/>
              </w:rPr>
            </w:pPr>
            <w:r>
              <w:rPr>
                <w:rFonts w:ascii="Arial" w:cs="Arial" w:eastAsia="Arial" w:hAnsi="Arial"/>
                <w:sz w:val="14"/>
                <w:szCs w:val="14"/>
                <w:color w:val="auto"/>
              </w:rPr>
              <w:t>Supplier relationships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51,671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(9,491)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42,180</w:t>
            </w:r>
          </w:p>
        </w:tc>
        <w:tc>
          <w:tcPr>
            <w:tcW w:w="0" w:type="dxa"/>
            <w:vAlign w:val="bottom"/>
          </w:tcPr>
          <w:p>
            <w:pPr>
              <w:spacing w:after="0"/>
              <w:rPr>
                <w:sz w:val="1"/>
                <w:szCs w:val="1"/>
                <w:color w:val="auto"/>
              </w:rPr>
            </w:pPr>
          </w:p>
        </w:tc>
      </w:tr>
      <w:tr>
        <w:trPr>
          <w:trHeight w:val="173"/>
        </w:trPr>
        <w:tc>
          <w:tcPr>
            <w:tcW w:w="6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Trade names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16,795</w:t>
            </w:r>
          </w:p>
        </w:tc>
        <w:tc>
          <w:tcPr>
            <w:tcW w:w="0" w:type="dxa"/>
            <w:vAlign w:val="bottom"/>
          </w:tcPr>
          <w:p>
            <w:pPr>
              <w:spacing w:after="0"/>
              <w:rPr>
                <w:sz w:val="1"/>
                <w:szCs w:val="1"/>
                <w:color w:val="auto"/>
              </w:rPr>
            </w:pPr>
          </w:p>
        </w:tc>
      </w:tr>
      <w:tr>
        <w:trPr>
          <w:trHeight w:val="173"/>
        </w:trPr>
        <w:tc>
          <w:tcPr>
            <w:tcW w:w="6440" w:type="dxa"/>
            <w:vAlign w:val="bottom"/>
          </w:tcPr>
          <w:p>
            <w:pPr>
              <w:ind w:left="140"/>
              <w:spacing w:after="0"/>
              <w:rPr>
                <w:sz w:val="20"/>
                <w:szCs w:val="20"/>
                <w:color w:val="auto"/>
              </w:rPr>
            </w:pPr>
            <w:r>
              <w:rPr>
                <w:rFonts w:ascii="Arial" w:cs="Arial" w:eastAsia="Arial" w:hAnsi="Arial"/>
                <w:sz w:val="14"/>
                <w:szCs w:val="14"/>
                <w:color w:val="auto"/>
              </w:rPr>
              <w:t>Order backlog</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6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Patent</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3,527</w:t>
            </w:r>
          </w:p>
        </w:tc>
        <w:tc>
          <w:tcPr>
            <w:tcW w:w="0" w:type="dxa"/>
            <w:vAlign w:val="bottom"/>
          </w:tcPr>
          <w:p>
            <w:pPr>
              <w:spacing w:after="0"/>
              <w:rPr>
                <w:sz w:val="1"/>
                <w:szCs w:val="1"/>
                <w:color w:val="auto"/>
              </w:rPr>
            </w:pPr>
          </w:p>
        </w:tc>
      </w:tr>
      <w:tr>
        <w:trPr>
          <w:trHeight w:val="163"/>
        </w:trPr>
        <w:tc>
          <w:tcPr>
            <w:tcW w:w="64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amortizable intangible assets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1,429,470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(384,673)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1,044,797</w:t>
            </w:r>
          </w:p>
        </w:tc>
        <w:tc>
          <w:tcPr>
            <w:tcW w:w="0" w:type="dxa"/>
            <w:vAlign w:val="bottom"/>
          </w:tcPr>
          <w:p>
            <w:pPr>
              <w:spacing w:after="0"/>
              <w:rPr>
                <w:sz w:val="1"/>
                <w:szCs w:val="1"/>
                <w:color w:val="auto"/>
              </w:rPr>
            </w:pPr>
          </w:p>
        </w:tc>
      </w:tr>
      <w:tr>
        <w:trPr>
          <w:trHeight w:val="153"/>
        </w:trPr>
        <w:tc>
          <w:tcPr>
            <w:tcW w:w="64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Non-amortizable intangible assets: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40" w:type="dxa"/>
            <w:vAlign w:val="bottom"/>
          </w:tcPr>
          <w:p>
            <w:pPr>
              <w:ind w:left="140"/>
              <w:spacing w:after="0"/>
              <w:rPr>
                <w:sz w:val="20"/>
                <w:szCs w:val="20"/>
                <w:color w:val="auto"/>
              </w:rPr>
            </w:pPr>
            <w:r>
              <w:rPr>
                <w:rFonts w:ascii="Arial" w:cs="Arial" w:eastAsia="Arial" w:hAnsi="Arial"/>
                <w:sz w:val="14"/>
                <w:szCs w:val="14"/>
                <w:color w:val="auto"/>
              </w:rPr>
              <w:t>Telecommunication licenses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4,920</w:t>
            </w:r>
          </w:p>
        </w:tc>
        <w:tc>
          <w:tcPr>
            <w:tcW w:w="0" w:type="dxa"/>
            <w:vAlign w:val="bottom"/>
          </w:tcPr>
          <w:p>
            <w:pPr>
              <w:spacing w:after="0"/>
              <w:rPr>
                <w:sz w:val="1"/>
                <w:szCs w:val="1"/>
                <w:color w:val="auto"/>
              </w:rPr>
            </w:pPr>
          </w:p>
        </w:tc>
      </w:tr>
      <w:tr>
        <w:trPr>
          <w:trHeight w:val="173"/>
        </w:trPr>
        <w:tc>
          <w:tcPr>
            <w:tcW w:w="6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Trademarks and other</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63"/>
        </w:trPr>
        <w:tc>
          <w:tcPr>
            <w:tcW w:w="6440" w:type="dxa"/>
            <w:vAlign w:val="bottom"/>
          </w:tcPr>
          <w:p>
            <w:pPr>
              <w:ind w:left="38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1,434,685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(384,673)</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1,050,012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20" w:firstLine="365"/>
        <w:spacing w:after="0" w:line="259" w:lineRule="auto"/>
        <w:rPr>
          <w:sz w:val="20"/>
          <w:szCs w:val="20"/>
          <w:color w:val="auto"/>
        </w:rPr>
      </w:pPr>
      <w:r>
        <w:rPr>
          <w:rFonts w:ascii="Arial" w:cs="Arial" w:eastAsia="Arial" w:hAnsi="Arial"/>
          <w:sz w:val="14"/>
          <w:szCs w:val="14"/>
          <w:color w:val="auto"/>
        </w:rPr>
        <w:t>Amortization expense was $52.2 million and $45.4 million for the three months ended June 30, 2022 and 2021, respectively, and $103.7 million and $90.6 million for the six months ended June 30, 2022 and 2021, respectively.</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estimated future amortization expense is as follows:</w:t>
      </w:r>
    </w:p>
    <w:p>
      <w:pPr>
        <w:spacing w:after="0" w:line="198" w:lineRule="exact"/>
        <w:rPr>
          <w:sz w:val="20"/>
          <w:szCs w:val="20"/>
          <w:color w:val="auto"/>
        </w:rPr>
      </w:pPr>
    </w:p>
    <w:tbl>
      <w:tblPr>
        <w:tblLayout w:type="fixed"/>
        <w:tblInd w:w="216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81"/>
              <w:spacing w:after="0"/>
              <w:rPr>
                <w:sz w:val="20"/>
                <w:szCs w:val="20"/>
                <w:color w:val="auto"/>
              </w:rPr>
            </w:pPr>
            <w:r>
              <w:rPr>
                <w:rFonts w:ascii="Arial" w:cs="Arial" w:eastAsia="Arial" w:hAnsi="Arial"/>
                <w:sz w:val="11"/>
                <w:szCs w:val="11"/>
                <w:b w:val="1"/>
                <w:bCs w:val="1"/>
                <w:color w:val="auto"/>
                <w:w w:val="97"/>
              </w:rPr>
              <w:t>As of June 30, 2022</w:t>
            </w:r>
          </w:p>
        </w:tc>
      </w:tr>
      <w:tr>
        <w:trPr>
          <w:trHeight w:val="122"/>
        </w:trPr>
        <w:tc>
          <w:tcPr>
            <w:tcW w:w="5420" w:type="dxa"/>
            <w:vAlign w:val="bottom"/>
            <w:gridSpan w:val="2"/>
          </w:tcPr>
          <w:p>
            <w:pPr>
              <w:spacing w:after="0" w:line="122" w:lineRule="exact"/>
              <w:rPr>
                <w:sz w:val="20"/>
                <w:szCs w:val="20"/>
                <w:color w:val="auto"/>
              </w:rPr>
            </w:pPr>
            <w:r>
              <w:rPr>
                <w:rFonts w:ascii="Arial" w:cs="Arial" w:eastAsia="Arial" w:hAnsi="Arial"/>
                <w:sz w:val="12"/>
                <w:szCs w:val="12"/>
                <w:color w:val="auto"/>
              </w:rPr>
              <w:t>Year Ended December 31,</w:t>
            </w:r>
          </w:p>
        </w:tc>
        <w:tc>
          <w:tcPr>
            <w:tcW w:w="200" w:type="dxa"/>
            <w:vAlign w:val="bottom"/>
          </w:tcPr>
          <w:p>
            <w:pPr>
              <w:spacing w:after="0"/>
              <w:rPr>
                <w:sz w:val="10"/>
                <w:szCs w:val="10"/>
                <w:color w:val="auto"/>
              </w:rPr>
            </w:pPr>
          </w:p>
        </w:tc>
        <w:tc>
          <w:tcPr>
            <w:tcW w:w="1360" w:type="dxa"/>
            <w:vAlign w:val="bottom"/>
          </w:tcPr>
          <w:p>
            <w:pPr>
              <w:jc w:val="right"/>
              <w:ind w:right="421"/>
              <w:spacing w:after="0" w:line="122" w:lineRule="exact"/>
              <w:rPr>
                <w:sz w:val="20"/>
                <w:szCs w:val="20"/>
                <w:color w:val="auto"/>
              </w:rPr>
            </w:pPr>
            <w:r>
              <w:rPr>
                <w:rFonts w:ascii="Arial" w:cs="Arial" w:eastAsia="Arial" w:hAnsi="Arial"/>
                <w:sz w:val="11"/>
                <w:szCs w:val="11"/>
                <w:color w:val="auto"/>
              </w:rPr>
              <w:t>(In thousands)</w:t>
            </w:r>
          </w:p>
        </w:tc>
      </w:tr>
      <w:tr>
        <w:trPr>
          <w:trHeight w:val="25"/>
        </w:trPr>
        <w:tc>
          <w:tcPr>
            <w:tcW w:w="1280" w:type="dxa"/>
            <w:vAlign w:val="bottom"/>
            <w:shd w:val="clear" w:color="auto" w:fill="000000"/>
          </w:tcPr>
          <w:p>
            <w:pPr>
              <w:spacing w:after="0"/>
              <w:rPr>
                <w:sz w:val="2"/>
                <w:szCs w:val="2"/>
                <w:color w:val="auto"/>
              </w:rPr>
            </w:pPr>
          </w:p>
        </w:tc>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8"/>
        </w:trPr>
        <w:tc>
          <w:tcPr>
            <w:tcW w:w="5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2022 (remaining six months)</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102,585</w:t>
            </w:r>
          </w:p>
        </w:tc>
      </w:tr>
      <w:tr>
        <w:trPr>
          <w:trHeight w:val="160"/>
        </w:trPr>
        <w:tc>
          <w:tcPr>
            <w:tcW w:w="1280" w:type="dxa"/>
            <w:vAlign w:val="bottom"/>
          </w:tcPr>
          <w:p>
            <w:pPr>
              <w:spacing w:after="0"/>
              <w:rPr>
                <w:sz w:val="20"/>
                <w:szCs w:val="20"/>
                <w:color w:val="auto"/>
              </w:rPr>
            </w:pPr>
            <w:r>
              <w:rPr>
                <w:rFonts w:ascii="Arial" w:cs="Arial" w:eastAsia="Arial" w:hAnsi="Arial"/>
                <w:sz w:val="12"/>
                <w:szCs w:val="12"/>
                <w:color w:val="auto"/>
              </w:rPr>
              <w:t>2023</w:t>
            </w:r>
          </w:p>
        </w:tc>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202,945</w:t>
            </w:r>
          </w:p>
        </w:tc>
      </w:tr>
      <w:tr>
        <w:trPr>
          <w:trHeight w:val="165"/>
        </w:trPr>
        <w:tc>
          <w:tcPr>
            <w:tcW w:w="128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4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197,510</w:t>
            </w:r>
          </w:p>
        </w:tc>
      </w:tr>
      <w:tr>
        <w:trPr>
          <w:trHeight w:val="160"/>
        </w:trPr>
        <w:tc>
          <w:tcPr>
            <w:tcW w:w="1280" w:type="dxa"/>
            <w:vAlign w:val="bottom"/>
          </w:tcPr>
          <w:p>
            <w:pPr>
              <w:spacing w:after="0"/>
              <w:rPr>
                <w:sz w:val="20"/>
                <w:szCs w:val="20"/>
                <w:color w:val="auto"/>
              </w:rPr>
            </w:pPr>
            <w:r>
              <w:rPr>
                <w:rFonts w:ascii="Arial" w:cs="Arial" w:eastAsia="Arial" w:hAnsi="Arial"/>
                <w:sz w:val="12"/>
                <w:szCs w:val="12"/>
                <w:color w:val="auto"/>
              </w:rPr>
              <w:t>2025</w:t>
            </w:r>
          </w:p>
        </w:tc>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193,937</w:t>
            </w:r>
          </w:p>
        </w:tc>
      </w:tr>
      <w:tr>
        <w:trPr>
          <w:trHeight w:val="165"/>
        </w:trPr>
        <w:tc>
          <w:tcPr>
            <w:tcW w:w="128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4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120,382</w:t>
            </w:r>
          </w:p>
        </w:tc>
      </w:tr>
      <w:tr>
        <w:trPr>
          <w:trHeight w:val="160"/>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130,948</w:t>
            </w:r>
          </w:p>
        </w:tc>
      </w:tr>
      <w:tr>
        <w:trPr>
          <w:trHeight w:val="178"/>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Total</w:t>
            </w: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948,307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Accrued Expenses and Other Current Liabilities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Accrued expenses and other current liabilities consisted of the following:</w:t>
      </w:r>
    </w:p>
    <w:p>
      <w:pPr>
        <w:spacing w:after="0" w:line="198" w:lineRule="exact"/>
        <w:rPr>
          <w:sz w:val="20"/>
          <w:szCs w:val="20"/>
          <w:color w:val="auto"/>
        </w:rPr>
      </w:pPr>
    </w:p>
    <w:tbl>
      <w:tblPr>
        <w:tblLayout w:type="fixed"/>
        <w:tblInd w:w="1240" w:type="dxa"/>
        <w:tblCellMar>
          <w:top w:w="0" w:type="dxa"/>
          <w:left w:w="0" w:type="dxa"/>
          <w:bottom w:w="0" w:type="dxa"/>
          <w:right w:w="0" w:type="dxa"/>
        </w:tblCellMar>
      </w:tblPr>
      <w:tr>
        <w:trPr>
          <w:trHeight w:val="150"/>
        </w:trPr>
        <w:tc>
          <w:tcPr>
            <w:tcW w:w="52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1"/>
                <w:szCs w:val="11"/>
                <w:b w:val="1"/>
                <w:bCs w:val="1"/>
                <w:color w:val="auto"/>
                <w:w w:val="93"/>
              </w:rPr>
              <w:t>As of June 30, 2022</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w w:val="91"/>
              </w:rPr>
              <w:t>As of December 31, 2021</w:t>
            </w:r>
          </w:p>
        </w:tc>
      </w:tr>
      <w:tr>
        <w:trPr>
          <w:trHeight w:val="139"/>
        </w:trPr>
        <w:tc>
          <w:tcPr>
            <w:tcW w:w="5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w w:val="88"/>
              </w:rPr>
              <w:t>(In thousands)</w:t>
            </w:r>
          </w:p>
        </w:tc>
        <w:tc>
          <w:tcPr>
            <w:tcW w:w="1400" w:type="dxa"/>
            <w:vAlign w:val="bottom"/>
          </w:tcPr>
          <w:p>
            <w:pPr>
              <w:spacing w:after="0"/>
              <w:rPr>
                <w:sz w:val="12"/>
                <w:szCs w:val="12"/>
                <w:color w:val="auto"/>
              </w:rPr>
            </w:pPr>
          </w:p>
        </w:tc>
      </w:tr>
      <w:tr>
        <w:trPr>
          <w:trHeight w:val="165"/>
        </w:trPr>
        <w:tc>
          <w:tcPr>
            <w:tcW w:w="52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Accrued payroll and related</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86,502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78,780</w:t>
            </w:r>
          </w:p>
        </w:tc>
      </w:tr>
      <w:tr>
        <w:trPr>
          <w:trHeight w:val="160"/>
        </w:trPr>
        <w:tc>
          <w:tcPr>
            <w:tcW w:w="5280" w:type="dxa"/>
            <w:vAlign w:val="bottom"/>
          </w:tcPr>
          <w:p>
            <w:pPr>
              <w:ind w:left="500"/>
              <w:spacing w:after="0"/>
              <w:rPr>
                <w:sz w:val="20"/>
                <w:szCs w:val="20"/>
                <w:color w:val="auto"/>
              </w:rPr>
            </w:pPr>
            <w:r>
              <w:rPr>
                <w:rFonts w:ascii="Arial" w:cs="Arial" w:eastAsia="Arial" w:hAnsi="Arial"/>
                <w:sz w:val="12"/>
                <w:szCs w:val="12"/>
                <w:color w:val="auto"/>
              </w:rPr>
              <w:t>Accrued bonus and commission</w:t>
            </w:r>
          </w:p>
        </w:tc>
        <w:tc>
          <w:tcPr>
            <w:tcW w:w="6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38,662</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64,665</w:t>
            </w:r>
          </w:p>
        </w:tc>
      </w:tr>
      <w:tr>
        <w:trPr>
          <w:trHeight w:val="165"/>
        </w:trPr>
        <w:tc>
          <w:tcPr>
            <w:tcW w:w="52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Accrued cost of revenue</w:t>
            </w: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201,112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118,004</w:t>
            </w:r>
          </w:p>
        </w:tc>
      </w:tr>
      <w:tr>
        <w:trPr>
          <w:trHeight w:val="160"/>
        </w:trPr>
        <w:tc>
          <w:tcPr>
            <w:tcW w:w="5280" w:type="dxa"/>
            <w:vAlign w:val="bottom"/>
          </w:tcPr>
          <w:p>
            <w:pPr>
              <w:ind w:left="500"/>
              <w:spacing w:after="0"/>
              <w:rPr>
                <w:sz w:val="20"/>
                <w:szCs w:val="20"/>
                <w:color w:val="auto"/>
              </w:rPr>
            </w:pPr>
            <w:r>
              <w:rPr>
                <w:rFonts w:ascii="Arial" w:cs="Arial" w:eastAsia="Arial" w:hAnsi="Arial"/>
                <w:sz w:val="12"/>
                <w:szCs w:val="12"/>
                <w:color w:val="auto"/>
              </w:rPr>
              <w:t>Sales and other taxes payable</w:t>
            </w:r>
          </w:p>
        </w:tc>
        <w:tc>
          <w:tcPr>
            <w:tcW w:w="6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74,901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61,975</w:t>
            </w:r>
          </w:p>
        </w:tc>
      </w:tr>
      <w:tr>
        <w:trPr>
          <w:trHeight w:val="165"/>
        </w:trPr>
        <w:tc>
          <w:tcPr>
            <w:tcW w:w="52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ESPP contributions</w:t>
            </w: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10,284</w:t>
            </w:r>
          </w:p>
        </w:tc>
      </w:tr>
      <w:tr>
        <w:trPr>
          <w:trHeight w:val="160"/>
        </w:trPr>
        <w:tc>
          <w:tcPr>
            <w:tcW w:w="5280" w:type="dxa"/>
            <w:vAlign w:val="bottom"/>
          </w:tcPr>
          <w:p>
            <w:pPr>
              <w:ind w:left="500"/>
              <w:spacing w:after="0"/>
              <w:rPr>
                <w:sz w:val="20"/>
                <w:szCs w:val="20"/>
                <w:color w:val="auto"/>
              </w:rPr>
            </w:pPr>
            <w:r>
              <w:rPr>
                <w:rFonts w:ascii="Arial" w:cs="Arial" w:eastAsia="Arial" w:hAnsi="Arial"/>
                <w:sz w:val="12"/>
                <w:szCs w:val="12"/>
                <w:color w:val="auto"/>
              </w:rPr>
              <w:t>Derivative liability</w:t>
            </w:r>
          </w:p>
        </w:tc>
        <w:tc>
          <w:tcPr>
            <w:tcW w:w="6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14,669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220</w:t>
            </w:r>
          </w:p>
        </w:tc>
      </w:tr>
      <w:tr>
        <w:trPr>
          <w:trHeight w:val="165"/>
        </w:trPr>
        <w:tc>
          <w:tcPr>
            <w:tcW w:w="52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Finance lease liability, current</w:t>
            </w: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12,220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12,370</w:t>
            </w:r>
          </w:p>
        </w:tc>
      </w:tr>
      <w:tr>
        <w:trPr>
          <w:trHeight w:val="160"/>
        </w:trPr>
        <w:tc>
          <w:tcPr>
            <w:tcW w:w="528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Accrued other expense</w:t>
            </w:r>
          </w:p>
        </w:tc>
        <w:tc>
          <w:tcPr>
            <w:tcW w:w="6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71,295</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71,205</w:t>
            </w:r>
          </w:p>
        </w:tc>
      </w:tr>
      <w:tr>
        <w:trPr>
          <w:trHeight w:val="175"/>
        </w:trPr>
        <w:tc>
          <w:tcPr>
            <w:tcW w:w="52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Total accrued expenses and other current liabilities</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504,810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417,503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040"/>
          </w:cols>
          <w:pgMar w:left="300" w:top="129" w:right="55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Notes Payable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Long-term debt, net, consisted of the following:</w:t>
      </w:r>
    </w:p>
    <w:p>
      <w:pPr>
        <w:spacing w:after="0" w:line="198" w:lineRule="exact"/>
        <w:rPr>
          <w:sz w:val="20"/>
          <w:szCs w:val="20"/>
          <w:color w:val="auto"/>
        </w:rPr>
      </w:pPr>
    </w:p>
    <w:tbl>
      <w:tblPr>
        <w:tblLayout w:type="fixed"/>
        <w:tblInd w:w="1680" w:type="dxa"/>
        <w:tblCellMar>
          <w:top w:w="0" w:type="dxa"/>
          <w:left w:w="0" w:type="dxa"/>
          <w:bottom w:w="0" w:type="dxa"/>
          <w:right w:w="0" w:type="dxa"/>
        </w:tblCellMar>
      </w:tblPr>
      <w:tr>
        <w:trPr>
          <w:trHeight w:val="150"/>
        </w:trPr>
        <w:tc>
          <w:tcPr>
            <w:tcW w:w="43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w w:val="93"/>
              </w:rPr>
              <w:t>As of June 30, 2022</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w w:val="91"/>
              </w:rPr>
              <w:t>As of December 31, 2021</w:t>
            </w:r>
          </w:p>
        </w:tc>
      </w:tr>
      <w:tr>
        <w:trPr>
          <w:trHeight w:val="139"/>
        </w:trPr>
        <w:tc>
          <w:tcPr>
            <w:tcW w:w="4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w w:val="90"/>
              </w:rPr>
              <w:t>(In thousands)</w:t>
            </w:r>
          </w:p>
        </w:tc>
        <w:tc>
          <w:tcPr>
            <w:tcW w:w="1400" w:type="dxa"/>
            <w:vAlign w:val="bottom"/>
          </w:tcPr>
          <w:p>
            <w:pPr>
              <w:spacing w:after="0"/>
              <w:rPr>
                <w:sz w:val="12"/>
                <w:szCs w:val="12"/>
                <w:color w:val="auto"/>
              </w:rPr>
            </w:pPr>
          </w:p>
        </w:tc>
      </w:tr>
      <w:tr>
        <w:trPr>
          <w:trHeight w:val="165"/>
        </w:trPr>
        <w:tc>
          <w:tcPr>
            <w:tcW w:w="4380" w:type="dxa"/>
            <w:vAlign w:val="bottom"/>
            <w:shd w:val="clear" w:color="auto" w:fill="CCEEFF"/>
          </w:tcPr>
          <w:p>
            <w:pPr>
              <w:ind w:left="660"/>
              <w:spacing w:after="0"/>
              <w:rPr>
                <w:sz w:val="20"/>
                <w:szCs w:val="20"/>
                <w:color w:val="auto"/>
              </w:rPr>
            </w:pPr>
            <w:r>
              <w:rPr>
                <w:rFonts w:ascii="Arial" w:cs="Arial" w:eastAsia="Arial" w:hAnsi="Arial"/>
                <w:sz w:val="12"/>
                <w:szCs w:val="12"/>
                <w:b w:val="1"/>
                <w:bCs w:val="1"/>
                <w:color w:val="auto"/>
              </w:rPr>
              <w:t>2029 Senior Notes</w:t>
            </w:r>
          </w:p>
        </w:tc>
        <w:tc>
          <w:tcPr>
            <w:tcW w:w="6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0"/>
        </w:trPr>
        <w:tc>
          <w:tcPr>
            <w:tcW w:w="4380" w:type="dxa"/>
            <w:vAlign w:val="bottom"/>
          </w:tcPr>
          <w:p>
            <w:pPr>
              <w:ind w:left="740"/>
              <w:spacing w:after="0"/>
              <w:rPr>
                <w:sz w:val="20"/>
                <w:szCs w:val="20"/>
                <w:color w:val="auto"/>
              </w:rPr>
            </w:pPr>
            <w:r>
              <w:rPr>
                <w:rFonts w:ascii="Arial" w:cs="Arial" w:eastAsia="Arial" w:hAnsi="Arial"/>
                <w:sz w:val="12"/>
                <w:szCs w:val="12"/>
                <w:color w:val="auto"/>
              </w:rPr>
              <w:t>Principal</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500,000</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500,000</w:t>
            </w:r>
          </w:p>
        </w:tc>
      </w:tr>
      <w:tr>
        <w:trPr>
          <w:trHeight w:val="165"/>
        </w:trPr>
        <w:tc>
          <w:tcPr>
            <w:tcW w:w="43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Unamortized discount</w:t>
            </w:r>
          </w:p>
        </w:tc>
        <w:tc>
          <w:tcPr>
            <w:tcW w:w="6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(5,701)</w:t>
            </w:r>
          </w:p>
        </w:tc>
      </w:tr>
      <w:tr>
        <w:trPr>
          <w:trHeight w:val="160"/>
        </w:trPr>
        <w:tc>
          <w:tcPr>
            <w:tcW w:w="438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Unamortized issuance costs</w:t>
            </w:r>
          </w:p>
        </w:tc>
        <w:tc>
          <w:tcPr>
            <w:tcW w:w="6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(1,205)</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(1,286)</w:t>
            </w:r>
          </w:p>
        </w:tc>
      </w:tr>
      <w:tr>
        <w:trPr>
          <w:trHeight w:val="155"/>
        </w:trPr>
        <w:tc>
          <w:tcPr>
            <w:tcW w:w="4380" w:type="dxa"/>
            <w:vAlign w:val="bottom"/>
            <w:shd w:val="clear" w:color="auto" w:fill="CCEEFF"/>
          </w:tcPr>
          <w:p>
            <w:pPr>
              <w:ind w:left="820"/>
              <w:spacing w:after="0"/>
              <w:rPr>
                <w:sz w:val="20"/>
                <w:szCs w:val="20"/>
                <w:color w:val="auto"/>
              </w:rPr>
            </w:pPr>
            <w:r>
              <w:rPr>
                <w:rFonts w:ascii="Arial" w:cs="Arial" w:eastAsia="Arial" w:hAnsi="Arial"/>
                <w:sz w:val="12"/>
                <w:szCs w:val="12"/>
                <w:color w:val="auto"/>
              </w:rPr>
              <w:t>Net carrying amount</w:t>
            </w:r>
          </w:p>
        </w:tc>
        <w:tc>
          <w:tcPr>
            <w:tcW w:w="6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493,440</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493,013</w:t>
            </w:r>
          </w:p>
        </w:tc>
      </w:tr>
      <w:tr>
        <w:trPr>
          <w:trHeight w:val="140"/>
        </w:trPr>
        <w:tc>
          <w:tcPr>
            <w:tcW w:w="4380" w:type="dxa"/>
            <w:vAlign w:val="bottom"/>
          </w:tcPr>
          <w:p>
            <w:pPr>
              <w:ind w:left="660"/>
              <w:spacing w:after="0"/>
              <w:rPr>
                <w:sz w:val="20"/>
                <w:szCs w:val="20"/>
                <w:color w:val="auto"/>
              </w:rPr>
            </w:pPr>
            <w:r>
              <w:rPr>
                <w:rFonts w:ascii="Arial" w:cs="Arial" w:eastAsia="Arial" w:hAnsi="Arial"/>
                <w:sz w:val="12"/>
                <w:szCs w:val="12"/>
                <w:b w:val="1"/>
                <w:bCs w:val="1"/>
                <w:color w:val="auto"/>
              </w:rPr>
              <w:t>2031 Senior Notes</w:t>
            </w: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4"/>
        </w:trPr>
        <w:tc>
          <w:tcPr>
            <w:tcW w:w="43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Principal</w:t>
            </w:r>
          </w:p>
        </w:tc>
        <w:tc>
          <w:tcPr>
            <w:tcW w:w="6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r>
      <w:tr>
        <w:trPr>
          <w:trHeight w:val="160"/>
        </w:trPr>
        <w:tc>
          <w:tcPr>
            <w:tcW w:w="4380" w:type="dxa"/>
            <w:vAlign w:val="bottom"/>
          </w:tcPr>
          <w:p>
            <w:pPr>
              <w:ind w:left="740"/>
              <w:spacing w:after="0"/>
              <w:rPr>
                <w:sz w:val="20"/>
                <w:szCs w:val="20"/>
                <w:color w:val="auto"/>
              </w:rPr>
            </w:pPr>
            <w:r>
              <w:rPr>
                <w:rFonts w:ascii="Arial" w:cs="Arial" w:eastAsia="Arial" w:hAnsi="Arial"/>
                <w:sz w:val="12"/>
                <w:szCs w:val="12"/>
                <w:color w:val="auto"/>
              </w:rPr>
              <w:t>Unamortized discount</w:t>
            </w:r>
          </w:p>
        </w:tc>
        <w:tc>
          <w:tcPr>
            <w:tcW w:w="6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(5,568)</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(5,832)</w:t>
            </w:r>
          </w:p>
        </w:tc>
      </w:tr>
      <w:tr>
        <w:trPr>
          <w:trHeight w:val="165"/>
        </w:trPr>
        <w:tc>
          <w:tcPr>
            <w:tcW w:w="43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Unamortized issuance costs</w:t>
            </w:r>
          </w:p>
        </w:tc>
        <w:tc>
          <w:tcPr>
            <w:tcW w:w="6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(1,253)</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(1,274)</w:t>
            </w:r>
          </w:p>
        </w:tc>
      </w:tr>
      <w:tr>
        <w:trPr>
          <w:trHeight w:val="150"/>
        </w:trPr>
        <w:tc>
          <w:tcPr>
            <w:tcW w:w="4380" w:type="dxa"/>
            <w:vAlign w:val="bottom"/>
            <w:tcBorders>
              <w:bottom w:val="single" w:sz="8" w:color="CCEEFF"/>
            </w:tcBorders>
          </w:tcPr>
          <w:p>
            <w:pPr>
              <w:ind w:left="900"/>
              <w:spacing w:after="0"/>
              <w:rPr>
                <w:sz w:val="20"/>
                <w:szCs w:val="20"/>
                <w:color w:val="auto"/>
              </w:rPr>
            </w:pPr>
            <w:r>
              <w:rPr>
                <w:rFonts w:ascii="Arial" w:cs="Arial" w:eastAsia="Arial" w:hAnsi="Arial"/>
                <w:sz w:val="12"/>
                <w:szCs w:val="12"/>
                <w:color w:val="auto"/>
              </w:rPr>
              <w:t>Net carrying amount</w:t>
            </w:r>
          </w:p>
        </w:tc>
        <w:tc>
          <w:tcPr>
            <w:tcW w:w="6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493,179</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492,894</w:t>
            </w:r>
          </w:p>
        </w:tc>
      </w:tr>
      <w:tr>
        <w:trPr>
          <w:trHeight w:val="175"/>
        </w:trPr>
        <w:tc>
          <w:tcPr>
            <w:tcW w:w="4380" w:type="dxa"/>
            <w:vAlign w:val="bottom"/>
            <w:shd w:val="clear" w:color="auto" w:fill="CCEEFF"/>
          </w:tcPr>
          <w:p>
            <w:pPr>
              <w:ind w:left="980"/>
              <w:spacing w:after="0"/>
              <w:rPr>
                <w:sz w:val="20"/>
                <w:szCs w:val="20"/>
                <w:color w:val="auto"/>
              </w:rPr>
            </w:pPr>
            <w:r>
              <w:rPr>
                <w:rFonts w:ascii="Arial" w:cs="Arial" w:eastAsia="Arial" w:hAnsi="Arial"/>
                <w:sz w:val="12"/>
                <w:szCs w:val="12"/>
                <w:color w:val="auto"/>
              </w:rPr>
              <w:t>Total long-term debt, net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986,619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985,907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2022, the Company was in compliance with all of its financial covenants under the Indenture.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Revenue by Geographic Area</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Revenue by geographic area is based on the IP address or the mailing address at the time of registration. The following table sets forth revenue by geographic area:</w:t>
      </w:r>
    </w:p>
    <w:p>
      <w:pPr>
        <w:spacing w:after="0" w:line="17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4"/>
          </w:tcPr>
          <w:p>
            <w:pPr>
              <w:ind w:left="420"/>
              <w:spacing w:after="0"/>
              <w:rPr>
                <w:sz w:val="20"/>
                <w:szCs w:val="20"/>
                <w:color w:val="auto"/>
              </w:rPr>
            </w:pPr>
            <w:r>
              <w:rPr>
                <w:rFonts w:ascii="Arial" w:cs="Arial" w:eastAsia="Arial" w:hAnsi="Arial"/>
                <w:sz w:val="11"/>
                <w:szCs w:val="11"/>
                <w:b w:val="1"/>
                <w:bCs w:val="1"/>
                <w:color w:val="auto"/>
              </w:rPr>
              <w:t>Six Months Ended</w:t>
            </w: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1"/>
        </w:trPr>
        <w:tc>
          <w:tcPr>
            <w:tcW w:w="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1"/>
                <w:szCs w:val="11"/>
                <w:b w:val="1"/>
                <w:bCs w:val="1"/>
                <w:color w:val="auto"/>
              </w:rPr>
              <w:t>June 30,</w:t>
            </w: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420"/>
              <w:spacing w:after="0"/>
              <w:rPr>
                <w:sz w:val="20"/>
                <w:szCs w:val="20"/>
                <w:color w:val="auto"/>
              </w:rPr>
            </w:pPr>
            <w:r>
              <w:rPr>
                <w:rFonts w:ascii="Arial" w:cs="Arial" w:eastAsia="Arial" w:hAnsi="Arial"/>
                <w:sz w:val="11"/>
                <w:szCs w:val="11"/>
                <w:b w:val="1"/>
                <w:bCs w:val="1"/>
                <w:color w:val="auto"/>
              </w:rPr>
              <w:t>June 30,</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r>
      <w:tr>
        <w:trPr>
          <w:trHeight w:val="132"/>
        </w:trPr>
        <w:tc>
          <w:tcPr>
            <w:tcW w:w="40" w:type="dxa"/>
            <w:vAlign w:val="bottom"/>
            <w:tcBorders>
              <w:bottom w:val="single" w:sz="8" w:color="CCEEFF"/>
            </w:tcBorders>
          </w:tcPr>
          <w:p>
            <w:pPr>
              <w:spacing w:after="0"/>
              <w:rPr>
                <w:sz w:val="11"/>
                <w:szCs w:val="11"/>
                <w:color w:val="auto"/>
              </w:rPr>
            </w:pPr>
          </w:p>
        </w:tc>
        <w:tc>
          <w:tcPr>
            <w:tcW w:w="35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1"/>
                <w:szCs w:val="11"/>
                <w:color w:val="auto"/>
              </w:rPr>
            </w:pPr>
          </w:p>
        </w:tc>
      </w:tr>
      <w:tr>
        <w:trPr>
          <w:trHeight w:val="143"/>
        </w:trPr>
        <w:tc>
          <w:tcPr>
            <w:tcW w:w="40" w:type="dxa"/>
            <w:vAlign w:val="bottom"/>
            <w:shd w:val="clear" w:color="auto" w:fill="CCEEFF"/>
          </w:tcPr>
          <w:p>
            <w:pPr>
              <w:spacing w:after="0"/>
              <w:rPr>
                <w:sz w:val="12"/>
                <w:szCs w:val="12"/>
                <w:color w:val="auto"/>
              </w:rPr>
            </w:pPr>
          </w:p>
        </w:tc>
        <w:tc>
          <w:tcPr>
            <w:tcW w:w="35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Revenue by geographic area:</w:t>
            </w: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0"/>
        </w:trPr>
        <w:tc>
          <w:tcPr>
            <w:tcW w:w="40" w:type="dxa"/>
            <w:vAlign w:val="bottom"/>
          </w:tcPr>
          <w:p>
            <w:pPr>
              <w:spacing w:after="0"/>
              <w:rPr>
                <w:sz w:val="13"/>
                <w:szCs w:val="13"/>
                <w:color w:val="auto"/>
              </w:rPr>
            </w:pPr>
          </w:p>
        </w:tc>
        <w:tc>
          <w:tcPr>
            <w:tcW w:w="3540" w:type="dxa"/>
            <w:vAlign w:val="bottom"/>
          </w:tcPr>
          <w:p>
            <w:pPr>
              <w:ind w:left="600"/>
              <w:spacing w:after="0"/>
              <w:rPr>
                <w:sz w:val="20"/>
                <w:szCs w:val="20"/>
                <w:color w:val="auto"/>
              </w:rPr>
            </w:pPr>
            <w:r>
              <w:rPr>
                <w:rFonts w:ascii="Arial" w:cs="Arial" w:eastAsia="Arial" w:hAnsi="Arial"/>
                <w:sz w:val="12"/>
                <w:szCs w:val="12"/>
                <w:color w:val="auto"/>
              </w:rPr>
              <w:t>United States</w:t>
            </w:r>
          </w:p>
        </w:tc>
        <w:tc>
          <w:tcPr>
            <w:tcW w:w="76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616,306</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452,912</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3"/>
              </w:rPr>
              <w:t>1,186,687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874,443</w:t>
            </w:r>
          </w:p>
        </w:tc>
        <w:tc>
          <w:tcPr>
            <w:tcW w:w="40" w:type="dxa"/>
            <w:vAlign w:val="bottom"/>
          </w:tcPr>
          <w:p>
            <w:pPr>
              <w:spacing w:after="0"/>
              <w:rPr>
                <w:sz w:val="13"/>
                <w:szCs w:val="13"/>
                <w:color w:val="auto"/>
              </w:rPr>
            </w:pPr>
          </w:p>
        </w:tc>
      </w:tr>
      <w:tr>
        <w:trPr>
          <w:trHeight w:val="165"/>
        </w:trPr>
        <w:tc>
          <w:tcPr>
            <w:tcW w:w="40" w:type="dxa"/>
            <w:vAlign w:val="bottom"/>
            <w:shd w:val="clear" w:color="auto" w:fill="CCEEFF"/>
          </w:tcPr>
          <w:p>
            <w:pPr>
              <w:spacing w:after="0"/>
              <w:rPr>
                <w:sz w:val="14"/>
                <w:szCs w:val="14"/>
                <w:color w:val="auto"/>
              </w:rPr>
            </w:pPr>
          </w:p>
        </w:tc>
        <w:tc>
          <w:tcPr>
            <w:tcW w:w="35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International</w:t>
            </w:r>
          </w:p>
        </w:tc>
        <w:tc>
          <w:tcPr>
            <w:tcW w:w="7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327,048</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216,019</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632,030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384,476</w:t>
            </w:r>
          </w:p>
        </w:tc>
        <w:tc>
          <w:tcPr>
            <w:tcW w:w="40" w:type="dxa"/>
            <w:vAlign w:val="bottom"/>
            <w:tcBorders>
              <w:bottom w:val="single" w:sz="8" w:color="auto"/>
            </w:tcBorders>
            <w:shd w:val="clear" w:color="auto" w:fill="CCEEFF"/>
          </w:tcPr>
          <w:p>
            <w:pPr>
              <w:spacing w:after="0"/>
              <w:rPr>
                <w:sz w:val="14"/>
                <w:szCs w:val="14"/>
                <w:color w:val="auto"/>
              </w:rPr>
            </w:pPr>
          </w:p>
        </w:tc>
      </w:tr>
      <w:tr>
        <w:trPr>
          <w:trHeight w:val="150"/>
        </w:trPr>
        <w:tc>
          <w:tcPr>
            <w:tcW w:w="40" w:type="dxa"/>
            <w:vAlign w:val="bottom"/>
          </w:tcPr>
          <w:p>
            <w:pPr>
              <w:spacing w:after="0"/>
              <w:rPr>
                <w:sz w:val="13"/>
                <w:szCs w:val="13"/>
                <w:color w:val="auto"/>
              </w:rPr>
            </w:pPr>
          </w:p>
        </w:tc>
        <w:tc>
          <w:tcPr>
            <w:tcW w:w="3540" w:type="dxa"/>
            <w:vAlign w:val="bottom"/>
          </w:tcPr>
          <w:p>
            <w:pPr>
              <w:ind w:left="800"/>
              <w:spacing w:after="0"/>
              <w:rPr>
                <w:sz w:val="20"/>
                <w:szCs w:val="20"/>
                <w:color w:val="auto"/>
              </w:rPr>
            </w:pPr>
            <w:r>
              <w:rPr>
                <w:rFonts w:ascii="Arial" w:cs="Arial" w:eastAsia="Arial" w:hAnsi="Arial"/>
                <w:sz w:val="12"/>
                <w:szCs w:val="12"/>
                <w:color w:val="auto"/>
              </w:rPr>
              <w:t>Total</w:t>
            </w:r>
          </w:p>
        </w:tc>
        <w:tc>
          <w:tcPr>
            <w:tcW w:w="76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943,354</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668,931</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3"/>
              </w:rPr>
              <w:t>1,818,717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1,258,919</w:t>
            </w:r>
          </w:p>
        </w:tc>
        <w:tc>
          <w:tcPr>
            <w:tcW w:w="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64"/>
        </w:trPr>
        <w:tc>
          <w:tcPr>
            <w:tcW w:w="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62"/>
        </w:trPr>
        <w:tc>
          <w:tcPr>
            <w:tcW w:w="40" w:type="dxa"/>
            <w:vAlign w:val="bottom"/>
          </w:tcPr>
          <w:p>
            <w:pPr>
              <w:spacing w:after="0"/>
              <w:rPr>
                <w:sz w:val="14"/>
                <w:szCs w:val="14"/>
                <w:color w:val="auto"/>
              </w:rPr>
            </w:pPr>
          </w:p>
        </w:tc>
        <w:tc>
          <w:tcPr>
            <w:tcW w:w="35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Percentage of revenue by geographic area:</w:t>
            </w:r>
          </w:p>
        </w:tc>
        <w:tc>
          <w:tcPr>
            <w:tcW w:w="7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3540" w:type="dxa"/>
            <w:vAlign w:val="bottom"/>
          </w:tcPr>
          <w:p>
            <w:pPr>
              <w:ind w:left="640"/>
              <w:spacing w:after="0"/>
              <w:rPr>
                <w:sz w:val="20"/>
                <w:szCs w:val="20"/>
                <w:color w:val="auto"/>
              </w:rPr>
            </w:pPr>
            <w:r>
              <w:rPr>
                <w:rFonts w:ascii="Arial" w:cs="Arial" w:eastAsia="Arial" w:hAnsi="Arial"/>
                <w:sz w:val="12"/>
                <w:szCs w:val="12"/>
                <w:color w:val="auto"/>
              </w:rPr>
              <w:t>United States</w:t>
            </w:r>
          </w:p>
        </w:tc>
        <w:tc>
          <w:tcPr>
            <w:tcW w:w="760" w:type="dxa"/>
            <w:vAlign w:val="bottom"/>
          </w:tcPr>
          <w:p>
            <w:pPr>
              <w:spacing w:after="0"/>
              <w:rPr>
                <w:sz w:val="13"/>
                <w:szCs w:val="13"/>
                <w:color w:val="auto"/>
              </w:rPr>
            </w:pPr>
          </w:p>
        </w:tc>
        <w:tc>
          <w:tcPr>
            <w:tcW w:w="860" w:type="dxa"/>
            <w:vAlign w:val="bottom"/>
          </w:tcPr>
          <w:p>
            <w:pPr>
              <w:jc w:val="right"/>
              <w:ind w:right="382"/>
              <w:spacing w:after="0"/>
              <w:rPr>
                <w:sz w:val="20"/>
                <w:szCs w:val="20"/>
                <w:color w:val="auto"/>
              </w:rPr>
            </w:pPr>
            <w:r>
              <w:rPr>
                <w:rFonts w:ascii="Arial" w:cs="Arial" w:eastAsia="Arial" w:hAnsi="Arial"/>
                <w:sz w:val="12"/>
                <w:szCs w:val="12"/>
                <w:color w:val="auto"/>
              </w:rPr>
              <w:t>65</w:t>
            </w:r>
          </w:p>
        </w:tc>
        <w:tc>
          <w:tcPr>
            <w:tcW w:w="92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40"/>
              <w:spacing w:after="0"/>
              <w:rPr>
                <w:sz w:val="20"/>
                <w:szCs w:val="20"/>
                <w:color w:val="auto"/>
              </w:rPr>
            </w:pPr>
            <w:r>
              <w:rPr>
                <w:rFonts w:ascii="Arial" w:cs="Arial" w:eastAsia="Arial" w:hAnsi="Arial"/>
                <w:sz w:val="12"/>
                <w:szCs w:val="12"/>
                <w:color w:val="auto"/>
              </w:rPr>
              <w:t>68</w:t>
            </w:r>
          </w:p>
        </w:tc>
        <w:tc>
          <w:tcPr>
            <w:tcW w:w="8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ind w:left="200"/>
              <w:spacing w:after="0"/>
              <w:rPr>
                <w:sz w:val="20"/>
                <w:szCs w:val="20"/>
                <w:color w:val="auto"/>
              </w:rPr>
            </w:pPr>
            <w:r>
              <w:rPr>
                <w:rFonts w:ascii="Arial" w:cs="Arial" w:eastAsia="Arial" w:hAnsi="Arial"/>
                <w:sz w:val="12"/>
                <w:szCs w:val="12"/>
                <w:color w:val="auto"/>
                <w:w w:val="89"/>
              </w:rPr>
              <w:t>65</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jc w:val="right"/>
              <w:ind w:right="21"/>
              <w:spacing w:after="0"/>
              <w:rPr>
                <w:sz w:val="20"/>
                <w:szCs w:val="20"/>
                <w:color w:val="auto"/>
              </w:rPr>
            </w:pPr>
            <w:r>
              <w:rPr>
                <w:rFonts w:ascii="Arial" w:cs="Arial" w:eastAsia="Arial" w:hAnsi="Arial"/>
                <w:sz w:val="12"/>
                <w:szCs w:val="12"/>
                <w:color w:val="auto"/>
              </w:rPr>
              <w:t>69</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r>
      <w:tr>
        <w:trPr>
          <w:trHeight w:val="165"/>
        </w:trPr>
        <w:tc>
          <w:tcPr>
            <w:tcW w:w="40" w:type="dxa"/>
            <w:vAlign w:val="bottom"/>
          </w:tcPr>
          <w:p>
            <w:pPr>
              <w:spacing w:after="0"/>
              <w:rPr>
                <w:sz w:val="14"/>
                <w:szCs w:val="14"/>
                <w:color w:val="auto"/>
              </w:rPr>
            </w:pPr>
          </w:p>
        </w:tc>
        <w:tc>
          <w:tcPr>
            <w:tcW w:w="35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International</w:t>
            </w:r>
          </w:p>
        </w:tc>
        <w:tc>
          <w:tcPr>
            <w:tcW w:w="7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35</w:t>
            </w:r>
          </w:p>
        </w:tc>
        <w:tc>
          <w:tcPr>
            <w:tcW w:w="92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32</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9"/>
              </w:rPr>
              <w:t>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31</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r>
    </w:tbl>
    <w:p>
      <w:pPr>
        <w:spacing w:after="0" w:line="22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Long-lived assets outside of the United States were not significant.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86" w:lineRule="exact"/>
        <w:rPr>
          <w:sz w:val="20"/>
          <w:szCs w:val="20"/>
          <w:color w:val="auto"/>
        </w:rPr>
      </w:pPr>
    </w:p>
    <w:p>
      <w:pPr>
        <w:ind w:left="980" w:hanging="613"/>
        <w:spacing w:after="0"/>
        <w:tabs>
          <w:tab w:leader="none" w:pos="980" w:val="left"/>
        </w:tabs>
        <w:numPr>
          <w:ilvl w:val="0"/>
          <w:numId w:val="1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Lease and Other Commitments</w:t>
      </w:r>
    </w:p>
    <w:p>
      <w:pPr>
        <w:spacing w:after="0" w:line="164" w:lineRule="exact"/>
        <w:rPr>
          <w:sz w:val="20"/>
          <w:szCs w:val="20"/>
          <w:color w:val="auto"/>
        </w:rPr>
      </w:pPr>
    </w:p>
    <w:p>
      <w:pPr>
        <w:ind w:right="140" w:firstLine="365"/>
        <w:spacing w:after="0" w:line="259" w:lineRule="auto"/>
        <w:rPr>
          <w:sz w:val="20"/>
          <w:szCs w:val="20"/>
          <w:color w:val="auto"/>
        </w:rPr>
      </w:pPr>
      <w:r>
        <w:rPr>
          <w:rFonts w:ascii="Arial" w:cs="Arial" w:eastAsia="Arial" w:hAnsi="Arial"/>
          <w:sz w:val="14"/>
          <w:szCs w:val="14"/>
          <w:color w:val="auto"/>
        </w:rPr>
        <w:t>The Company has entered into various non-cancelable operating lease agreements for its facilities. In the six months ended June 30, 2022, the Company did not enter into any significant new lease agreements.</w:t>
      </w:r>
    </w:p>
    <w:p>
      <w:pPr>
        <w:spacing w:after="0" w:line="140" w:lineRule="exact"/>
        <w:rPr>
          <w:sz w:val="20"/>
          <w:szCs w:val="20"/>
          <w:color w:val="auto"/>
        </w:rPr>
      </w:pPr>
    </w:p>
    <w:p>
      <w:pPr>
        <w:ind w:right="80" w:firstLine="365"/>
        <w:spacing w:after="0" w:line="342" w:lineRule="auto"/>
        <w:rPr>
          <w:sz w:val="20"/>
          <w:szCs w:val="20"/>
          <w:color w:val="auto"/>
        </w:rPr>
      </w:pPr>
      <w:r>
        <w:rPr>
          <w:rFonts w:ascii="Arial" w:cs="Arial" w:eastAsia="Arial" w:hAnsi="Arial"/>
          <w:sz w:val="12"/>
          <w:szCs w:val="12"/>
          <w:color w:val="auto"/>
        </w:rPr>
        <w:t>The Company has non-cancelable contractual commitments with its cloud infrastructure provider, network service providers and other vendors. In the three and six months ended June 30, 2022, the Company entered into several such agreements with terms up to four years for a total purchase commitment of $24.3 million and $54.5 million, respectively.</w:t>
      </w: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100"/>
          </w:cols>
          <w:pgMar w:left="300" w:top="129" w:right="49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980" w:hanging="613"/>
        <w:spacing w:after="0"/>
        <w:tabs>
          <w:tab w:leader="none" w:pos="980" w:val="left"/>
        </w:tabs>
        <w:numPr>
          <w:ilvl w:val="0"/>
          <w:numId w:val="1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Legal Matters</w:t>
      </w:r>
    </w:p>
    <w:p>
      <w:pPr>
        <w:spacing w:after="0" w:line="164" w:lineRule="exact"/>
        <w:rPr>
          <w:sz w:val="20"/>
          <w:szCs w:val="20"/>
          <w:color w:val="auto"/>
        </w:rPr>
      </w:pPr>
    </w:p>
    <w:p>
      <w:pPr>
        <w:ind w:right="80" w:firstLine="487"/>
        <w:spacing w:after="0" w:line="342" w:lineRule="auto"/>
        <w:rPr>
          <w:sz w:val="20"/>
          <w:szCs w:val="20"/>
          <w:color w:val="auto"/>
        </w:rPr>
      </w:pPr>
      <w:r>
        <w:rPr>
          <w:rFonts w:ascii="Arial" w:cs="Arial" w:eastAsia="Arial" w:hAnsi="Arial"/>
          <w:sz w:val="12"/>
          <w:szCs w:val="12"/>
          <w:color w:val="auto"/>
        </w:rPr>
        <w:t>The City and County of San Francisco (“San Francisco”) has assessed the Company for additional Telephone Users Tax (“TUT”) and Access Line Tax (“ALT”) on certain of the Company’s services for the years 2009 through 2018. The assessments totaled $38.8 million, including interest and penalties. The Company paid the assessments under protest in the third quarter of 2020.</w:t>
      </w:r>
    </w:p>
    <w:p>
      <w:pPr>
        <w:spacing w:after="0" w:line="94" w:lineRule="exact"/>
        <w:rPr>
          <w:sz w:val="20"/>
          <w:szCs w:val="20"/>
          <w:color w:val="auto"/>
        </w:rPr>
      </w:pPr>
    </w:p>
    <w:p>
      <w:pPr>
        <w:ind w:firstLine="487"/>
        <w:spacing w:after="0" w:line="247" w:lineRule="auto"/>
        <w:rPr>
          <w:sz w:val="20"/>
          <w:szCs w:val="20"/>
          <w:color w:val="auto"/>
        </w:rPr>
      </w:pPr>
      <w:r>
        <w:rPr>
          <w:rFonts w:ascii="Arial" w:cs="Arial" w:eastAsia="Arial" w:hAnsi="Arial"/>
          <w:sz w:val="14"/>
          <w:szCs w:val="14"/>
          <w:color w:val="auto"/>
        </w:rPr>
        <w:t>On May 27, 2021, the Company filed a lawsuit against San Francisco in San Francisco Superior Court challenging the assessments. The Company raised numerous defenses to the assessments including that its services are not telecommunications services, application of the taxes to the Company’s services violates the Internet Tax Freedom Act and San Francisco does not have jurisdiction to impose tax on services provided outside of San Francisco. The Company is seeking refunds of the taxes paid, waivers of interest and penalties, cost of suit and reasonable attorneys’ fees, and other legal and equitable relief as the court deems appropriate. A trial date has been set for March 6, 2023.</w:t>
      </w:r>
    </w:p>
    <w:p>
      <w:pPr>
        <w:spacing w:after="0" w:line="149" w:lineRule="exact"/>
        <w:rPr>
          <w:sz w:val="20"/>
          <w:szCs w:val="20"/>
          <w:color w:val="auto"/>
        </w:rPr>
      </w:pPr>
    </w:p>
    <w:p>
      <w:pPr>
        <w:ind w:right="40" w:firstLine="487"/>
        <w:spacing w:after="0" w:line="247" w:lineRule="auto"/>
        <w:rPr>
          <w:sz w:val="20"/>
          <w:szCs w:val="20"/>
          <w:color w:val="auto"/>
        </w:rPr>
      </w:pPr>
      <w:r>
        <w:rPr>
          <w:rFonts w:ascii="Arial" w:cs="Arial" w:eastAsia="Arial" w:hAnsi="Arial"/>
          <w:sz w:val="14"/>
          <w:szCs w:val="14"/>
          <w:color w:val="auto"/>
        </w:rPr>
        <w:t>The Company believes it has strong arguments against the assessments, but litigation is uncertain and there is no assurance that it will prevail in court. Should the Company lose on one or more of its arguments, it could incur additional losses associated with taxes, interest, and penalties that together, in aggregate, could be material. The Company regularly assesses the likelihood of adverse outcomes resulting from tax disputes such as this and examines all open years to determine the necessity and adequacy of any tax reserves. The Company’s tax reserves are further discussed in Note 11(d) of these condensed consolidated financial statements.</w:t>
      </w:r>
    </w:p>
    <w:p>
      <w:pPr>
        <w:spacing w:after="0" w:line="149" w:lineRule="exact"/>
        <w:rPr>
          <w:sz w:val="20"/>
          <w:szCs w:val="20"/>
          <w:color w:val="auto"/>
        </w:rPr>
      </w:pPr>
    </w:p>
    <w:p>
      <w:pPr>
        <w:jc w:val="both"/>
        <w:ind w:right="20" w:firstLine="487"/>
        <w:spacing w:after="0" w:line="165" w:lineRule="exact"/>
        <w:rPr>
          <w:sz w:val="20"/>
          <w:szCs w:val="20"/>
          <w:color w:val="auto"/>
        </w:rPr>
      </w:pPr>
      <w:r>
        <w:rPr>
          <w:rFonts w:ascii="Arial" w:cs="Arial" w:eastAsia="Arial" w:hAnsi="Arial"/>
          <w:sz w:val="12"/>
          <w:szCs w:val="12"/>
          <w:color w:val="auto"/>
        </w:rPr>
        <w:t>In addition to the litigation discussed above, from time to time, the Company may be subject to legal actions and claims in the ordinary course of business. 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w:t>
      </w:r>
      <w:r>
        <w:rPr>
          <w:rFonts w:ascii="MS PGothic" w:cs="MS PGothic" w:eastAsia="MS PGothic" w:hAnsi="MS PGothic"/>
          <w:sz w:val="12"/>
          <w:szCs w:val="12"/>
          <w:color w:val="auto"/>
        </w:rPr>
        <w:t>‑</w:t>
      </w:r>
      <w:r>
        <w:rPr>
          <w:rFonts w:ascii="Arial" w:cs="Arial" w:eastAsia="Arial" w:hAnsi="Arial"/>
          <w:sz w:val="12"/>
          <w:szCs w:val="12"/>
          <w:color w:val="auto"/>
        </w:rPr>
        <w:t>party proprietary rights, or to establish our proprietary rights.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154" w:lineRule="exact"/>
        <w:rPr>
          <w:sz w:val="20"/>
          <w:szCs w:val="20"/>
          <w:color w:val="auto"/>
        </w:rPr>
      </w:pPr>
    </w:p>
    <w:p>
      <w:pPr>
        <w:ind w:right="580" w:firstLine="487"/>
        <w:spacing w:after="0" w:line="259" w:lineRule="auto"/>
        <w:rPr>
          <w:sz w:val="20"/>
          <w:szCs w:val="20"/>
          <w:color w:val="auto"/>
        </w:rPr>
      </w:pPr>
      <w:r>
        <w:rPr>
          <w:rFonts w:ascii="Arial" w:cs="Arial" w:eastAsia="Arial" w:hAnsi="Arial"/>
          <w:sz w:val="14"/>
          <w:szCs w:val="14"/>
          <w:color w:val="auto"/>
        </w:rPr>
        <w:t>Legal fees and other costs related to litigation and other legal proceedings are expensed as incurred and are included in general and administrative expenses in the accompanying condensed consolidated statements of operations.</w:t>
      </w:r>
    </w:p>
    <w:p>
      <w:pPr>
        <w:spacing w:after="0" w:line="140" w:lineRule="exact"/>
        <w:rPr>
          <w:sz w:val="20"/>
          <w:szCs w:val="20"/>
          <w:color w:val="auto"/>
        </w:rPr>
      </w:pPr>
    </w:p>
    <w:p>
      <w:pPr>
        <w:ind w:left="980" w:hanging="613"/>
        <w:spacing w:after="0"/>
        <w:tabs>
          <w:tab w:leader="none" w:pos="980" w:val="left"/>
        </w:tabs>
        <w:numPr>
          <w:ilvl w:val="0"/>
          <w:numId w:val="1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Indemnification Agreements</w:t>
      </w:r>
    </w:p>
    <w:p>
      <w:pPr>
        <w:spacing w:after="0" w:line="164" w:lineRule="exact"/>
        <w:rPr>
          <w:sz w:val="20"/>
          <w:szCs w:val="20"/>
          <w:color w:val="auto"/>
        </w:rPr>
      </w:pPr>
    </w:p>
    <w:p>
      <w:pPr>
        <w:ind w:right="200" w:firstLine="487"/>
        <w:spacing w:after="0" w:line="247" w:lineRule="auto"/>
        <w:rPr>
          <w:sz w:val="20"/>
          <w:szCs w:val="20"/>
          <w:color w:val="auto"/>
        </w:rPr>
      </w:pPr>
      <w:r>
        <w:rPr>
          <w:rFonts w:ascii="Arial" w:cs="Arial" w:eastAsia="Arial" w:hAnsi="Arial"/>
          <w:sz w:val="14"/>
          <w:szCs w:val="14"/>
          <w:color w:val="auto"/>
        </w:rPr>
        <w:t>The Company has signed indemnification agreements with all of its board members and executive officers. The agreements indemnify the board members and executive officers from claims and expenses on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spacing w:after="0" w:line="149" w:lineRule="exact"/>
        <w:rPr>
          <w:sz w:val="20"/>
          <w:szCs w:val="20"/>
          <w:color w:val="auto"/>
        </w:rPr>
      </w:pPr>
    </w:p>
    <w:p>
      <w:pPr>
        <w:ind w:right="20" w:firstLine="487"/>
        <w:spacing w:after="0" w:line="297" w:lineRule="auto"/>
        <w:rPr>
          <w:sz w:val="20"/>
          <w:szCs w:val="20"/>
          <w:color w:val="auto"/>
        </w:rPr>
      </w:pPr>
      <w:r>
        <w:rPr>
          <w:rFonts w:ascii="Arial" w:cs="Arial" w:eastAsia="Arial" w:hAnsi="Arial"/>
          <w:sz w:val="12"/>
          <w:szCs w:val="12"/>
          <w:color w:val="auto"/>
        </w:rPr>
        <w:t>In the ordinary course of business and in connection with our financing and business combinations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As of June 30, 2022 and December 31, 2021, no amounts were accrued related to any outstanding indemnification agreements.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980" w:hanging="613"/>
        <w:spacing w:after="0"/>
        <w:tabs>
          <w:tab w:leader="none" w:pos="980" w:val="left"/>
        </w:tabs>
        <w:numPr>
          <w:ilvl w:val="0"/>
          <w:numId w:val="2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Other Taxes</w:t>
      </w:r>
    </w:p>
    <w:p>
      <w:pPr>
        <w:spacing w:after="0" w:line="164" w:lineRule="exact"/>
        <w:rPr>
          <w:sz w:val="20"/>
          <w:szCs w:val="20"/>
          <w:color w:val="auto"/>
        </w:rPr>
      </w:pPr>
    </w:p>
    <w:p>
      <w:pPr>
        <w:ind w:right="40" w:firstLine="487"/>
        <w:spacing w:after="0" w:line="246" w:lineRule="auto"/>
        <w:rPr>
          <w:sz w:val="20"/>
          <w:szCs w:val="20"/>
          <w:color w:val="auto"/>
        </w:rPr>
      </w:pPr>
      <w:r>
        <w:rPr>
          <w:rFonts w:ascii="Arial" w:cs="Arial" w:eastAsia="Arial" w:hAnsi="Arial"/>
          <w:sz w:val="14"/>
          <w:szCs w:val="14"/>
          <w:color w:val="auto"/>
        </w:rPr>
        <w:t>The Company conducts operations in many tax jurisdictions within and outside the United States. In many of these jurisdictions, non-income-based taxes, such as sales, use, telecommunications and other local taxes are assessed on the Company’s operations. In the last several years the Company expanded to collect taxes in most jurisdictions where it operates. The Company continues to carry reserves for certain of its prior non-income-based tax exposures in certain jurisdictions when it is both probable that a liability was incurred and the amount of the exposure could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spacing w:after="0" w:line="149" w:lineRule="exact"/>
        <w:rPr>
          <w:sz w:val="20"/>
          <w:szCs w:val="20"/>
          <w:color w:val="auto"/>
        </w:rPr>
      </w:pPr>
    </w:p>
    <w:p>
      <w:pPr>
        <w:ind w:firstLine="487"/>
        <w:spacing w:after="0" w:line="246" w:lineRule="auto"/>
        <w:rPr>
          <w:sz w:val="20"/>
          <w:szCs w:val="20"/>
          <w:color w:val="auto"/>
        </w:rPr>
      </w:pPr>
      <w:r>
        <w:rPr>
          <w:rFonts w:ascii="Arial" w:cs="Arial" w:eastAsia="Arial" w:hAnsi="Arial"/>
          <w:sz w:val="14"/>
          <w:szCs w:val="14"/>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For example, as described in Note 11(b), the Company is currently involved in legal proceedings with the City and County of San Francisco challenging their assessment of the Company’s estimated tax liability for a specific period. The $38.8 million assessment of taxes, including interest and penalties, that the Company paid as required in 2020, net of the $11.5 million reserve the Company had accrued for the same period, was recorded as a deposit in other assets in the accompanying condensed consolidated balance sheets.</w:t>
      </w:r>
    </w:p>
    <w:p>
      <w:pPr>
        <w:spacing w:after="0" w:line="149" w:lineRule="exact"/>
        <w:rPr>
          <w:sz w:val="20"/>
          <w:szCs w:val="20"/>
          <w:color w:val="auto"/>
        </w:rPr>
      </w:pPr>
    </w:p>
    <w:p>
      <w:pPr>
        <w:ind w:right="380" w:firstLine="487"/>
        <w:spacing w:after="0" w:line="259" w:lineRule="auto"/>
        <w:rPr>
          <w:sz w:val="20"/>
          <w:szCs w:val="20"/>
          <w:color w:val="auto"/>
        </w:rPr>
      </w:pPr>
      <w:r>
        <w:rPr>
          <w:rFonts w:ascii="Arial" w:cs="Arial" w:eastAsia="Arial" w:hAnsi="Arial"/>
          <w:sz w:val="14"/>
          <w:szCs w:val="14"/>
          <w:color w:val="auto"/>
        </w:rPr>
        <w:t>As of June 30, 2022, the liabilities recorded for the non-income-based taxes were $27.8 million for domestic jurisdictions and $19.7 million for jurisdictions outside of the United States. As of December 31, 2021, these liabilities were $25.4 million and $17.7 million, respectively.</w:t>
      </w:r>
    </w:p>
    <w:p>
      <w:pPr>
        <w:spacing w:after="0" w:line="138" w:lineRule="exact"/>
        <w:rPr>
          <w:sz w:val="20"/>
          <w:szCs w:val="20"/>
          <w:color w:val="auto"/>
        </w:rPr>
      </w:pPr>
    </w:p>
    <w:p>
      <w:pPr>
        <w:jc w:val="center"/>
        <w:ind w:left="360" w:right="9800" w:hanging="359"/>
        <w:spacing w:after="0" w:line="566" w:lineRule="auto"/>
        <w:tabs>
          <w:tab w:leader="none" w:pos="197"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Stockholders' Equity </w:t>
      </w:r>
      <w:r>
        <w:rPr>
          <w:rFonts w:ascii="Arial" w:cs="Arial" w:eastAsia="Arial" w:hAnsi="Arial"/>
          <w:sz w:val="12"/>
          <w:szCs w:val="12"/>
          <w:b w:val="1"/>
          <w:bCs w:val="1"/>
          <w:i w:val="1"/>
          <w:iCs w:val="1"/>
          <w:color w:val="auto"/>
        </w:rPr>
        <w:t>Preferred Stock</w:t>
      </w:r>
    </w:p>
    <w:p>
      <w:pPr>
        <w:ind w:left="360"/>
        <w:spacing w:after="0"/>
        <w:rPr>
          <w:rFonts w:ascii="Arial" w:cs="Arial" w:eastAsia="Arial" w:hAnsi="Arial"/>
          <w:sz w:val="12"/>
          <w:szCs w:val="12"/>
          <w:b w:val="1"/>
          <w:bCs w:val="1"/>
          <w:color w:val="auto"/>
        </w:rPr>
      </w:pPr>
      <w:r>
        <w:rPr>
          <w:rFonts w:ascii="Arial" w:cs="Arial" w:eastAsia="Arial" w:hAnsi="Arial"/>
          <w:sz w:val="12"/>
          <w:szCs w:val="12"/>
          <w:color w:val="auto"/>
        </w:rPr>
        <w:t>As of June 30, 2022, and December 31, 2021, the Company had authorized 100,000,000 shares of preferred stock, par value $0.001, of which no shares were issued and outstanding.</w:t>
      </w:r>
    </w:p>
    <w:p>
      <w:pPr>
        <w:spacing w:after="0" w:line="186" w:lineRule="exact"/>
        <w:rPr>
          <w:rFonts w:ascii="Arial" w:cs="Arial" w:eastAsia="Arial" w:hAnsi="Arial"/>
          <w:sz w:val="12"/>
          <w:szCs w:val="12"/>
          <w:b w:val="1"/>
          <w:bCs w:val="1"/>
          <w:color w:val="auto"/>
        </w:rPr>
      </w:pPr>
    </w:p>
    <w:p>
      <w:pPr>
        <w:ind w:left="360"/>
        <w:spacing w:after="0"/>
        <w:rPr>
          <w:rFonts w:ascii="Arial" w:cs="Arial" w:eastAsia="Arial" w:hAnsi="Arial"/>
          <w:sz w:val="12"/>
          <w:szCs w:val="12"/>
          <w:b w:val="1"/>
          <w:bCs w:val="1"/>
          <w:color w:val="auto"/>
        </w:rPr>
      </w:pPr>
      <w:r>
        <w:rPr>
          <w:rFonts w:ascii="Arial" w:cs="Arial" w:eastAsia="Arial" w:hAnsi="Arial"/>
          <w:sz w:val="14"/>
          <w:szCs w:val="14"/>
          <w:b w:val="1"/>
          <w:bCs w:val="1"/>
          <w:i w:val="1"/>
          <w:iCs w:val="1"/>
          <w:color w:val="auto"/>
        </w:rPr>
        <w:t>Common Stock</w:t>
      </w:r>
    </w:p>
    <w:p>
      <w:pPr>
        <w:spacing w:after="0" w:line="164" w:lineRule="exact"/>
        <w:rPr>
          <w:sz w:val="20"/>
          <w:szCs w:val="20"/>
          <w:color w:val="auto"/>
        </w:rPr>
      </w:pPr>
    </w:p>
    <w:p>
      <w:pPr>
        <w:ind w:right="40" w:firstLine="365"/>
        <w:spacing w:after="0" w:line="250" w:lineRule="auto"/>
        <w:rPr>
          <w:sz w:val="20"/>
          <w:szCs w:val="20"/>
          <w:color w:val="auto"/>
        </w:rPr>
      </w:pPr>
      <w:r>
        <w:rPr>
          <w:rFonts w:ascii="Arial" w:cs="Arial" w:eastAsia="Arial" w:hAnsi="Arial"/>
          <w:sz w:val="14"/>
          <w:szCs w:val="14"/>
          <w:color w:val="auto"/>
        </w:rPr>
        <w:t>As of June 30, 2022, and December 31, 2021, the Company had authorized 1,000,000,000 shares of Class A common stock and 100,000,000 shares of Class B common stock, each par value of $0.001 per share. As of June 30, 2022, 173,271,942 shares of Class A common stock and 9,817,605 shares of Class B common stock were issued and outstanding. As of December 31, 2021, 170,625,994 shares of Class A common stock and 9,842,105 shares of Class B common stock were issued and outstanding.</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had reserved shares of common stock for issuance as follows:</w:t>
      </w:r>
    </w:p>
    <w:p>
      <w:pPr>
        <w:spacing w:after="0" w:line="188" w:lineRule="exact"/>
        <w:rPr>
          <w:sz w:val="20"/>
          <w:szCs w:val="20"/>
          <w:color w:val="auto"/>
        </w:rPr>
      </w:pPr>
    </w:p>
    <w:tbl>
      <w:tblPr>
        <w:tblLayout w:type="fixed"/>
        <w:tblInd w:w="1240" w:type="dxa"/>
        <w:tblCellMar>
          <w:top w:w="0" w:type="dxa"/>
          <w:left w:w="0" w:type="dxa"/>
          <w:bottom w:w="0" w:type="dxa"/>
          <w:right w:w="0" w:type="dxa"/>
        </w:tblCellMar>
      </w:tblPr>
      <w:tr>
        <w:trPr>
          <w:trHeight w:val="145"/>
        </w:trPr>
        <w:tc>
          <w:tcPr>
            <w:tcW w:w="5980" w:type="dxa"/>
            <w:vAlign w:val="bottom"/>
          </w:tcPr>
          <w:p>
            <w:pPr>
              <w:spacing w:after="0"/>
              <w:rPr>
                <w:sz w:val="12"/>
                <w:szCs w:val="12"/>
                <w:color w:val="auto"/>
              </w:rPr>
            </w:pPr>
          </w:p>
        </w:tc>
        <w:tc>
          <w:tcPr>
            <w:tcW w:w="1620" w:type="dxa"/>
            <w:vAlign w:val="bottom"/>
            <w:gridSpan w:val="2"/>
          </w:tcPr>
          <w:p>
            <w:pPr>
              <w:ind w:left="480"/>
              <w:spacing w:after="0"/>
              <w:rPr>
                <w:sz w:val="20"/>
                <w:szCs w:val="20"/>
                <w:color w:val="auto"/>
              </w:rPr>
            </w:pPr>
            <w:r>
              <w:rPr>
                <w:rFonts w:ascii="Arial" w:cs="Arial" w:eastAsia="Arial" w:hAnsi="Arial"/>
                <w:sz w:val="11"/>
                <w:szCs w:val="11"/>
                <w:b w:val="1"/>
                <w:bCs w:val="1"/>
                <w:color w:val="auto"/>
              </w:rPr>
              <w:t>As of June 30, 2022</w:t>
            </w:r>
          </w:p>
        </w:tc>
        <w:tc>
          <w:tcPr>
            <w:tcW w:w="1580" w:type="dxa"/>
            <w:vAlign w:val="bottom"/>
          </w:tcPr>
          <w:p>
            <w:pPr>
              <w:jc w:val="right"/>
              <w:spacing w:after="0"/>
              <w:rPr>
                <w:sz w:val="20"/>
                <w:szCs w:val="20"/>
                <w:color w:val="auto"/>
              </w:rPr>
            </w:pPr>
            <w:r>
              <w:rPr>
                <w:rFonts w:ascii="Arial" w:cs="Arial" w:eastAsia="Arial" w:hAnsi="Arial"/>
                <w:sz w:val="11"/>
                <w:szCs w:val="11"/>
                <w:b w:val="1"/>
                <w:bCs w:val="1"/>
                <w:color w:val="auto"/>
              </w:rPr>
              <w:t>As of December 31, 2021</w:t>
            </w:r>
          </w:p>
        </w:tc>
      </w:tr>
      <w:tr>
        <w:trPr>
          <w:trHeight w:val="157"/>
        </w:trPr>
        <w:tc>
          <w:tcPr>
            <w:tcW w:w="59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Stock options issued and outstanding</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2,654,461</w:t>
            </w:r>
          </w:p>
        </w:tc>
        <w:tc>
          <w:tcPr>
            <w:tcW w:w="1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3,351,313</w:t>
            </w:r>
          </w:p>
        </w:tc>
      </w:tr>
      <w:tr>
        <w:trPr>
          <w:trHeight w:val="160"/>
        </w:trPr>
        <w:tc>
          <w:tcPr>
            <w:tcW w:w="5980" w:type="dxa"/>
            <w:vAlign w:val="bottom"/>
          </w:tcPr>
          <w:p>
            <w:pPr>
              <w:ind w:left="380"/>
              <w:spacing w:after="0"/>
              <w:rPr>
                <w:sz w:val="20"/>
                <w:szCs w:val="20"/>
                <w:color w:val="auto"/>
              </w:rPr>
            </w:pPr>
            <w:r>
              <w:rPr>
                <w:rFonts w:ascii="Arial" w:cs="Arial" w:eastAsia="Arial" w:hAnsi="Arial"/>
                <w:sz w:val="12"/>
                <w:szCs w:val="12"/>
                <w:color w:val="auto"/>
              </w:rPr>
              <w:t>Unvested restricted stock units issued and outstanding</w:t>
            </w:r>
          </w:p>
        </w:tc>
        <w:tc>
          <w:tcPr>
            <w:tcW w:w="1500" w:type="dxa"/>
            <w:vAlign w:val="bottom"/>
          </w:tcPr>
          <w:p>
            <w:pPr>
              <w:jc w:val="right"/>
              <w:spacing w:after="0"/>
              <w:rPr>
                <w:sz w:val="20"/>
                <w:szCs w:val="20"/>
                <w:color w:val="auto"/>
              </w:rPr>
            </w:pPr>
            <w:r>
              <w:rPr>
                <w:rFonts w:ascii="Arial" w:cs="Arial" w:eastAsia="Arial" w:hAnsi="Arial"/>
                <w:sz w:val="12"/>
                <w:szCs w:val="12"/>
                <w:color w:val="auto"/>
              </w:rPr>
              <w:t>14,496,487</w:t>
            </w:r>
          </w:p>
        </w:tc>
        <w:tc>
          <w:tcPr>
            <w:tcW w:w="1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6,475,700</w:t>
            </w:r>
          </w:p>
        </w:tc>
      </w:tr>
      <w:tr>
        <w:trPr>
          <w:trHeight w:val="165"/>
        </w:trPr>
        <w:tc>
          <w:tcPr>
            <w:tcW w:w="59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Class A common stock reserved for Twilio.org</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574,653</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618,857</w:t>
            </w:r>
          </w:p>
        </w:tc>
      </w:tr>
      <w:tr>
        <w:trPr>
          <w:trHeight w:val="160"/>
        </w:trPr>
        <w:tc>
          <w:tcPr>
            <w:tcW w:w="5980" w:type="dxa"/>
            <w:vAlign w:val="bottom"/>
          </w:tcPr>
          <w:p>
            <w:pPr>
              <w:ind w:left="380"/>
              <w:spacing w:after="0"/>
              <w:rPr>
                <w:sz w:val="20"/>
                <w:szCs w:val="20"/>
                <w:color w:val="auto"/>
              </w:rPr>
            </w:pPr>
            <w:r>
              <w:rPr>
                <w:rFonts w:ascii="Arial" w:cs="Arial" w:eastAsia="Arial" w:hAnsi="Arial"/>
                <w:sz w:val="12"/>
                <w:szCs w:val="12"/>
                <w:color w:val="auto"/>
              </w:rPr>
              <w:t>Stock-based awards available for grant under 2016 Plan</w:t>
            </w:r>
          </w:p>
        </w:tc>
        <w:tc>
          <w:tcPr>
            <w:tcW w:w="1500" w:type="dxa"/>
            <w:vAlign w:val="bottom"/>
          </w:tcPr>
          <w:p>
            <w:pPr>
              <w:jc w:val="right"/>
              <w:spacing w:after="0"/>
              <w:rPr>
                <w:sz w:val="20"/>
                <w:szCs w:val="20"/>
                <w:color w:val="auto"/>
              </w:rPr>
            </w:pPr>
            <w:r>
              <w:rPr>
                <w:rFonts w:ascii="Arial" w:cs="Arial" w:eastAsia="Arial" w:hAnsi="Arial"/>
                <w:sz w:val="12"/>
                <w:szCs w:val="12"/>
                <w:color w:val="auto"/>
              </w:rPr>
              <w:t>22,891,134</w:t>
            </w:r>
          </w:p>
        </w:tc>
        <w:tc>
          <w:tcPr>
            <w:tcW w:w="1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24,650,104</w:t>
            </w:r>
          </w:p>
        </w:tc>
      </w:tr>
      <w:tr>
        <w:trPr>
          <w:trHeight w:val="165"/>
        </w:trPr>
        <w:tc>
          <w:tcPr>
            <w:tcW w:w="59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Stock-based awards available for grant under ESPP</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7,924,609</w:t>
            </w:r>
          </w:p>
        </w:tc>
        <w:tc>
          <w:tcPr>
            <w:tcW w:w="12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6,382,830</w:t>
            </w:r>
          </w:p>
        </w:tc>
      </w:tr>
      <w:tr>
        <w:trPr>
          <w:trHeight w:val="150"/>
        </w:trPr>
        <w:tc>
          <w:tcPr>
            <w:tcW w:w="5980" w:type="dxa"/>
            <w:vAlign w:val="bottom"/>
          </w:tcPr>
          <w:p>
            <w:pPr>
              <w:ind w:left="540"/>
              <w:spacing w:after="0"/>
              <w:rPr>
                <w:sz w:val="20"/>
                <w:szCs w:val="20"/>
                <w:color w:val="auto"/>
              </w:rPr>
            </w:pPr>
            <w:r>
              <w:rPr>
                <w:rFonts w:ascii="Arial" w:cs="Arial" w:eastAsia="Arial" w:hAnsi="Arial"/>
                <w:sz w:val="12"/>
                <w:szCs w:val="12"/>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48,541,344</w:t>
            </w:r>
          </w:p>
        </w:tc>
        <w:tc>
          <w:tcPr>
            <w:tcW w:w="120" w:type="dxa"/>
            <w:vAlign w:val="bottom"/>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41,478,804</w:t>
            </w:r>
          </w:p>
        </w:tc>
      </w:tr>
      <w:tr>
        <w:trPr>
          <w:trHeight w:val="20"/>
        </w:trPr>
        <w:tc>
          <w:tcPr>
            <w:tcW w:w="5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Stock-Based Compensation</w:t>
      </w:r>
    </w:p>
    <w:p>
      <w:pPr>
        <w:spacing w:after="0" w:line="166" w:lineRule="exact"/>
        <w:rPr>
          <w:sz w:val="20"/>
          <w:szCs w:val="20"/>
          <w:color w:val="auto"/>
        </w:rPr>
      </w:pPr>
    </w:p>
    <w:p>
      <w:pPr>
        <w:jc w:val="both"/>
        <w:ind w:right="180" w:firstLine="365"/>
        <w:spacing w:after="0" w:line="312" w:lineRule="auto"/>
        <w:rPr>
          <w:sz w:val="20"/>
          <w:szCs w:val="20"/>
          <w:color w:val="auto"/>
        </w:rPr>
      </w:pPr>
      <w:r>
        <w:rPr>
          <w:rFonts w:ascii="Arial" w:cs="Arial" w:eastAsia="Arial" w:hAnsi="Arial"/>
          <w:sz w:val="12"/>
          <w:szCs w:val="12"/>
          <w:color w:val="auto"/>
        </w:rPr>
        <w:t>The Company’s 2016 Stock Option and Incentive Plan (the “2016 Plan”) provides for granting stock options, restricted stock units (“RSU”), restricted stock awards (“RSA”),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Company also offers an Employee Stock Purchase Plan (“ESPP”) to eligible employees. The ESPP provides for separate six-month offering periods beginning in May and November of each year.</w:t>
      </w:r>
    </w:p>
    <w:p>
      <w:pPr>
        <w:spacing w:after="0" w:line="187" w:lineRule="exact"/>
        <w:rPr>
          <w:sz w:val="20"/>
          <w:szCs w:val="20"/>
          <w:color w:val="auto"/>
        </w:rPr>
      </w:pPr>
    </w:p>
    <w:p>
      <w:pPr>
        <w:ind w:right="260" w:firstLine="365"/>
        <w:spacing w:after="0" w:line="294" w:lineRule="auto"/>
        <w:rPr>
          <w:sz w:val="20"/>
          <w:szCs w:val="20"/>
          <w:color w:val="auto"/>
        </w:rPr>
      </w:pPr>
      <w:r>
        <w:rPr>
          <w:rFonts w:ascii="Arial" w:cs="Arial" w:eastAsia="Arial" w:hAnsi="Arial"/>
          <w:sz w:val="12"/>
          <w:szCs w:val="12"/>
          <w:color w:val="auto"/>
        </w:rPr>
        <w:t>In March 2022, the Company granted 919,289 shares of performance-based restricted stock unit awards to its executive employees with a grant date fair value per share of $157.44 and an aggregate grant date fair value of $144.7 million. Each award consists of three tranches, with each vesting over a separate service period if its respective performance targets, as defined in the grant agreements, are achieved. The first tranche will vest if the revenue growth targets are achieved with respect to fiscal year 2022. The second and third tranches will vest if both (a) revenue growth targets and (b) profitability targets are achieved with respect to each of fiscal years 2023 and 2024. If performance targets are not achieved, the related tranche will be forfeited. Vesting of these performance-based restricted stock unit awards will range up to 100% above the target based on levels of performance and will be recorded in stock-based compensation expense in the fiscal year during which each tranche vests. The Company estimated the fair value of these awards based on the closing price of its Class A common stock on the date of grant.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2022, total unrecognized compensation cost related to all outstanding equity awards was as follows:</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4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80" w:type="dxa"/>
            <w:vAlign w:val="bottom"/>
            <w:vMerge w:val="restart"/>
          </w:tcPr>
          <w:p>
            <w:pPr>
              <w:jc w:val="right"/>
              <w:ind w:right="101"/>
              <w:spacing w:after="0"/>
              <w:rPr>
                <w:sz w:val="20"/>
                <w:szCs w:val="20"/>
                <w:color w:val="auto"/>
              </w:rPr>
            </w:pPr>
            <w:r>
              <w:rPr>
                <w:rFonts w:ascii="Arial" w:cs="Arial" w:eastAsia="Arial" w:hAnsi="Arial"/>
                <w:sz w:val="11"/>
                <w:szCs w:val="11"/>
                <w:b w:val="1"/>
                <w:bCs w:val="1"/>
                <w:color w:val="auto"/>
                <w:w w:val="89"/>
              </w:rPr>
              <w:t>Unrecognized Compensation Cost</w:t>
            </w:r>
          </w:p>
        </w:tc>
        <w:tc>
          <w:tcPr>
            <w:tcW w:w="80" w:type="dxa"/>
            <w:vAlign w:val="bottom"/>
          </w:tcPr>
          <w:p>
            <w:pPr>
              <w:spacing w:after="0"/>
              <w:rPr>
                <w:sz w:val="10"/>
                <w:szCs w:val="10"/>
                <w:color w:val="auto"/>
              </w:rPr>
            </w:pPr>
          </w:p>
        </w:tc>
        <w:tc>
          <w:tcPr>
            <w:tcW w:w="1600" w:type="dxa"/>
            <w:vAlign w:val="bottom"/>
          </w:tcPr>
          <w:p>
            <w:pPr>
              <w:jc w:val="right"/>
              <w:ind w:right="146"/>
              <w:spacing w:after="0"/>
              <w:rPr>
                <w:sz w:val="20"/>
                <w:szCs w:val="20"/>
                <w:color w:val="auto"/>
              </w:rPr>
            </w:pPr>
            <w:r>
              <w:rPr>
                <w:rFonts w:ascii="Arial" w:cs="Arial" w:eastAsia="Arial" w:hAnsi="Arial"/>
                <w:sz w:val="11"/>
                <w:szCs w:val="11"/>
                <w:b w:val="1"/>
                <w:bCs w:val="1"/>
                <w:color w:val="auto"/>
              </w:rPr>
              <w:t>Weighted-average</w:t>
            </w:r>
          </w:p>
        </w:tc>
        <w:tc>
          <w:tcPr>
            <w:tcW w:w="0" w:type="dxa"/>
            <w:vAlign w:val="bottom"/>
          </w:tcPr>
          <w:p>
            <w:pPr>
              <w:spacing w:after="0"/>
              <w:rPr>
                <w:sz w:val="1"/>
                <w:szCs w:val="1"/>
                <w:color w:val="auto"/>
              </w:rPr>
            </w:pPr>
          </w:p>
        </w:tc>
      </w:tr>
      <w:tr>
        <w:trPr>
          <w:trHeight w:val="141"/>
        </w:trPr>
        <w:tc>
          <w:tcPr>
            <w:tcW w:w="49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remaining period</w:t>
            </w:r>
          </w:p>
        </w:tc>
        <w:tc>
          <w:tcPr>
            <w:tcW w:w="0" w:type="dxa"/>
            <w:vAlign w:val="bottom"/>
          </w:tcPr>
          <w:p>
            <w:pPr>
              <w:spacing w:after="0"/>
              <w:rPr>
                <w:sz w:val="1"/>
                <w:szCs w:val="1"/>
                <w:color w:val="auto"/>
              </w:rPr>
            </w:pPr>
          </w:p>
        </w:tc>
      </w:tr>
      <w:tr>
        <w:trPr>
          <w:trHeight w:val="130"/>
        </w:trPr>
        <w:tc>
          <w:tcPr>
            <w:tcW w:w="4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80" w:type="dxa"/>
            <w:vAlign w:val="bottom"/>
          </w:tcPr>
          <w:p>
            <w:pPr>
              <w:jc w:val="right"/>
              <w:ind w:right="581"/>
              <w:spacing w:after="0"/>
              <w:rPr>
                <w:sz w:val="20"/>
                <w:szCs w:val="20"/>
                <w:color w:val="auto"/>
              </w:rPr>
            </w:pPr>
            <w:r>
              <w:rPr>
                <w:rFonts w:ascii="Arial" w:cs="Arial" w:eastAsia="Arial" w:hAnsi="Arial"/>
                <w:sz w:val="11"/>
                <w:szCs w:val="11"/>
                <w:color w:val="auto"/>
              </w:rPr>
              <w:t>(In thousands)</w:t>
            </w:r>
          </w:p>
        </w:tc>
        <w:tc>
          <w:tcPr>
            <w:tcW w:w="80" w:type="dxa"/>
            <w:vAlign w:val="bottom"/>
          </w:tcPr>
          <w:p>
            <w:pPr>
              <w:spacing w:after="0"/>
              <w:rPr>
                <w:sz w:val="11"/>
                <w:szCs w:val="11"/>
                <w:color w:val="auto"/>
              </w:rPr>
            </w:pPr>
          </w:p>
        </w:tc>
        <w:tc>
          <w:tcPr>
            <w:tcW w:w="1600" w:type="dxa"/>
            <w:vAlign w:val="bottom"/>
          </w:tcPr>
          <w:p>
            <w:pPr>
              <w:jc w:val="right"/>
              <w:ind w:right="346"/>
              <w:spacing w:after="0"/>
              <w:rPr>
                <w:sz w:val="20"/>
                <w:szCs w:val="20"/>
                <w:color w:val="auto"/>
              </w:rPr>
            </w:pPr>
            <w:r>
              <w:rPr>
                <w:rFonts w:ascii="Arial" w:cs="Arial" w:eastAsia="Arial" w:hAnsi="Arial"/>
                <w:sz w:val="11"/>
                <w:szCs w:val="11"/>
                <w:color w:val="auto"/>
              </w:rPr>
              <w:t>(In years)</w:t>
            </w:r>
          </w:p>
        </w:tc>
        <w:tc>
          <w:tcPr>
            <w:tcW w:w="0" w:type="dxa"/>
            <w:vAlign w:val="bottom"/>
          </w:tcPr>
          <w:p>
            <w:pPr>
              <w:spacing w:after="0"/>
              <w:rPr>
                <w:sz w:val="1"/>
                <w:szCs w:val="1"/>
                <w:color w:val="auto"/>
              </w:rPr>
            </w:pPr>
          </w:p>
        </w:tc>
      </w:tr>
      <w:tr>
        <w:trPr>
          <w:trHeight w:val="165"/>
        </w:trPr>
        <w:tc>
          <w:tcPr>
            <w:tcW w:w="49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Unvested stock options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87,478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60"/>
        </w:trPr>
        <w:tc>
          <w:tcPr>
            <w:tcW w:w="4960" w:type="dxa"/>
            <w:vAlign w:val="bottom"/>
          </w:tcPr>
          <w:p>
            <w:pPr>
              <w:ind w:left="380"/>
              <w:spacing w:after="0"/>
              <w:rPr>
                <w:sz w:val="20"/>
                <w:szCs w:val="20"/>
                <w:color w:val="auto"/>
              </w:rPr>
            </w:pPr>
            <w:r>
              <w:rPr>
                <w:rFonts w:ascii="Arial" w:cs="Arial" w:eastAsia="Arial" w:hAnsi="Arial"/>
                <w:sz w:val="12"/>
                <w:szCs w:val="12"/>
                <w:color w:val="auto"/>
              </w:rPr>
              <w:t>Unvested restricted stock units and awards</w:t>
            </w:r>
          </w:p>
        </w:tc>
        <w:tc>
          <w:tcPr>
            <w:tcW w:w="4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2,247,100</w:t>
            </w:r>
          </w:p>
        </w:tc>
        <w:tc>
          <w:tcPr>
            <w:tcW w:w="1680" w:type="dxa"/>
            <w:vAlign w:val="bottom"/>
            <w:gridSpan w:val="2"/>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65"/>
        </w:trPr>
        <w:tc>
          <w:tcPr>
            <w:tcW w:w="49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ESPP</w:t>
            </w:r>
          </w:p>
        </w:tc>
        <w:tc>
          <w:tcPr>
            <w:tcW w:w="48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60"/>
        </w:trPr>
        <w:tc>
          <w:tcPr>
            <w:tcW w:w="49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Class A shares in escrow subject to future vesting</w:t>
            </w:r>
          </w:p>
        </w:tc>
        <w:tc>
          <w:tcPr>
            <w:tcW w:w="4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15,173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8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2,355,427</w:t>
            </w: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recorded total stock-based compensation expense as follows: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26"/>
        </w:trPr>
        <w:tc>
          <w:tcPr>
            <w:tcW w:w="1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gridSpan w:val="3"/>
            <w:vMerge w:val="restart"/>
          </w:tcPr>
          <w:p>
            <w:pPr>
              <w:jc w:val="right"/>
              <w:ind w:right="99"/>
              <w:spacing w:after="0"/>
              <w:rPr>
                <w:sz w:val="20"/>
                <w:szCs w:val="20"/>
                <w:color w:val="auto"/>
              </w:rPr>
            </w:pPr>
            <w:r>
              <w:rPr>
                <w:rFonts w:ascii="Arial" w:cs="Arial" w:eastAsia="Arial" w:hAnsi="Arial"/>
                <w:sz w:val="11"/>
                <w:szCs w:val="11"/>
                <w:b w:val="1"/>
                <w:bCs w:val="1"/>
                <w:color w:val="auto"/>
              </w:rPr>
              <w:t>Three Months Ended June 30,</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w w:val="90"/>
              </w:rPr>
              <w:t>Six Months Ended</w:t>
            </w: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40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vMerge w:val="continue"/>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ind w:left="900"/>
              <w:spacing w:after="0"/>
              <w:rPr>
                <w:sz w:val="20"/>
                <w:szCs w:val="20"/>
                <w:color w:val="auto"/>
              </w:rPr>
            </w:pPr>
            <w:r>
              <w:rPr>
                <w:rFonts w:ascii="Arial" w:cs="Arial" w:eastAsia="Arial" w:hAnsi="Arial"/>
                <w:sz w:val="11"/>
                <w:szCs w:val="11"/>
                <w:b w:val="1"/>
                <w:bCs w:val="1"/>
                <w:color w:val="auto"/>
              </w:rPr>
              <w:t>June 30,</w:t>
            </w: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172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2021</w:t>
            </w:r>
          </w:p>
        </w:tc>
        <w:tc>
          <w:tcPr>
            <w:tcW w:w="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2022</w:t>
            </w: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30"/>
        </w:trPr>
        <w:tc>
          <w:tcPr>
            <w:tcW w:w="1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right"/>
              <w:ind w:right="421"/>
              <w:spacing w:after="0"/>
              <w:rPr>
                <w:sz w:val="20"/>
                <w:szCs w:val="20"/>
                <w:color w:val="auto"/>
              </w:rPr>
            </w:pPr>
            <w:r>
              <w:rPr>
                <w:rFonts w:ascii="Arial" w:cs="Arial" w:eastAsia="Arial" w:hAnsi="Arial"/>
                <w:sz w:val="11"/>
                <w:szCs w:val="11"/>
                <w:color w:val="auto"/>
                <w:w w:val="96"/>
              </w:rPr>
              <w:t>(In thousands)</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00" w:type="dxa"/>
            <w:vAlign w:val="bottom"/>
            <w:shd w:val="clear" w:color="auto" w:fill="CCEEFF"/>
          </w:tcPr>
          <w:p>
            <w:pPr>
              <w:ind w:left="860"/>
              <w:spacing w:after="0" w:line="128" w:lineRule="exact"/>
              <w:rPr>
                <w:sz w:val="20"/>
                <w:szCs w:val="20"/>
                <w:color w:val="auto"/>
              </w:rPr>
            </w:pPr>
            <w:r>
              <w:rPr>
                <w:rFonts w:ascii="Arial" w:cs="Arial" w:eastAsia="Arial" w:hAnsi="Arial"/>
                <w:sz w:val="12"/>
                <w:szCs w:val="12"/>
                <w:color w:val="auto"/>
              </w:rPr>
              <w:t>Cost of</w:t>
            </w:r>
          </w:p>
        </w:tc>
        <w:tc>
          <w:tcPr>
            <w:tcW w:w="1720" w:type="dxa"/>
            <w:vAlign w:val="bottom"/>
            <w:vMerge w:val="restart"/>
            <w:shd w:val="clear" w:color="auto" w:fill="CCEEFF"/>
          </w:tcPr>
          <w:p>
            <w:pPr>
              <w:jc w:val="right"/>
              <w:ind w:right="741"/>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3,996</w:t>
            </w:r>
          </w:p>
        </w:tc>
        <w:tc>
          <w:tcPr>
            <w:tcW w:w="6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3,024</w:t>
            </w:r>
          </w:p>
        </w:tc>
        <w:tc>
          <w:tcPr>
            <w:tcW w:w="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8,517</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5,741</w:t>
            </w:r>
          </w:p>
        </w:tc>
        <w:tc>
          <w:tcPr>
            <w:tcW w:w="0" w:type="dxa"/>
            <w:vAlign w:val="bottom"/>
          </w:tcPr>
          <w:p>
            <w:pPr>
              <w:spacing w:after="0"/>
              <w:rPr>
                <w:sz w:val="1"/>
                <w:szCs w:val="1"/>
                <w:color w:val="auto"/>
              </w:rPr>
            </w:pPr>
          </w:p>
        </w:tc>
      </w:tr>
      <w:tr>
        <w:trPr>
          <w:trHeight w:val="159"/>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172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400" w:type="dxa"/>
            <w:vAlign w:val="bottom"/>
          </w:tcPr>
          <w:p>
            <w:pPr>
              <w:ind w:left="860"/>
              <w:spacing w:after="0" w:line="125" w:lineRule="exact"/>
              <w:rPr>
                <w:sz w:val="20"/>
                <w:szCs w:val="20"/>
                <w:color w:val="auto"/>
              </w:rPr>
            </w:pPr>
            <w:r>
              <w:rPr>
                <w:rFonts w:ascii="Arial" w:cs="Arial" w:eastAsia="Arial" w:hAnsi="Arial"/>
                <w:sz w:val="12"/>
                <w:szCs w:val="12"/>
                <w:color w:val="auto"/>
              </w:rPr>
              <w:t>Research</w:t>
            </w:r>
          </w:p>
        </w:tc>
        <w:tc>
          <w:tcPr>
            <w:tcW w:w="17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109,524</w:t>
            </w: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58,871</w:t>
            </w: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2"/>
                <w:szCs w:val="12"/>
                <w:color w:val="auto"/>
              </w:rPr>
              <w:t>188,893</w:t>
            </w: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115,830</w:t>
            </w:r>
          </w:p>
        </w:tc>
        <w:tc>
          <w:tcPr>
            <w:tcW w:w="0" w:type="dxa"/>
            <w:vAlign w:val="bottom"/>
          </w:tcPr>
          <w:p>
            <w:pPr>
              <w:spacing w:after="0"/>
              <w:rPr>
                <w:sz w:val="1"/>
                <w:szCs w:val="1"/>
                <w:color w:val="auto"/>
              </w:rPr>
            </w:pPr>
          </w:p>
        </w:tc>
      </w:tr>
      <w:tr>
        <w:trPr>
          <w:trHeight w:val="157"/>
        </w:trPr>
        <w:tc>
          <w:tcPr>
            <w:tcW w:w="1400" w:type="dxa"/>
            <w:vAlign w:val="bottom"/>
          </w:tcPr>
          <w:p>
            <w:pPr>
              <w:spacing w:after="0"/>
              <w:rPr>
                <w:sz w:val="20"/>
                <w:szCs w:val="20"/>
                <w:color w:val="auto"/>
              </w:rPr>
            </w:pPr>
            <w:r>
              <w:rPr>
                <w:rFonts w:ascii="Arial" w:cs="Arial" w:eastAsia="Arial" w:hAnsi="Arial"/>
                <w:sz w:val="12"/>
                <w:szCs w:val="12"/>
                <w:color w:val="auto"/>
              </w:rPr>
              <w:t>and development</w:t>
            </w:r>
          </w:p>
        </w:tc>
        <w:tc>
          <w:tcPr>
            <w:tcW w:w="17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400" w:type="dxa"/>
            <w:vAlign w:val="bottom"/>
            <w:shd w:val="clear" w:color="auto" w:fill="CCEEFF"/>
          </w:tcPr>
          <w:p>
            <w:pPr>
              <w:ind w:left="860"/>
              <w:spacing w:after="0" w:line="128" w:lineRule="exact"/>
              <w:rPr>
                <w:sz w:val="20"/>
                <w:szCs w:val="20"/>
                <w:color w:val="auto"/>
              </w:rPr>
            </w:pPr>
            <w:r>
              <w:rPr>
                <w:rFonts w:ascii="Arial" w:cs="Arial" w:eastAsia="Arial" w:hAnsi="Arial"/>
                <w:sz w:val="12"/>
                <w:szCs w:val="12"/>
                <w:color w:val="auto"/>
              </w:rPr>
              <w:t>Sales</w:t>
            </w:r>
          </w:p>
        </w:tc>
        <w:tc>
          <w:tcPr>
            <w:tcW w:w="17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78,492</w:t>
            </w:r>
          </w:p>
        </w:tc>
        <w:tc>
          <w:tcPr>
            <w:tcW w:w="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47,940</w:t>
            </w: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126,078</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89,576</w:t>
            </w:r>
          </w:p>
        </w:tc>
        <w:tc>
          <w:tcPr>
            <w:tcW w:w="0" w:type="dxa"/>
            <w:vAlign w:val="bottom"/>
          </w:tcPr>
          <w:p>
            <w:pPr>
              <w:spacing w:after="0"/>
              <w:rPr>
                <w:sz w:val="1"/>
                <w:szCs w:val="1"/>
                <w:color w:val="auto"/>
              </w:rPr>
            </w:pPr>
          </w:p>
        </w:tc>
      </w:tr>
      <w:tr>
        <w:trPr>
          <w:trHeight w:val="159"/>
        </w:trPr>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and marketing</w:t>
            </w:r>
          </w:p>
        </w:tc>
        <w:tc>
          <w:tcPr>
            <w:tcW w:w="172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400" w:type="dxa"/>
            <w:vAlign w:val="bottom"/>
          </w:tcPr>
          <w:p>
            <w:pPr>
              <w:ind w:left="860"/>
              <w:spacing w:after="0" w:line="125" w:lineRule="exact"/>
              <w:rPr>
                <w:sz w:val="20"/>
                <w:szCs w:val="20"/>
                <w:color w:val="auto"/>
              </w:rPr>
            </w:pPr>
            <w:r>
              <w:rPr>
                <w:rFonts w:ascii="Arial" w:cs="Arial" w:eastAsia="Arial" w:hAnsi="Arial"/>
                <w:sz w:val="12"/>
                <w:szCs w:val="12"/>
                <w:color w:val="auto"/>
              </w:rPr>
              <w:t>General</w:t>
            </w:r>
          </w:p>
        </w:tc>
        <w:tc>
          <w:tcPr>
            <w:tcW w:w="17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50,078</w:t>
            </w: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34,333</w:t>
            </w: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2"/>
                <w:szCs w:val="12"/>
                <w:color w:val="auto"/>
              </w:rPr>
              <w:t>73,877</w:t>
            </w: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70,176</w:t>
            </w:r>
          </w:p>
        </w:tc>
        <w:tc>
          <w:tcPr>
            <w:tcW w:w="0" w:type="dxa"/>
            <w:vAlign w:val="bottom"/>
          </w:tcPr>
          <w:p>
            <w:pPr>
              <w:spacing w:after="0"/>
              <w:rPr>
                <w:sz w:val="1"/>
                <w:szCs w:val="1"/>
                <w:color w:val="auto"/>
              </w:rPr>
            </w:pPr>
          </w:p>
        </w:tc>
      </w:tr>
      <w:tr>
        <w:trPr>
          <w:trHeight w:val="157"/>
        </w:trPr>
        <w:tc>
          <w:tcPr>
            <w:tcW w:w="1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and administrative</w:t>
            </w:r>
          </w:p>
        </w:tc>
        <w:tc>
          <w:tcPr>
            <w:tcW w:w="1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2"/>
                <w:szCs w:val="12"/>
                <w:color w:val="auto"/>
              </w:rPr>
              <w:t>Total</w:t>
            </w:r>
          </w:p>
        </w:tc>
        <w:tc>
          <w:tcPr>
            <w:tcW w:w="17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242,090</w:t>
            </w:r>
          </w:p>
        </w:tc>
        <w:tc>
          <w:tcPr>
            <w:tcW w:w="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144,168</w:t>
            </w:r>
          </w:p>
        </w:tc>
        <w:tc>
          <w:tcPr>
            <w:tcW w:w="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397,365</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281,323</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Net Loss Per Share Attributable to Common Stockholders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Basic and diluted net loss per common share is presented in conformity with the two-class method required for participating securities and is described in detail in the Company’s Annual Report.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sets forth the calculation of basic and diluted net loss per share attributable to common stockholders during the periods presented:</w:t>
      </w:r>
    </w:p>
    <w:p>
      <w:pPr>
        <w:spacing w:after="0" w:line="170"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4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0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Three Months Ended June 30,</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60" w:type="dxa"/>
            <w:vAlign w:val="bottom"/>
            <w:gridSpan w:val="4"/>
          </w:tcPr>
          <w:p>
            <w:pPr>
              <w:ind w:left="740"/>
              <w:spacing w:after="0"/>
              <w:rPr>
                <w:sz w:val="20"/>
                <w:szCs w:val="20"/>
                <w:color w:val="auto"/>
              </w:rPr>
            </w:pPr>
            <w:r>
              <w:rPr>
                <w:rFonts w:ascii="Arial" w:cs="Arial" w:eastAsia="Arial" w:hAnsi="Arial"/>
                <w:sz w:val="11"/>
                <w:szCs w:val="11"/>
                <w:b w:val="1"/>
                <w:bCs w:val="1"/>
                <w:color w:val="auto"/>
              </w:rPr>
              <w:t>Six Months Ended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4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ind w:left="740"/>
              <w:spacing w:after="0"/>
              <w:rPr>
                <w:sz w:val="20"/>
                <w:szCs w:val="20"/>
                <w:color w:val="auto"/>
              </w:rPr>
            </w:pPr>
            <w:r>
              <w:rPr>
                <w:rFonts w:ascii="Arial" w:cs="Arial" w:eastAsia="Arial" w:hAnsi="Arial"/>
                <w:sz w:val="11"/>
                <w:szCs w:val="11"/>
                <w:b w:val="1"/>
                <w:bCs w:val="1"/>
                <w:color w:val="auto"/>
              </w:rPr>
              <w:t>June 30,</w:t>
            </w:r>
          </w:p>
        </w:tc>
        <w:tc>
          <w:tcPr>
            <w:tcW w:w="4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4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8"/>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Net loss attributable to common stockholders (in thousands)</w:t>
            </w:r>
          </w:p>
        </w:tc>
        <w:tc>
          <w:tcPr>
            <w:tcW w:w="7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(322,769)</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(227,853)</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(544,396)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500"/>
              <w:spacing w:after="0" w:line="106" w:lineRule="exact"/>
              <w:rPr>
                <w:sz w:val="20"/>
                <w:szCs w:val="20"/>
                <w:color w:val="auto"/>
              </w:rPr>
            </w:pPr>
            <w:r>
              <w:rPr>
                <w:rFonts w:ascii="Arial" w:cs="Arial" w:eastAsia="Arial" w:hAnsi="Arial"/>
                <w:sz w:val="12"/>
                <w:szCs w:val="12"/>
                <w:color w:val="auto"/>
                <w:w w:val="97"/>
              </w:rPr>
              <w:t>Weighted-average shares used to compute net loss per share attributable to</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44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182,347,864</w:t>
            </w: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w w:val="98"/>
              </w:rPr>
              <w:t>173,407,187</w:t>
            </w: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181,624,316</w:t>
            </w: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170,2</w:t>
            </w:r>
          </w:p>
        </w:tc>
        <w:tc>
          <w:tcPr>
            <w:tcW w:w="0" w:type="dxa"/>
            <w:vAlign w:val="bottom"/>
          </w:tcPr>
          <w:p>
            <w:pPr>
              <w:spacing w:after="0"/>
              <w:rPr>
                <w:sz w:val="1"/>
                <w:szCs w:val="1"/>
                <w:color w:val="auto"/>
              </w:rPr>
            </w:pPr>
          </w:p>
        </w:tc>
      </w:tr>
      <w:tr>
        <w:trPr>
          <w:trHeight w:val="139"/>
        </w:trPr>
        <w:tc>
          <w:tcPr>
            <w:tcW w:w="4460" w:type="dxa"/>
            <w:vAlign w:val="bottom"/>
          </w:tcPr>
          <w:p>
            <w:pPr>
              <w:ind w:left="180"/>
              <w:spacing w:after="0"/>
              <w:rPr>
                <w:sz w:val="20"/>
                <w:szCs w:val="20"/>
                <w:color w:val="auto"/>
              </w:rPr>
            </w:pPr>
            <w:r>
              <w:rPr>
                <w:rFonts w:ascii="Arial" w:cs="Arial" w:eastAsia="Arial" w:hAnsi="Arial"/>
                <w:sz w:val="12"/>
                <w:szCs w:val="12"/>
                <w:color w:val="auto"/>
              </w:rPr>
              <w:t>common stockholders, basic and diluted</w:t>
            </w:r>
          </w:p>
        </w:tc>
        <w:tc>
          <w:tcPr>
            <w:tcW w:w="7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Net loss per share attributable to common stockholders, basic and diluted</w:t>
            </w:r>
          </w:p>
        </w:tc>
        <w:tc>
          <w:tcPr>
            <w:tcW w:w="7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40" w:firstLine="365"/>
        <w:spacing w:after="0" w:line="259" w:lineRule="auto"/>
        <w:rPr>
          <w:sz w:val="20"/>
          <w:szCs w:val="20"/>
          <w:color w:val="auto"/>
        </w:rPr>
      </w:pPr>
      <w:r>
        <w:rPr>
          <w:rFonts w:ascii="Arial" w:cs="Arial" w:eastAsia="Arial" w:hAnsi="Arial"/>
          <w:sz w:val="14"/>
          <w:szCs w:val="14"/>
          <w:color w:val="auto"/>
        </w:rPr>
        <w:t>The following outstanding shares of common stock equivalents were excluded from the calculation of the diluted net loss per share attributable to common stockholders because their effect would have been anti-dilutive:</w:t>
      </w:r>
    </w:p>
    <w:p>
      <w:pPr>
        <w:spacing w:after="0" w:line="164" w:lineRule="exact"/>
        <w:rPr>
          <w:sz w:val="20"/>
          <w:szCs w:val="20"/>
          <w:color w:val="auto"/>
        </w:rPr>
      </w:pPr>
    </w:p>
    <w:tbl>
      <w:tblPr>
        <w:tblLayout w:type="fixed"/>
        <w:tblInd w:w="1420" w:type="dxa"/>
        <w:tblCellMar>
          <w:top w:w="0" w:type="dxa"/>
          <w:left w:w="0" w:type="dxa"/>
          <w:bottom w:w="0" w:type="dxa"/>
          <w:right w:w="0" w:type="dxa"/>
        </w:tblCellMar>
      </w:tblPr>
      <w:tr>
        <w:trPr>
          <w:trHeight w:val="145"/>
        </w:trPr>
        <w:tc>
          <w:tcPr>
            <w:tcW w:w="644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1"/>
                <w:szCs w:val="11"/>
                <w:b w:val="1"/>
                <w:bCs w:val="1"/>
                <w:color w:val="auto"/>
                <w:w w:val="85"/>
              </w:rPr>
              <w:t>As of June 30,</w:t>
            </w:r>
          </w:p>
        </w:tc>
      </w:tr>
      <w:tr>
        <w:trPr>
          <w:trHeight w:val="136"/>
        </w:trPr>
        <w:tc>
          <w:tcPr>
            <w:tcW w:w="644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2021</w:t>
            </w:r>
          </w:p>
        </w:tc>
      </w:tr>
      <w:tr>
        <w:trPr>
          <w:trHeight w:val="153"/>
        </w:trPr>
        <w:tc>
          <w:tcPr>
            <w:tcW w:w="64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Stock options issued and outstanding</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2,654,461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4,786,740</w:t>
            </w:r>
          </w:p>
        </w:tc>
      </w:tr>
      <w:tr>
        <w:trPr>
          <w:trHeight w:val="160"/>
        </w:trPr>
        <w:tc>
          <w:tcPr>
            <w:tcW w:w="6440" w:type="dxa"/>
            <w:vAlign w:val="bottom"/>
          </w:tcPr>
          <w:p>
            <w:pPr>
              <w:ind w:left="500"/>
              <w:spacing w:after="0"/>
              <w:rPr>
                <w:sz w:val="20"/>
                <w:szCs w:val="20"/>
                <w:color w:val="auto"/>
              </w:rPr>
            </w:pPr>
            <w:r>
              <w:rPr>
                <w:rFonts w:ascii="Arial" w:cs="Arial" w:eastAsia="Arial" w:hAnsi="Arial"/>
                <w:sz w:val="12"/>
                <w:szCs w:val="12"/>
                <w:color w:val="auto"/>
              </w:rPr>
              <w:t>Unvested restricted stock units issued and outstanding</w:t>
            </w:r>
          </w:p>
        </w:tc>
        <w:tc>
          <w:tcPr>
            <w:tcW w:w="1160" w:type="dxa"/>
            <w:vAlign w:val="bottom"/>
          </w:tcPr>
          <w:p>
            <w:pPr>
              <w:jc w:val="right"/>
              <w:spacing w:after="0"/>
              <w:rPr>
                <w:sz w:val="20"/>
                <w:szCs w:val="20"/>
                <w:color w:val="auto"/>
              </w:rPr>
            </w:pPr>
            <w:r>
              <w:rPr>
                <w:rFonts w:ascii="Arial" w:cs="Arial" w:eastAsia="Arial" w:hAnsi="Arial"/>
                <w:sz w:val="12"/>
                <w:szCs w:val="12"/>
                <w:color w:val="auto"/>
              </w:rPr>
              <w:t>14,496,487</w:t>
            </w:r>
          </w:p>
        </w:tc>
        <w:tc>
          <w:tcPr>
            <w:tcW w:w="1340" w:type="dxa"/>
            <w:vAlign w:val="bottom"/>
            <w:gridSpan w:val="3"/>
          </w:tcPr>
          <w:p>
            <w:pPr>
              <w:jc w:val="right"/>
              <w:spacing w:after="0"/>
              <w:rPr>
                <w:sz w:val="20"/>
                <w:szCs w:val="20"/>
                <w:color w:val="auto"/>
              </w:rPr>
            </w:pPr>
            <w:r>
              <w:rPr>
                <w:rFonts w:ascii="Arial" w:cs="Arial" w:eastAsia="Arial" w:hAnsi="Arial"/>
                <w:sz w:val="12"/>
                <w:szCs w:val="12"/>
                <w:color w:val="auto"/>
              </w:rPr>
              <w:t>7,008,107</w:t>
            </w:r>
          </w:p>
        </w:tc>
      </w:tr>
      <w:tr>
        <w:trPr>
          <w:trHeight w:val="165"/>
        </w:trPr>
        <w:tc>
          <w:tcPr>
            <w:tcW w:w="64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Class A common stock reserved for Twilio.org</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574,653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663,061</w:t>
            </w:r>
          </w:p>
        </w:tc>
      </w:tr>
      <w:tr>
        <w:trPr>
          <w:trHeight w:val="160"/>
        </w:trPr>
        <w:tc>
          <w:tcPr>
            <w:tcW w:w="6440" w:type="dxa"/>
            <w:vAlign w:val="bottom"/>
          </w:tcPr>
          <w:p>
            <w:pPr>
              <w:ind w:left="500"/>
              <w:spacing w:after="0"/>
              <w:rPr>
                <w:sz w:val="20"/>
                <w:szCs w:val="20"/>
                <w:color w:val="auto"/>
              </w:rPr>
            </w:pPr>
            <w:r>
              <w:rPr>
                <w:rFonts w:ascii="Arial" w:cs="Arial" w:eastAsia="Arial" w:hAnsi="Arial"/>
                <w:sz w:val="12"/>
                <w:szCs w:val="12"/>
                <w:color w:val="auto"/>
              </w:rPr>
              <w:t>Class A common stock committed under ESPP</w:t>
            </w:r>
          </w:p>
        </w:tc>
        <w:tc>
          <w:tcPr>
            <w:tcW w:w="1160" w:type="dxa"/>
            <w:vAlign w:val="bottom"/>
          </w:tcPr>
          <w:p>
            <w:pPr>
              <w:jc w:val="right"/>
              <w:spacing w:after="0"/>
              <w:rPr>
                <w:sz w:val="20"/>
                <w:szCs w:val="20"/>
                <w:color w:val="auto"/>
              </w:rPr>
            </w:pPr>
            <w:r>
              <w:rPr>
                <w:rFonts w:ascii="Arial" w:cs="Arial" w:eastAsia="Arial" w:hAnsi="Arial"/>
                <w:sz w:val="12"/>
                <w:szCs w:val="12"/>
                <w:color w:val="auto"/>
              </w:rPr>
              <w:t>226,082</w:t>
            </w:r>
          </w:p>
        </w:tc>
        <w:tc>
          <w:tcPr>
            <w:tcW w:w="1340" w:type="dxa"/>
            <w:vAlign w:val="bottom"/>
            <w:gridSpan w:val="3"/>
          </w:tcPr>
          <w:p>
            <w:pPr>
              <w:jc w:val="right"/>
              <w:spacing w:after="0"/>
              <w:rPr>
                <w:sz w:val="20"/>
                <w:szCs w:val="20"/>
                <w:color w:val="auto"/>
              </w:rPr>
            </w:pPr>
            <w:r>
              <w:rPr>
                <w:rFonts w:ascii="Arial" w:cs="Arial" w:eastAsia="Arial" w:hAnsi="Arial"/>
                <w:sz w:val="12"/>
                <w:szCs w:val="12"/>
                <w:color w:val="auto"/>
              </w:rPr>
              <w:t>106,054</w:t>
            </w:r>
          </w:p>
        </w:tc>
      </w:tr>
      <w:tr>
        <w:trPr>
          <w:trHeight w:val="165"/>
        </w:trPr>
        <w:tc>
          <w:tcPr>
            <w:tcW w:w="64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Class A common stock in escrow</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31,503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75,612</w:t>
            </w:r>
          </w:p>
        </w:tc>
      </w:tr>
      <w:tr>
        <w:trPr>
          <w:trHeight w:val="160"/>
        </w:trPr>
        <w:tc>
          <w:tcPr>
            <w:tcW w:w="644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Class A common stock in escrow and restricted stock awards subject to future vesting</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76,080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288,755</w:t>
            </w:r>
          </w:p>
        </w:tc>
      </w:tr>
      <w:tr>
        <w:trPr>
          <w:trHeight w:val="175"/>
        </w:trPr>
        <w:tc>
          <w:tcPr>
            <w:tcW w:w="64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18,059,266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12,928,329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Income Taxes</w:t>
      </w:r>
    </w:p>
    <w:p>
      <w:pPr>
        <w:spacing w:after="0" w:line="166" w:lineRule="exact"/>
        <w:rPr>
          <w:sz w:val="20"/>
          <w:szCs w:val="20"/>
          <w:color w:val="auto"/>
        </w:rPr>
      </w:pPr>
    </w:p>
    <w:p>
      <w:pPr>
        <w:ind w:right="180" w:firstLine="365"/>
        <w:spacing w:after="0" w:line="302" w:lineRule="auto"/>
        <w:rPr>
          <w:sz w:val="20"/>
          <w:szCs w:val="20"/>
          <w:color w:val="auto"/>
        </w:rPr>
      </w:pPr>
      <w:r>
        <w:rPr>
          <w:rFonts w:ascii="Arial" w:cs="Arial" w:eastAsia="Arial" w:hAnsi="Arial"/>
          <w:sz w:val="12"/>
          <w:szCs w:val="12"/>
          <w:color w:val="auto"/>
        </w:rPr>
        <w:t>The Company computes its provision for income taxes for interim periods by applying an estimated annual effective tax rate to anticipated annual pretax income or loss. The estimated annual effective tax rate is applied to the Company’s year to date income or loss, and is adjusted for discrete items recorded in the period. The primary difference between the Company’s effective tax rate and the federal statutory rate is the full valuation allowance the Company has established on its federal, state and foreign net operating losses and credits. The Company recorded an income tax provision of $2.6 million and an income tax benefit of $0.3 million for the three and six months ended June 30, 2022, respectively, and a provision of $1.3 million and $2.2 million for the three and six months ended June 30, 2021.</w:t>
      </w:r>
    </w:p>
    <w:p>
      <w:pPr>
        <w:spacing w:after="0" w:line="117" w:lineRule="exact"/>
        <w:rPr>
          <w:sz w:val="20"/>
          <w:szCs w:val="20"/>
          <w:color w:val="auto"/>
        </w:rPr>
      </w:pPr>
    </w:p>
    <w:p>
      <w:pPr>
        <w:jc w:val="both"/>
        <w:ind w:right="100" w:firstLine="365"/>
        <w:spacing w:after="0" w:line="250" w:lineRule="auto"/>
        <w:rPr>
          <w:sz w:val="20"/>
          <w:szCs w:val="20"/>
          <w:color w:val="auto"/>
        </w:rPr>
      </w:pPr>
      <w:r>
        <w:rPr>
          <w:rFonts w:ascii="Arial" w:cs="Arial" w:eastAsia="Arial" w:hAnsi="Arial"/>
          <w:sz w:val="14"/>
          <w:szCs w:val="14"/>
          <w:color w:val="auto"/>
        </w:rPr>
        <w:t>The provision for income taxes recorded in the three months ended June 30, 2022, and three and six months ended June 30, 2021, and the benefit for income taxes recorded in the six months ended June 30, 2022, consists primarily of income taxes and withholding taxes in foreign jurisdictions in which the Company conducts business, partially offset by an income tax benefit from the reversal of U.S. deferred tax liabilities related to the acquired intangibles from business combinations.</w:t>
      </w:r>
    </w:p>
    <w:p>
      <w:pPr>
        <w:spacing w:after="0" w:line="146" w:lineRule="exact"/>
        <w:rPr>
          <w:sz w:val="20"/>
          <w:szCs w:val="20"/>
          <w:color w:val="auto"/>
        </w:rPr>
      </w:pPr>
    </w:p>
    <w:p>
      <w:pPr>
        <w:ind w:right="260" w:firstLine="365"/>
        <w:spacing w:after="0" w:line="259" w:lineRule="auto"/>
        <w:rPr>
          <w:sz w:val="20"/>
          <w:szCs w:val="20"/>
          <w:color w:val="auto"/>
        </w:rPr>
      </w:pPr>
      <w:r>
        <w:rPr>
          <w:rFonts w:ascii="Arial" w:cs="Arial" w:eastAsia="Arial" w:hAnsi="Arial"/>
          <w:sz w:val="14"/>
          <w:szCs w:val="14"/>
          <w:color w:val="auto"/>
        </w:rPr>
        <w:t>The Company is subject to taxation in the U.S. and various other state and foreign jurisdictions. Because the Company has net operating loss carryforwards for U.S. federal and state jurisdictions, the statute of limitations is open for all tax years.</w:t>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Management’s Discussion and Analysis of Financial Condition and Results of Operations</w:t>
      </w:r>
    </w:p>
    <w:p>
      <w:pPr>
        <w:spacing w:after="0" w:line="166" w:lineRule="exact"/>
        <w:rPr>
          <w:sz w:val="20"/>
          <w:szCs w:val="20"/>
          <w:color w:val="auto"/>
        </w:rPr>
      </w:pPr>
    </w:p>
    <w:p>
      <w:pPr>
        <w:ind w:right="200" w:firstLine="365"/>
        <w:spacing w:after="0" w:line="247"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Overview</w:t>
      </w:r>
    </w:p>
    <w:p>
      <w:pPr>
        <w:spacing w:after="0" w:line="186" w:lineRule="exact"/>
        <w:rPr>
          <w:sz w:val="20"/>
          <w:szCs w:val="20"/>
          <w:color w:val="auto"/>
        </w:rPr>
      </w:pPr>
    </w:p>
    <w:p>
      <w:pPr>
        <w:jc w:val="both"/>
        <w:ind w:right="180" w:firstLine="365"/>
        <w:spacing w:after="0" w:line="312" w:lineRule="auto"/>
        <w:rPr>
          <w:sz w:val="20"/>
          <w:szCs w:val="20"/>
          <w:color w:val="auto"/>
        </w:rPr>
      </w:pPr>
      <w:r>
        <w:rPr>
          <w:rFonts w:ascii="Arial" w:cs="Arial" w:eastAsia="Arial" w:hAnsi="Arial"/>
          <w:sz w:val="12"/>
          <w:szCs w:val="12"/>
          <w:color w:val="auto"/>
        </w:rPr>
        <w:t>Today's leading companies trust Twilio's Customer Engagement Platform (CEP) to build direct, personalized relationships with their customers everywhere in the world. Twilio enables companies to use communications and data to add intelligence and security to every step of the customer journey, from sales to marketing to growth, customer service and many more engagement use cases in a flexible, programmatic way. For more information about Twilio refer to Part I, Item 1, “Business,” of our Annual Report on Form 10-K filed with the SEC on February 22, 2022 (“Annual Report”).</w:t>
      </w:r>
    </w:p>
    <w:p>
      <w:pPr>
        <w:spacing w:after="0" w:line="111" w:lineRule="exact"/>
        <w:rPr>
          <w:sz w:val="20"/>
          <w:szCs w:val="20"/>
          <w:color w:val="auto"/>
        </w:rPr>
      </w:pPr>
    </w:p>
    <w:p>
      <w:pPr>
        <w:ind w:right="40" w:firstLine="365"/>
        <w:spacing w:after="0" w:line="342" w:lineRule="auto"/>
        <w:rPr>
          <w:sz w:val="20"/>
          <w:szCs w:val="20"/>
          <w:color w:val="auto"/>
        </w:rPr>
      </w:pPr>
      <w:r>
        <w:rPr>
          <w:rFonts w:ascii="Arial" w:cs="Arial" w:eastAsia="Arial" w:hAnsi="Arial"/>
          <w:sz w:val="12"/>
          <w:szCs w:val="12"/>
          <w:color w:val="auto"/>
        </w:rPr>
        <w:t>We have achieved significant growth in recent periods. In the three months ended June 30, 2022 and 2021, our revenue was $943.4 million and $668.9 million, respectively, and our net loss was $322.8 million and $227.9 million, respectively. In each of the three months ended June 30, 2022 and 2021, our 10 largest Active Customer Accounts generated an aggregate of 12% of our total revenue.</w:t>
      </w:r>
    </w:p>
    <w:p>
      <w:pPr>
        <w:spacing w:after="0" w:line="92"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Key Business Metrics</w:t>
      </w:r>
    </w:p>
    <w:p>
      <w:pPr>
        <w:spacing w:after="0" w:line="190" w:lineRule="exact"/>
        <w:rPr>
          <w:sz w:val="20"/>
          <w:szCs w:val="20"/>
          <w:color w:val="auto"/>
        </w:rPr>
      </w:pPr>
    </w:p>
    <w:tbl>
      <w:tblPr>
        <w:tblLayout w:type="fixed"/>
        <w:tblInd w:w="6200" w:type="dxa"/>
        <w:tblCellMar>
          <w:top w:w="0" w:type="dxa"/>
          <w:left w:w="0" w:type="dxa"/>
          <w:bottom w:w="0" w:type="dxa"/>
          <w:right w:w="0" w:type="dxa"/>
        </w:tblCellMar>
      </w:tblPr>
      <w:tr>
        <w:trPr>
          <w:trHeight w:val="145"/>
        </w:trPr>
        <w:tc>
          <w:tcPr>
            <w:tcW w:w="14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jc w:val="right"/>
              <w:ind w:right="1226"/>
              <w:spacing w:after="0"/>
              <w:rPr>
                <w:sz w:val="20"/>
                <w:szCs w:val="20"/>
                <w:color w:val="auto"/>
              </w:rPr>
            </w:pPr>
            <w:r>
              <w:rPr>
                <w:rFonts w:ascii="Arial" w:cs="Arial" w:eastAsia="Arial" w:hAnsi="Arial"/>
                <w:sz w:val="11"/>
                <w:szCs w:val="11"/>
                <w:b w:val="1"/>
                <w:bCs w:val="1"/>
                <w:color w:val="auto"/>
                <w:w w:val="97"/>
              </w:rPr>
              <w:t>Three Months Ended June 30,</w:t>
            </w:r>
          </w:p>
        </w:tc>
      </w:tr>
      <w:tr>
        <w:trPr>
          <w:trHeight w:val="135"/>
        </w:trPr>
        <w:tc>
          <w:tcPr>
            <w:tcW w:w="1480" w:type="dxa"/>
            <w:vAlign w:val="bottom"/>
          </w:tcPr>
          <w:p>
            <w:pPr>
              <w:jc w:val="right"/>
              <w:ind w:right="86"/>
              <w:spacing w:after="0"/>
              <w:rPr>
                <w:sz w:val="20"/>
                <w:szCs w:val="20"/>
                <w:color w:val="auto"/>
              </w:rPr>
            </w:pPr>
            <w:r>
              <w:rPr>
                <w:rFonts w:ascii="Arial" w:cs="Arial" w:eastAsia="Arial" w:hAnsi="Arial"/>
                <w:sz w:val="11"/>
                <w:szCs w:val="11"/>
                <w:b w:val="1"/>
                <w:bCs w:val="1"/>
                <w:color w:val="auto"/>
              </w:rPr>
              <w:t>2022</w:t>
            </w:r>
          </w:p>
        </w:tc>
        <w:tc>
          <w:tcPr>
            <w:tcW w:w="2820" w:type="dxa"/>
            <w:vAlign w:val="bottom"/>
          </w:tcPr>
          <w:p>
            <w:pPr>
              <w:jc w:val="right"/>
              <w:ind w:right="706"/>
              <w:spacing w:after="0"/>
              <w:rPr>
                <w:sz w:val="20"/>
                <w:szCs w:val="20"/>
                <w:color w:val="auto"/>
              </w:rPr>
            </w:pPr>
            <w:r>
              <w:rPr>
                <w:rFonts w:ascii="Arial" w:cs="Arial" w:eastAsia="Arial" w:hAnsi="Arial"/>
                <w:sz w:val="11"/>
                <w:szCs w:val="11"/>
                <w:b w:val="1"/>
                <w:bCs w:val="1"/>
                <w:color w:val="auto"/>
              </w:rPr>
              <w:t>2021</w:t>
            </w:r>
          </w:p>
        </w:tc>
      </w:tr>
    </w:tbl>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5040" w:type="dxa"/>
            <w:vAlign w:val="bottom"/>
            <w:tcBorders>
              <w:top w:val="single" w:sz="8" w:color="CCEEFF"/>
            </w:tcBorders>
            <w:shd w:val="clear" w:color="auto" w:fill="CCEEFF"/>
          </w:tcPr>
          <w:p>
            <w:pPr>
              <w:ind w:left="380"/>
              <w:spacing w:after="0" w:line="154" w:lineRule="exact"/>
              <w:rPr>
                <w:sz w:val="20"/>
                <w:szCs w:val="20"/>
                <w:color w:val="auto"/>
              </w:rPr>
            </w:pPr>
            <w:r>
              <w:rPr>
                <w:rFonts w:ascii="Arial" w:cs="Arial" w:eastAsia="Arial" w:hAnsi="Arial"/>
                <w:sz w:val="12"/>
                <w:szCs w:val="12"/>
                <w:color w:val="auto"/>
              </w:rPr>
              <w:t xml:space="preserve">Number of Active Customer Accounts (as of end date of period) </w:t>
            </w:r>
            <w:r>
              <w:rPr>
                <w:rFonts w:ascii="Arial" w:cs="Arial" w:eastAsia="Arial" w:hAnsi="Arial"/>
                <w:sz w:val="15"/>
                <w:szCs w:val="15"/>
                <w:color w:val="auto"/>
                <w:vertAlign w:val="superscript"/>
              </w:rPr>
              <w:t>(1)</w:t>
            </w:r>
          </w:p>
        </w:tc>
        <w:tc>
          <w:tcPr>
            <w:tcW w:w="8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275,000</w:t>
            </w: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240,000</w:t>
            </w:r>
          </w:p>
        </w:tc>
        <w:tc>
          <w:tcPr>
            <w:tcW w:w="320" w:type="dxa"/>
            <w:vAlign w:val="bottom"/>
            <w:tcBorders>
              <w:top w:val="single" w:sz="8" w:color="auto"/>
            </w:tcBorders>
            <w:shd w:val="clear" w:color="auto" w:fill="CCEEFF"/>
          </w:tcPr>
          <w:p>
            <w:pPr>
              <w:spacing w:after="0"/>
              <w:rPr>
                <w:sz w:val="13"/>
                <w:szCs w:val="13"/>
                <w:color w:val="auto"/>
              </w:rPr>
            </w:pPr>
          </w:p>
        </w:tc>
      </w:tr>
      <w:tr>
        <w:trPr>
          <w:trHeight w:val="162"/>
        </w:trPr>
        <w:tc>
          <w:tcPr>
            <w:tcW w:w="5040" w:type="dxa"/>
            <w:vAlign w:val="bottom"/>
          </w:tcPr>
          <w:p>
            <w:pPr>
              <w:ind w:left="380"/>
              <w:spacing w:after="0" w:line="162" w:lineRule="exact"/>
              <w:rPr>
                <w:sz w:val="20"/>
                <w:szCs w:val="20"/>
                <w:color w:val="auto"/>
              </w:rPr>
            </w:pPr>
            <w:r>
              <w:rPr>
                <w:rFonts w:ascii="Arial" w:cs="Arial" w:eastAsia="Arial" w:hAnsi="Arial"/>
                <w:sz w:val="12"/>
                <w:szCs w:val="12"/>
                <w:color w:val="auto"/>
              </w:rPr>
              <w:t xml:space="preserve">Total Revenue (in thousands) </w:t>
            </w:r>
            <w:r>
              <w:rPr>
                <w:rFonts w:ascii="Arial" w:cs="Arial" w:eastAsia="Arial" w:hAnsi="Arial"/>
                <w:sz w:val="15"/>
                <w:szCs w:val="15"/>
                <w:color w:val="auto"/>
                <w:vertAlign w:val="superscript"/>
              </w:rPr>
              <w:t>(2)</w:t>
            </w:r>
          </w:p>
        </w:tc>
        <w:tc>
          <w:tcPr>
            <w:tcW w:w="8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39"/>
              <w:spacing w:after="0"/>
              <w:rPr>
                <w:sz w:val="20"/>
                <w:szCs w:val="20"/>
                <w:color w:val="auto"/>
              </w:rPr>
            </w:pPr>
            <w:r>
              <w:rPr>
                <w:rFonts w:ascii="Arial" w:cs="Arial" w:eastAsia="Arial" w:hAnsi="Arial"/>
                <w:sz w:val="12"/>
                <w:szCs w:val="12"/>
                <w:color w:val="auto"/>
              </w:rPr>
              <w:t>943,354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39"/>
              <w:spacing w:after="0"/>
              <w:rPr>
                <w:sz w:val="20"/>
                <w:szCs w:val="20"/>
                <w:color w:val="auto"/>
              </w:rPr>
            </w:pPr>
            <w:r>
              <w:rPr>
                <w:rFonts w:ascii="Arial" w:cs="Arial" w:eastAsia="Arial" w:hAnsi="Arial"/>
                <w:sz w:val="12"/>
                <w:szCs w:val="12"/>
                <w:color w:val="auto"/>
              </w:rPr>
              <w:t>668,931</w:t>
            </w:r>
          </w:p>
        </w:tc>
        <w:tc>
          <w:tcPr>
            <w:tcW w:w="320" w:type="dxa"/>
            <w:vAlign w:val="bottom"/>
          </w:tcPr>
          <w:p>
            <w:pPr>
              <w:spacing w:after="0"/>
              <w:rPr>
                <w:sz w:val="14"/>
                <w:szCs w:val="14"/>
                <w:color w:val="auto"/>
              </w:rPr>
            </w:pPr>
          </w:p>
        </w:tc>
      </w:tr>
      <w:tr>
        <w:trPr>
          <w:trHeight w:val="162"/>
        </w:trPr>
        <w:tc>
          <w:tcPr>
            <w:tcW w:w="5040" w:type="dxa"/>
            <w:vAlign w:val="bottom"/>
            <w:shd w:val="clear" w:color="auto" w:fill="CCEEFF"/>
          </w:tcPr>
          <w:p>
            <w:pPr>
              <w:ind w:left="460"/>
              <w:spacing w:after="0" w:line="162" w:lineRule="exact"/>
              <w:rPr>
                <w:sz w:val="20"/>
                <w:szCs w:val="20"/>
                <w:color w:val="auto"/>
              </w:rPr>
            </w:pPr>
            <w:r>
              <w:rPr>
                <w:rFonts w:ascii="Arial" w:cs="Arial" w:eastAsia="Arial" w:hAnsi="Arial"/>
                <w:sz w:val="12"/>
                <w:szCs w:val="12"/>
                <w:i w:val="1"/>
                <w:iCs w:val="1"/>
                <w:color w:val="auto"/>
              </w:rPr>
              <w:t xml:space="preserve">Total Revenue Growth Rate </w:t>
            </w:r>
            <w:r>
              <w:rPr>
                <w:rFonts w:ascii="Arial" w:cs="Arial" w:eastAsia="Arial" w:hAnsi="Arial"/>
                <w:sz w:val="15"/>
                <w:szCs w:val="15"/>
                <w:i w:val="1"/>
                <w:iCs w:val="1"/>
                <w:color w:val="auto"/>
                <w:vertAlign w:val="superscript"/>
              </w:rPr>
              <w:t>(2)</w:t>
            </w: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41</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67</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5"/>
        </w:trPr>
        <w:tc>
          <w:tcPr>
            <w:tcW w:w="5040" w:type="dxa"/>
            <w:vAlign w:val="bottom"/>
          </w:tcPr>
          <w:p>
            <w:pPr>
              <w:ind w:left="380"/>
              <w:spacing w:after="0" w:line="165" w:lineRule="exact"/>
              <w:rPr>
                <w:sz w:val="20"/>
                <w:szCs w:val="20"/>
                <w:color w:val="auto"/>
              </w:rPr>
            </w:pPr>
            <w:r>
              <w:rPr>
                <w:rFonts w:ascii="Arial" w:cs="Arial" w:eastAsia="Arial" w:hAnsi="Arial"/>
                <w:sz w:val="12"/>
                <w:szCs w:val="12"/>
                <w:color w:val="auto"/>
              </w:rPr>
              <w:t xml:space="preserve">Dollar-Based Net Expansion Rate </w:t>
            </w:r>
            <w:r>
              <w:rPr>
                <w:rFonts w:ascii="Arial" w:cs="Arial" w:eastAsia="Arial" w:hAnsi="Arial"/>
                <w:sz w:val="15"/>
                <w:szCs w:val="15"/>
                <w:color w:val="auto"/>
                <w:vertAlign w:val="superscript"/>
              </w:rPr>
              <w:t>(3)</w:t>
            </w:r>
          </w:p>
        </w:tc>
        <w:tc>
          <w:tcPr>
            <w:tcW w:w="820" w:type="dxa"/>
            <w:vAlign w:val="bottom"/>
          </w:tcPr>
          <w:p>
            <w:pPr>
              <w:spacing w:after="0"/>
              <w:rPr>
                <w:sz w:val="14"/>
                <w:szCs w:val="14"/>
                <w:color w:val="auto"/>
              </w:rPr>
            </w:pPr>
          </w:p>
        </w:tc>
        <w:tc>
          <w:tcPr>
            <w:tcW w:w="960" w:type="dxa"/>
            <w:vAlign w:val="bottom"/>
          </w:tcPr>
          <w:p>
            <w:pPr>
              <w:jc w:val="right"/>
              <w:ind w:right="139"/>
              <w:spacing w:after="0"/>
              <w:rPr>
                <w:sz w:val="20"/>
                <w:szCs w:val="20"/>
                <w:color w:val="auto"/>
              </w:rPr>
            </w:pPr>
            <w:r>
              <w:rPr>
                <w:rFonts w:ascii="Arial" w:cs="Arial" w:eastAsia="Arial" w:hAnsi="Arial"/>
                <w:sz w:val="12"/>
                <w:szCs w:val="12"/>
                <w:color w:val="auto"/>
              </w:rPr>
              <w:t>123</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2"/>
                <w:szCs w:val="12"/>
                <w:color w:val="auto"/>
              </w:rPr>
              <w:t>135</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02"/>
        </w:trPr>
        <w:tc>
          <w:tcPr>
            <w:tcW w:w="5040" w:type="dxa"/>
            <w:vAlign w:val="bottom"/>
          </w:tcPr>
          <w:p>
            <w:pPr>
              <w:ind w:left="380"/>
              <w:spacing w:after="0"/>
              <w:rPr>
                <w:sz w:val="20"/>
                <w:szCs w:val="20"/>
                <w:color w:val="auto"/>
              </w:rPr>
            </w:pPr>
            <w:r>
              <w:rPr>
                <w:rFonts w:ascii="Arial" w:cs="Arial" w:eastAsia="Arial" w:hAnsi="Arial"/>
                <w:sz w:val="8"/>
                <w:szCs w:val="8"/>
                <w:color w:val="auto"/>
              </w:rPr>
              <w:t>____________________</w:t>
            </w: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r>
    </w:tbl>
    <w:p>
      <w:pPr>
        <w:spacing w:after="0" w:line="12" w:lineRule="exact"/>
        <w:rPr>
          <w:sz w:val="20"/>
          <w:szCs w:val="20"/>
          <w:color w:val="auto"/>
        </w:rPr>
      </w:pPr>
    </w:p>
    <w:p>
      <w:pPr>
        <w:ind w:left="1640" w:hanging="103"/>
        <w:spacing w:after="0"/>
        <w:tabs>
          <w:tab w:leader="none" w:pos="1640" w:val="left"/>
        </w:tabs>
        <w:numPr>
          <w:ilvl w:val="1"/>
          <w:numId w:val="22"/>
        </w:numPr>
        <w:rPr>
          <w:rFonts w:ascii="Arial" w:cs="Arial" w:eastAsia="Arial" w:hAnsi="Arial"/>
          <w:sz w:val="12"/>
          <w:szCs w:val="12"/>
          <w:color w:val="auto"/>
          <w:vertAlign w:val="superscript"/>
        </w:rPr>
      </w:pPr>
      <w:r>
        <w:rPr>
          <w:rFonts w:ascii="Arial" w:cs="Arial" w:eastAsia="Arial" w:hAnsi="Arial"/>
          <w:sz w:val="9"/>
          <w:szCs w:val="9"/>
          <w:color w:val="auto"/>
        </w:rPr>
        <w:t>Excludes customer accounts from Zipwhip.</w:t>
      </w:r>
    </w:p>
    <w:p>
      <w:pPr>
        <w:spacing w:after="0" w:line="13" w:lineRule="exact"/>
        <w:rPr>
          <w:rFonts w:ascii="Arial" w:cs="Arial" w:eastAsia="Arial" w:hAnsi="Arial"/>
          <w:sz w:val="12"/>
          <w:szCs w:val="12"/>
          <w:color w:val="auto"/>
          <w:vertAlign w:val="superscript"/>
        </w:rPr>
      </w:pPr>
    </w:p>
    <w:p>
      <w:pPr>
        <w:ind w:left="1640" w:hanging="103"/>
        <w:spacing w:after="0" w:line="223" w:lineRule="auto"/>
        <w:tabs>
          <w:tab w:leader="none" w:pos="1640" w:val="left"/>
        </w:tabs>
        <w:numPr>
          <w:ilvl w:val="1"/>
          <w:numId w:val="22"/>
        </w:numPr>
        <w:rPr>
          <w:rFonts w:ascii="Arial" w:cs="Arial" w:eastAsia="Arial" w:hAnsi="Arial"/>
          <w:sz w:val="12"/>
          <w:szCs w:val="12"/>
          <w:color w:val="auto"/>
          <w:vertAlign w:val="superscript"/>
        </w:rPr>
      </w:pPr>
      <w:r>
        <w:rPr>
          <w:rFonts w:ascii="Arial" w:cs="Arial" w:eastAsia="Arial" w:hAnsi="Arial"/>
          <w:sz w:val="9"/>
          <w:szCs w:val="9"/>
          <w:color w:val="auto"/>
        </w:rPr>
        <w:t>Includes revenue from Zipwhip, acquired July 14, 2021, and other smaller acquisitions made after April 1, 2021.</w:t>
      </w:r>
    </w:p>
    <w:p>
      <w:pPr>
        <w:spacing w:after="0" w:line="13" w:lineRule="exact"/>
        <w:rPr>
          <w:rFonts w:ascii="Arial" w:cs="Arial" w:eastAsia="Arial" w:hAnsi="Arial"/>
          <w:sz w:val="12"/>
          <w:szCs w:val="12"/>
          <w:color w:val="auto"/>
          <w:vertAlign w:val="superscript"/>
        </w:rPr>
      </w:pPr>
    </w:p>
    <w:p>
      <w:pPr>
        <w:ind w:left="1280" w:hanging="108"/>
        <w:spacing w:after="0" w:line="206" w:lineRule="auto"/>
        <w:tabs>
          <w:tab w:leader="none" w:pos="1280" w:val="left"/>
        </w:tabs>
        <w:numPr>
          <w:ilvl w:val="0"/>
          <w:numId w:val="23"/>
        </w:numPr>
        <w:rPr>
          <w:rFonts w:ascii="Arial" w:cs="Arial" w:eastAsia="Arial" w:hAnsi="Arial"/>
          <w:sz w:val="13"/>
          <w:szCs w:val="13"/>
          <w:color w:val="auto"/>
          <w:vertAlign w:val="superscript"/>
        </w:rPr>
      </w:pPr>
      <w:r>
        <w:rPr>
          <w:rFonts w:ascii="Arial" w:cs="Arial" w:eastAsia="Arial" w:hAnsi="Arial"/>
          <w:sz w:val="10"/>
          <w:szCs w:val="10"/>
          <w:color w:val="auto"/>
        </w:rPr>
        <w:t>Excludes the contributions from Zipwhip, acquired July 14, 2021, and other smaller acquisitions made after April 1, 2021.</w:t>
      </w:r>
    </w:p>
    <w:p>
      <w:pPr>
        <w:spacing w:after="0" w:line="231" w:lineRule="exact"/>
        <w:rPr>
          <w:sz w:val="20"/>
          <w:szCs w:val="20"/>
          <w:color w:val="auto"/>
        </w:rPr>
      </w:pPr>
    </w:p>
    <w:p>
      <w:pPr>
        <w:ind w:right="180" w:firstLine="365"/>
        <w:spacing w:after="0" w:line="297" w:lineRule="auto"/>
        <w:rPr>
          <w:sz w:val="20"/>
          <w:szCs w:val="20"/>
          <w:color w:val="auto"/>
        </w:rPr>
      </w:pPr>
      <w:r>
        <w:rPr>
          <w:rFonts w:ascii="Arial" w:cs="Arial" w:eastAsia="Arial" w:hAnsi="Arial"/>
          <w:sz w:val="12"/>
          <w:szCs w:val="12"/>
          <w:b w:val="1"/>
          <w:bCs w:val="1"/>
          <w:i w:val="1"/>
          <w:iCs w:val="1"/>
          <w:color w:val="auto"/>
        </w:rPr>
        <w:t xml:space="preserve">Number of Active Customer Accounts. </w:t>
      </w:r>
      <w:r>
        <w:rPr>
          <w:rFonts w:ascii="Arial" w:cs="Arial" w:eastAsia="Arial" w:hAnsi="Arial"/>
          <w:sz w:val="12"/>
          <w:szCs w:val="12"/>
          <w:color w:val="auto"/>
        </w:rPr>
        <w:t>We believe that the number of Active Customer Accounts is an important indicator of the growth of our business, the market acceptance of our platform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future revenue trends. We define an “Active Customer Account” at the end of any period as an individual account, as identified by a unique account identifier, for which we have recognized at least $5 of revenue in the last month of the period. We believe that use of our platform by customers at or above the $5 per month threshold is a stronger indicator of potential future engagement than trial usage of our platform or usage at levels below $5 per month. In the three months ended June 30, 2022 and 2021, revenue from Active Customer Accounts represented over 99% of total revenue in each period. A single organization may constitute multiple unique Active Customer Accounts if it has multiple account identifiers, each of which is treated as a separate Active Customer Account.</w:t>
      </w:r>
    </w:p>
    <w:p>
      <w:pPr>
        <w:spacing w:after="0" w:line="120" w:lineRule="exact"/>
        <w:rPr>
          <w:sz w:val="20"/>
          <w:szCs w:val="20"/>
          <w:color w:val="auto"/>
        </w:rPr>
      </w:pPr>
    </w:p>
    <w:p>
      <w:pPr>
        <w:ind w:firstLine="365"/>
        <w:spacing w:after="0" w:line="164" w:lineRule="exact"/>
        <w:rPr>
          <w:sz w:val="20"/>
          <w:szCs w:val="20"/>
          <w:color w:val="auto"/>
        </w:rPr>
      </w:pPr>
      <w:r>
        <w:rPr>
          <w:rFonts w:ascii="Arial" w:cs="Arial" w:eastAsia="Arial" w:hAnsi="Arial"/>
          <w:sz w:val="12"/>
          <w:szCs w:val="12"/>
          <w:b w:val="1"/>
          <w:bCs w:val="1"/>
          <w:i w:val="1"/>
          <w:iCs w:val="1"/>
          <w:color w:val="auto"/>
        </w:rPr>
        <w:t>Dollar</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 xml:space="preserve">Based Net Expansion Rate. </w:t>
      </w:r>
      <w:r>
        <w:rPr>
          <w:rFonts w:ascii="Arial" w:cs="Arial" w:eastAsia="Arial" w:hAnsi="Arial"/>
          <w:sz w:val="12"/>
          <w:szCs w:val="12"/>
          <w:color w:val="auto"/>
        </w:rPr>
        <w:t>Our ability to drive growth and generate incremental revenue depends, in part, on our ability to maintain and grow our relationships with existing Active Customer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We believe that measuring Dollar-Based Net Expansion Rate provides a more meaningful indication of the performance of our efforts to increase revenue from existing customers.</w:t>
      </w:r>
    </w:p>
    <w:p>
      <w:pPr>
        <w:spacing w:after="0" w:line="155" w:lineRule="exact"/>
        <w:rPr>
          <w:sz w:val="20"/>
          <w:szCs w:val="20"/>
          <w:color w:val="auto"/>
        </w:rPr>
      </w:pPr>
    </w:p>
    <w:p>
      <w:pPr>
        <w:ind w:right="20" w:firstLine="365"/>
        <w:spacing w:after="0" w:line="297" w:lineRule="auto"/>
        <w:rPr>
          <w:sz w:val="20"/>
          <w:szCs w:val="20"/>
          <w:color w:val="auto"/>
        </w:rPr>
      </w:pPr>
      <w:r>
        <w:rPr>
          <w:rFonts w:ascii="Arial" w:cs="Arial" w:eastAsia="Arial" w:hAnsi="Arial"/>
          <w:sz w:val="12"/>
          <w:szCs w:val="12"/>
          <w:color w:val="auto"/>
        </w:rPr>
        <w:t>Our Dollar-Based Net Expansion Rate compares the revenue from all Active Customer Accounts in a quarter to the same quarter in the prior year. To calculate the Dollar-Based Net Expansion Rate, we first identify the cohort of Active Customer Accounts that were Active Customer Accounts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Key Components of Statements of Operations</w:t>
      </w:r>
    </w:p>
    <w:p>
      <w:pPr>
        <w:spacing w:after="0" w:line="166" w:lineRule="exact"/>
        <w:rPr>
          <w:sz w:val="20"/>
          <w:szCs w:val="20"/>
          <w:color w:val="auto"/>
        </w:rPr>
      </w:pPr>
    </w:p>
    <w:p>
      <w:pPr>
        <w:ind w:right="140" w:firstLine="365"/>
        <w:spacing w:after="0" w:line="165" w:lineRule="exact"/>
        <w:rPr>
          <w:sz w:val="20"/>
          <w:szCs w:val="20"/>
          <w:color w:val="auto"/>
        </w:rPr>
      </w:pPr>
      <w:r>
        <w:rPr>
          <w:rFonts w:ascii="Arial" w:cs="Arial" w:eastAsia="Arial" w:hAnsi="Arial"/>
          <w:sz w:val="14"/>
          <w:szCs w:val="14"/>
          <w:b w:val="1"/>
          <w:bCs w:val="1"/>
          <w:i w:val="1"/>
          <w:iCs w:val="1"/>
          <w:color w:val="auto"/>
        </w:rPr>
        <w:t xml:space="preserve">Revenue. </w:t>
      </w:r>
      <w:r>
        <w:rPr>
          <w:rFonts w:ascii="Arial" w:cs="Arial" w:eastAsia="Arial" w:hAnsi="Arial"/>
          <w:sz w:val="14"/>
          <w:szCs w:val="14"/>
          <w:color w:val="auto"/>
        </w:rPr>
        <w:t>We derive our revenue primarily from usage</w:t>
      </w:r>
      <w:r>
        <w:rPr>
          <w:rFonts w:ascii="MS PGothic" w:cs="MS PGothic" w:eastAsia="MS PGothic" w:hAnsi="MS PGothic"/>
          <w:sz w:val="14"/>
          <w:szCs w:val="14"/>
          <w:color w:val="auto"/>
        </w:rPr>
        <w:t>‑</w:t>
      </w:r>
      <w:r>
        <w:rPr>
          <w:rFonts w:ascii="Arial" w:cs="Arial" w:eastAsia="Arial" w:hAnsi="Arial"/>
          <w:sz w:val="14"/>
          <w:szCs w:val="14"/>
          <w:color w:val="auto"/>
        </w:rPr>
        <w:t>based fees earned from customers using the software products within our Channel APIs. These usage</w:t>
      </w:r>
      <w:r>
        <w:rPr>
          <w:rFonts w:ascii="MS PGothic" w:cs="MS PGothic" w:eastAsia="MS PGothic" w:hAnsi="MS PGothic"/>
          <w:sz w:val="14"/>
          <w:szCs w:val="14"/>
          <w:color w:val="auto"/>
        </w:rPr>
        <w:t>‑</w:t>
      </w:r>
      <w:r>
        <w:rPr>
          <w:rFonts w:ascii="Arial" w:cs="Arial" w:eastAsia="Arial" w:hAnsi="Arial"/>
          <w:sz w:val="14"/>
          <w:szCs w:val="14"/>
          <w:color w:val="auto"/>
        </w:rPr>
        <w:t>based software products include offerings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such as Programmable Messaging, Programmable Voice and others. Some examples of the usage</w:t>
      </w:r>
      <w:r>
        <w:rPr>
          <w:rFonts w:ascii="MS PGothic" w:cs="MS PGothic" w:eastAsia="MS PGothic" w:hAnsi="MS PGothic"/>
          <w:sz w:val="14"/>
          <w:szCs w:val="14"/>
          <w:color w:val="auto"/>
        </w:rPr>
        <w:t>‑</w:t>
      </w:r>
      <w:r>
        <w:rPr>
          <w:rFonts w:ascii="Arial" w:cs="Arial" w:eastAsia="Arial" w:hAnsi="Arial"/>
          <w:sz w:val="14"/>
          <w:szCs w:val="14"/>
          <w:color w:val="auto"/>
        </w:rPr>
        <w:t>based fees that we charge include fees related to the number of text messages sent or received using our Programmable Messaging products, minutes of call duration activity for our Programmable Voice products and the number of authentications for our Verify product. In the three months ended June 30, 2022 and 2021, we generated 73% and 72% of our revenue, respectively, from usage</w:t>
      </w:r>
      <w:r>
        <w:rPr>
          <w:rFonts w:ascii="MS PGothic" w:cs="MS PGothic" w:eastAsia="MS PGothic" w:hAnsi="MS PGothic"/>
          <w:sz w:val="14"/>
          <w:szCs w:val="14"/>
          <w:color w:val="auto"/>
        </w:rPr>
        <w:t>‑</w:t>
      </w:r>
      <w:r>
        <w:rPr>
          <w:rFonts w:ascii="Arial" w:cs="Arial" w:eastAsia="Arial" w:hAnsi="Arial"/>
          <w:sz w:val="14"/>
          <w:szCs w:val="14"/>
          <w:color w:val="auto"/>
        </w:rPr>
        <w:t>based fees. We also earn monthly flat fees from certain fee</w:t>
      </w:r>
      <w:r>
        <w:rPr>
          <w:rFonts w:ascii="MS PGothic" w:cs="MS PGothic" w:eastAsia="MS PGothic" w:hAnsi="MS PGothic"/>
          <w:sz w:val="14"/>
          <w:szCs w:val="14"/>
          <w:color w:val="auto"/>
        </w:rPr>
        <w:t>‑</w:t>
      </w:r>
      <w:r>
        <w:rPr>
          <w:rFonts w:ascii="Arial" w:cs="Arial" w:eastAsia="Arial" w:hAnsi="Arial"/>
          <w:sz w:val="14"/>
          <w:szCs w:val="14"/>
          <w:color w:val="auto"/>
        </w:rPr>
        <w:t>based products, such as our Email API, our cloud contact center platform Twilio Flex and our customer data platform Twilio Segment.</w:t>
      </w:r>
    </w:p>
    <w:p>
      <w:pPr>
        <w:spacing w:after="0" w:line="153" w:lineRule="exact"/>
        <w:rPr>
          <w:sz w:val="20"/>
          <w:szCs w:val="20"/>
          <w:color w:val="auto"/>
        </w:rPr>
      </w:pPr>
    </w:p>
    <w:p>
      <w:pPr>
        <w:ind w:right="280" w:firstLine="365"/>
        <w:spacing w:after="0" w:line="250" w:lineRule="auto"/>
        <w:rPr>
          <w:sz w:val="20"/>
          <w:szCs w:val="20"/>
          <w:color w:val="auto"/>
        </w:rPr>
      </w:pPr>
      <w:r>
        <w:rPr>
          <w:rFonts w:ascii="Arial" w:cs="Arial" w:eastAsia="Arial" w:hAnsi="Arial"/>
          <w:sz w:val="14"/>
          <w:szCs w:val="14"/>
          <w:color w:val="auto"/>
        </w:rPr>
        <w:t>When customers first begin using our platform, they typically pay upfront via credit card in monthly prepaid amounts and draw down their balances as they purchase or use our products. Our larger customers often enter into contracts for at least 12 months, that contain minimum revenue commitments, which may contain more favorable pricing. Customers on such contracts typically are invoiced monthly in arrears for products used.</w:t>
      </w:r>
    </w:p>
    <w:p>
      <w:pPr>
        <w:spacing w:after="0" w:line="146" w:lineRule="exact"/>
        <w:rPr>
          <w:sz w:val="20"/>
          <w:szCs w:val="20"/>
          <w:color w:val="auto"/>
        </w:rPr>
      </w:pPr>
    </w:p>
    <w:p>
      <w:pPr>
        <w:ind w:right="20" w:firstLine="365"/>
        <w:spacing w:after="0" w:line="250" w:lineRule="auto"/>
        <w:rPr>
          <w:sz w:val="20"/>
          <w:szCs w:val="20"/>
          <w:color w:val="auto"/>
        </w:rPr>
      </w:pPr>
      <w:r>
        <w:rPr>
          <w:rFonts w:ascii="Arial" w:cs="Arial" w:eastAsia="Arial" w:hAnsi="Arial"/>
          <w:sz w:val="14"/>
          <w:szCs w:val="14"/>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46" w:lineRule="exact"/>
        <w:rPr>
          <w:sz w:val="20"/>
          <w:szCs w:val="20"/>
          <w:color w:val="auto"/>
        </w:rPr>
      </w:pPr>
    </w:p>
    <w:p>
      <w:pPr>
        <w:ind w:right="20" w:firstLine="365"/>
        <w:spacing w:after="0" w:line="259" w:lineRule="auto"/>
        <w:rPr>
          <w:sz w:val="20"/>
          <w:szCs w:val="20"/>
          <w:color w:val="auto"/>
        </w:rPr>
      </w:pPr>
      <w:r>
        <w:rPr>
          <w:rFonts w:ascii="Arial" w:cs="Arial" w:eastAsia="Arial" w:hAnsi="Arial"/>
          <w:sz w:val="14"/>
          <w:szCs w:val="14"/>
          <w:color w:val="auto"/>
        </w:rPr>
        <w:t>We define U.S. revenue as revenue from customers with IP addresses or mailing addresses at the time of registration in the United States, and we define international revenue as revenue from customers with IP addresses or mailing addresses at the time of registration outside of the United States.</w:t>
      </w:r>
    </w:p>
    <w:p>
      <w:pPr>
        <w:spacing w:after="0" w:line="140" w:lineRule="exact"/>
        <w:rPr>
          <w:sz w:val="20"/>
          <w:szCs w:val="20"/>
          <w:color w:val="auto"/>
        </w:rPr>
      </w:pPr>
    </w:p>
    <w:p>
      <w:pPr>
        <w:ind w:firstLine="365"/>
        <w:spacing w:after="0" w:line="165" w:lineRule="exact"/>
        <w:rPr>
          <w:sz w:val="20"/>
          <w:szCs w:val="20"/>
          <w:color w:val="auto"/>
        </w:rPr>
      </w:pPr>
      <w:r>
        <w:rPr>
          <w:rFonts w:ascii="Arial" w:cs="Arial" w:eastAsia="Arial" w:hAnsi="Arial"/>
          <w:sz w:val="14"/>
          <w:szCs w:val="14"/>
          <w:b w:val="1"/>
          <w:bCs w:val="1"/>
          <w:i w:val="1"/>
          <w:iCs w:val="1"/>
          <w:color w:val="auto"/>
        </w:rPr>
        <w:t xml:space="preserve">Cost of Revenue and Gross Margin. </w:t>
      </w:r>
      <w:r>
        <w:rPr>
          <w:rFonts w:ascii="Arial" w:cs="Arial" w:eastAsia="Arial" w:hAnsi="Arial"/>
          <w:sz w:val="14"/>
          <w:szCs w:val="14"/>
          <w:color w:val="auto"/>
        </w:rPr>
        <w:t>Cost of revenue consists primarily of fees paid to network service providers. Cost of revenue also includes cloud infrastructure fees, direct costs of personnel,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salaries and stock</w:t>
      </w:r>
      <w:r>
        <w:rPr>
          <w:rFonts w:ascii="MS PGothic" w:cs="MS PGothic" w:eastAsia="MS PGothic" w:hAnsi="MS PGothic"/>
          <w:sz w:val="14"/>
          <w:szCs w:val="14"/>
          <w:color w:val="auto"/>
        </w:rPr>
        <w:t>‑</w:t>
      </w:r>
      <w:r>
        <w:rPr>
          <w:rFonts w:ascii="Arial" w:cs="Arial" w:eastAsia="Arial" w:hAnsi="Arial"/>
          <w:sz w:val="14"/>
          <w:szCs w:val="14"/>
          <w:color w:val="auto"/>
        </w:rPr>
        <w:t>based compensation for our customer support employees, and non</w:t>
      </w:r>
      <w:r>
        <w:rPr>
          <w:rFonts w:ascii="MS PGothic" w:cs="MS PGothic" w:eastAsia="MS PGothic" w:hAnsi="MS PGothic"/>
          <w:sz w:val="14"/>
          <w:szCs w:val="14"/>
          <w:color w:val="auto"/>
        </w:rPr>
        <w:t>‑</w:t>
      </w:r>
      <w:r>
        <w:rPr>
          <w:rFonts w:ascii="Arial" w:cs="Arial" w:eastAsia="Arial" w:hAnsi="Arial"/>
          <w:sz w:val="14"/>
          <w:szCs w:val="14"/>
          <w:color w:val="auto"/>
        </w:rPr>
        <w:t>personnel costs, such as depreciation and amortization expense related to data centers and hosting equipment, amortization of capitalized internal-use software development costs and acquired intangibles. 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spacing w:after="0" w:line="153" w:lineRule="exact"/>
        <w:rPr>
          <w:sz w:val="20"/>
          <w:szCs w:val="20"/>
          <w:color w:val="auto"/>
        </w:rPr>
      </w:pPr>
    </w:p>
    <w:p>
      <w:pPr>
        <w:ind w:firstLine="365"/>
        <w:spacing w:after="0" w:line="165" w:lineRule="exact"/>
        <w:rPr>
          <w:sz w:val="20"/>
          <w:szCs w:val="20"/>
          <w:color w:val="auto"/>
        </w:rPr>
      </w:pPr>
      <w:r>
        <w:rPr>
          <w:rFonts w:ascii="Arial" w:cs="Arial" w:eastAsia="Arial" w:hAnsi="Arial"/>
          <w:sz w:val="14"/>
          <w:szCs w:val="14"/>
          <w:color w:val="auto"/>
        </w:rPr>
        <w:t>Our gross margin has been and will continue to be affected by a number of factors, including the timing and extent of our investments in our operations; our product mix; our ability to manage our network service provider and cloud infrastructure</w:t>
      </w:r>
      <w:r>
        <w:rPr>
          <w:rFonts w:ascii="MS PGothic" w:cs="MS PGothic" w:eastAsia="MS PGothic" w:hAnsi="MS PGothic"/>
          <w:sz w:val="14"/>
          <w:szCs w:val="14"/>
          <w:color w:val="auto"/>
        </w:rPr>
        <w:t>‑</w:t>
      </w:r>
      <w:r>
        <w:rPr>
          <w:rFonts w:ascii="Arial" w:cs="Arial" w:eastAsia="Arial" w:hAnsi="Arial"/>
          <w:sz w:val="14"/>
          <w:szCs w:val="14"/>
          <w:color w:val="auto"/>
        </w:rPr>
        <w:t>related fees, including A2P SMS fees; the mix of U.S. revenue compared to international revenue; changes in foreign exchange rates; the timing of amortization of capitalized software development costs and acquired intangibles; and the extent to which we periodically choose to pass on our cost savings from platform optimization efforts to our customers in the form of lower usage prices.</w:t>
      </w:r>
    </w:p>
    <w:p>
      <w:pPr>
        <w:spacing w:after="0" w:line="155" w:lineRule="exact"/>
        <w:rPr>
          <w:sz w:val="20"/>
          <w:szCs w:val="20"/>
          <w:color w:val="auto"/>
        </w:rPr>
      </w:pPr>
    </w:p>
    <w:p>
      <w:pPr>
        <w:ind w:right="60" w:firstLine="365"/>
        <w:spacing w:after="0" w:line="166" w:lineRule="exact"/>
        <w:rPr>
          <w:sz w:val="20"/>
          <w:szCs w:val="20"/>
          <w:color w:val="auto"/>
        </w:rPr>
      </w:pPr>
      <w:r>
        <w:rPr>
          <w:rFonts w:ascii="Arial" w:cs="Arial" w:eastAsia="Arial" w:hAnsi="Arial"/>
          <w:sz w:val="14"/>
          <w:szCs w:val="14"/>
          <w:b w:val="1"/>
          <w:bCs w:val="1"/>
          <w:i w:val="1"/>
          <w:iCs w:val="1"/>
          <w:color w:val="auto"/>
        </w:rPr>
        <w:t xml:space="preserve">Operating Expenses. </w:t>
      </w:r>
      <w:r>
        <w:rPr>
          <w:rFonts w:ascii="Arial" w:cs="Arial" w:eastAsia="Arial" w:hAnsi="Arial"/>
          <w:sz w:val="14"/>
          <w:szCs w:val="14"/>
          <w:color w:val="auto"/>
        </w:rPr>
        <w:t>The most significant components of operating expenses are personnel costs, which consist of salaries, benefits, sales commissions and bonuses and stock</w:t>
      </w:r>
      <w:r>
        <w:rPr>
          <w:rFonts w:ascii="MS PGothic" w:cs="MS PGothic" w:eastAsia="MS PGothic" w:hAnsi="MS PGothic"/>
          <w:sz w:val="14"/>
          <w:szCs w:val="14"/>
          <w:color w:val="auto"/>
        </w:rPr>
        <w:t>‑</w:t>
      </w:r>
      <w:r>
        <w:rPr>
          <w:rFonts w:ascii="Arial" w:cs="Arial" w:eastAsia="Arial" w:hAnsi="Arial"/>
          <w:sz w:val="14"/>
          <w:szCs w:val="14"/>
          <w:color w:val="auto"/>
        </w:rPr>
        <w:t>based compensation.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also incur other non</w:t>
      </w:r>
      <w:r>
        <w:rPr>
          <w:rFonts w:ascii="MS PGothic" w:cs="MS PGothic" w:eastAsia="MS PGothic" w:hAnsi="MS PGothic"/>
          <w:sz w:val="14"/>
          <w:szCs w:val="14"/>
          <w:color w:val="auto"/>
        </w:rPr>
        <w:t>‑</w:t>
      </w:r>
      <w:r>
        <w:rPr>
          <w:rFonts w:ascii="Arial" w:cs="Arial" w:eastAsia="Arial" w:hAnsi="Arial"/>
          <w:sz w:val="14"/>
          <w:szCs w:val="14"/>
          <w:color w:val="auto"/>
        </w:rPr>
        <w:t>personnel costs related to our general overhead expenses. We expect that our operating costs will increase in absolute dollars as we add additional employees and invest in our infrastructure to grow our business.</w:t>
      </w:r>
    </w:p>
    <w:p>
      <w:pPr>
        <w:spacing w:after="0" w:line="152" w:lineRule="exact"/>
        <w:rPr>
          <w:sz w:val="20"/>
          <w:szCs w:val="20"/>
          <w:color w:val="auto"/>
        </w:rPr>
      </w:pPr>
    </w:p>
    <w:p>
      <w:pPr>
        <w:ind w:right="180" w:firstLine="365"/>
        <w:spacing w:after="0" w:line="250" w:lineRule="auto"/>
        <w:rPr>
          <w:sz w:val="20"/>
          <w:szCs w:val="20"/>
          <w:color w:val="auto"/>
        </w:rPr>
      </w:pP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Research and development expenses consist primarily of personnel costs, outsourced engineering services, cloud infrastructure fees for staging and development,</w:t>
      </w:r>
      <w:r>
        <w:rPr>
          <w:rFonts w:ascii="Arial" w:cs="Arial" w:eastAsia="Arial" w:hAnsi="Arial"/>
          <w:sz w:val="14"/>
          <w:szCs w:val="14"/>
          <w:i w:val="1"/>
          <w:iCs w:val="1"/>
          <w:color w:val="auto"/>
        </w:rPr>
        <w:t xml:space="preserve"> </w:t>
      </w:r>
      <w:r>
        <w:rPr>
          <w:rFonts w:ascii="Arial" w:cs="Arial" w:eastAsia="Arial" w:hAnsi="Arial"/>
          <w:sz w:val="14"/>
          <w:szCs w:val="14"/>
          <w:color w:val="auto"/>
        </w:rPr>
        <w:t>amortization of capitalized internal-use software development costs, depreciation and an allocation of our general overhead expenses. We capitalize the portion of our software development costs that meets the criteria for capitalization.</w:t>
      </w:r>
    </w:p>
    <w:p>
      <w:pPr>
        <w:spacing w:after="0" w:line="146" w:lineRule="exact"/>
        <w:rPr>
          <w:sz w:val="20"/>
          <w:szCs w:val="20"/>
          <w:color w:val="auto"/>
        </w:rPr>
      </w:pPr>
    </w:p>
    <w:p>
      <w:pPr>
        <w:ind w:right="420" w:firstLine="365"/>
        <w:spacing w:after="0" w:line="259" w:lineRule="auto"/>
        <w:rPr>
          <w:sz w:val="20"/>
          <w:szCs w:val="20"/>
          <w:color w:val="auto"/>
        </w:rPr>
      </w:pPr>
      <w:r>
        <w:rPr>
          <w:rFonts w:ascii="Arial" w:cs="Arial" w:eastAsia="Arial" w:hAnsi="Arial"/>
          <w:sz w:val="14"/>
          <w:szCs w:val="14"/>
          <w:color w:val="auto"/>
        </w:rPr>
        <w:t>We continue to focus our research and development efforts on adding new features and products, including new use cases, improving our platform and increasing the functionality of our existing products.</w:t>
      </w:r>
    </w:p>
    <w:p>
      <w:pPr>
        <w:spacing w:after="0" w:line="140" w:lineRule="exact"/>
        <w:rPr>
          <w:sz w:val="20"/>
          <w:szCs w:val="20"/>
          <w:color w:val="auto"/>
        </w:rPr>
      </w:pPr>
    </w:p>
    <w:p>
      <w:pPr>
        <w:ind w:right="20" w:firstLine="365"/>
        <w:spacing w:after="0" w:line="250"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Sales and marketing expenses consist primarily of personnel costs, including commissions for our sales employees. Sales and marketing expenses also include expenditures related</w:t>
      </w:r>
      <w:r>
        <w:rPr>
          <w:rFonts w:ascii="Arial" w:cs="Arial" w:eastAsia="Arial" w:hAnsi="Arial"/>
          <w:sz w:val="14"/>
          <w:szCs w:val="14"/>
          <w:i w:val="1"/>
          <w:iCs w:val="1"/>
          <w:color w:val="auto"/>
        </w:rPr>
        <w:t xml:space="preserve"> </w:t>
      </w:r>
      <w:r>
        <w:rPr>
          <w:rFonts w:ascii="Arial" w:cs="Arial" w:eastAsia="Arial" w:hAnsi="Arial"/>
          <w:sz w:val="14"/>
          <w:szCs w:val="14"/>
          <w:color w:val="auto"/>
        </w:rPr>
        <w:t>to advertising, marketing, our brand awareness activities and developer evangelism, costs related to our SIGNAL customer and developer conferences, credit card processing fees, professional services fees, depreciation, amortization of acquired intangibles and an allocation of our general overhead expenses.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120" w:firstLine="365"/>
        <w:spacing w:after="0" w:line="166" w:lineRule="exact"/>
        <w:rPr>
          <w:sz w:val="20"/>
          <w:szCs w:val="20"/>
          <w:color w:val="auto"/>
        </w:rPr>
      </w:pPr>
      <w:r>
        <w:rPr>
          <w:rFonts w:ascii="Arial" w:cs="Arial" w:eastAsia="Arial" w:hAnsi="Arial"/>
          <w:sz w:val="14"/>
          <w:szCs w:val="14"/>
          <w:color w:val="auto"/>
        </w:rPr>
        <w:t>We focus our sales and marketing efforts on generating awareness of our company, platform and products, creating sales leads and establishing and promoting our brand, both domestically and internationally. We plan to continue investing in sales and marketing by increasing our sales and marketing headcount, supplementing our self</w:t>
      </w:r>
      <w:r>
        <w:rPr>
          <w:rFonts w:ascii="MS PGothic" w:cs="MS PGothic" w:eastAsia="MS PGothic" w:hAnsi="MS PGothic"/>
          <w:sz w:val="14"/>
          <w:szCs w:val="14"/>
          <w:color w:val="auto"/>
        </w:rPr>
        <w:t>‑</w:t>
      </w:r>
      <w:r>
        <w:rPr>
          <w:rFonts w:ascii="Arial" w:cs="Arial" w:eastAsia="Arial" w:hAnsi="Arial"/>
          <w:sz w:val="14"/>
          <w:szCs w:val="14"/>
          <w:color w:val="auto"/>
        </w:rPr>
        <w:t>service model with an enterprise sales approach, expanding our sales channels, driving our go</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market strategies, building our brand awareness and sponsoring additional marketing events.</w:t>
      </w:r>
    </w:p>
    <w:p>
      <w:pPr>
        <w:spacing w:after="0" w:line="152" w:lineRule="exact"/>
        <w:rPr>
          <w:sz w:val="20"/>
          <w:szCs w:val="20"/>
          <w:color w:val="auto"/>
        </w:rPr>
      </w:pPr>
    </w:p>
    <w:p>
      <w:pPr>
        <w:jc w:val="both"/>
        <w:ind w:firstLine="365"/>
        <w:spacing w:after="0" w:line="302" w:lineRule="auto"/>
        <w:rPr>
          <w:sz w:val="20"/>
          <w:szCs w:val="20"/>
          <w:color w:val="auto"/>
        </w:rPr>
      </w:pPr>
      <w:r>
        <w:rPr>
          <w:rFonts w:ascii="Arial" w:cs="Arial" w:eastAsia="Arial" w:hAnsi="Arial"/>
          <w:sz w:val="12"/>
          <w:szCs w:val="12"/>
          <w:i w:val="1"/>
          <w:iCs w:val="1"/>
          <w:color w:val="auto"/>
        </w:rPr>
        <w:t xml:space="preserve">General and Administrative. </w:t>
      </w:r>
      <w:r>
        <w:rPr>
          <w:rFonts w:ascii="Arial" w:cs="Arial" w:eastAsia="Arial" w:hAnsi="Arial"/>
          <w:sz w:val="12"/>
          <w:szCs w:val="12"/>
          <w:color w:val="auto"/>
        </w:rPr>
        <w:t>General and administrative expenses consist primarily of personnel costs for our accounting, finance, legal, human resources and administrative support personnel. General</w:t>
      </w:r>
      <w:r>
        <w:rPr>
          <w:rFonts w:ascii="Arial" w:cs="Arial" w:eastAsia="Arial" w:hAnsi="Arial"/>
          <w:sz w:val="12"/>
          <w:szCs w:val="12"/>
          <w:i w:val="1"/>
          <w:iCs w:val="1"/>
          <w:color w:val="auto"/>
        </w:rPr>
        <w:t xml:space="preserve"> </w:t>
      </w:r>
      <w:r>
        <w:rPr>
          <w:rFonts w:ascii="Arial" w:cs="Arial" w:eastAsia="Arial" w:hAnsi="Arial"/>
          <w:sz w:val="12"/>
          <w:szCs w:val="12"/>
          <w:color w:val="auto"/>
        </w:rPr>
        <w:t>and administrative expenses also include costs related to business acquisitions, legal and other professional services fees, certain taxes, depreciation and amortization, charitable contributions and an allocation of our general overhead expenses. We expect that we will incur costs associated with supporting the growth of our business and to meet the increased compliance requirements associated with our international expansion. We may also incur higher than usual losses related to deterioration of quality of certain financial assets caused by the macroeconomic conditions and uncertainly in the COVID-19 environment.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 xml:space="preserve">Provision for Income Taxes. </w:t>
      </w:r>
      <w:r>
        <w:rPr>
          <w:rFonts w:ascii="Arial" w:cs="Arial" w:eastAsia="Arial" w:hAnsi="Arial"/>
          <w:sz w:val="12"/>
          <w:szCs w:val="12"/>
          <w:color w:val="auto"/>
        </w:rPr>
        <w:t>Our income tax provision or benefit for interim periods is determined using an estimate of our annual effective tax rate, adjusted for discrete items occurring in the quarter.</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The primary difference between our effective tax rate and the federal statutory rate relates to the full valuation allowance we established on the federal, state and certain foreign net operating losses and credits.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Non-GAAP Financial Measures:</w:t>
      </w:r>
    </w:p>
    <w:p>
      <w:pPr>
        <w:spacing w:after="0" w:line="166" w:lineRule="exact"/>
        <w:rPr>
          <w:sz w:val="20"/>
          <w:szCs w:val="20"/>
          <w:color w:val="auto"/>
        </w:rPr>
      </w:pPr>
    </w:p>
    <w:p>
      <w:pPr>
        <w:ind w:right="80" w:firstLine="365"/>
        <w:spacing w:after="0" w:line="169" w:lineRule="exact"/>
        <w:rPr>
          <w:sz w:val="20"/>
          <w:szCs w:val="20"/>
          <w:color w:val="auto"/>
        </w:rPr>
      </w:pPr>
      <w:r>
        <w:rPr>
          <w:rFonts w:ascii="Arial" w:cs="Arial" w:eastAsia="Arial" w:hAnsi="Arial"/>
          <w:sz w:val="12"/>
          <w:szCs w:val="12"/>
          <w:color w:val="auto"/>
        </w:rPr>
        <w:t>We use the following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collectively, to evaluate our ongoing operations and for internal planning and forecasting purposes. We believe that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when taken collectively, may be helpful to investors because it provides consistency and comparability with past financial performance, facilitates period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period comparisons of results of operations and assists in comparisons with other companies, many of which use similar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to supplement their GAAP results.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is presented for supplemental informational purposes only, should not be considered a substitute for financial information presented in accordance with generally accepted accounting principles and may be different from similarly</w:t>
      </w:r>
      <w:r>
        <w:rPr>
          <w:rFonts w:ascii="MS PGothic" w:cs="MS PGothic" w:eastAsia="MS PGothic" w:hAnsi="MS PGothic"/>
          <w:sz w:val="12"/>
          <w:szCs w:val="12"/>
          <w:color w:val="auto"/>
        </w:rPr>
        <w:t>‑</w:t>
      </w:r>
      <w:r>
        <w:rPr>
          <w:rFonts w:ascii="Arial" w:cs="Arial" w:eastAsia="Arial" w:hAnsi="Arial"/>
          <w:sz w:val="12"/>
          <w:szCs w:val="12"/>
          <w:color w:val="auto"/>
        </w:rPr>
        <w:t>titled non</w:t>
      </w:r>
      <w:r>
        <w:rPr>
          <w:rFonts w:ascii="MS PGothic" w:cs="MS PGothic" w:eastAsia="MS PGothic" w:hAnsi="MS PGothic"/>
          <w:sz w:val="12"/>
          <w:szCs w:val="12"/>
          <w:color w:val="auto"/>
        </w:rPr>
        <w:t>‑</w:t>
      </w:r>
      <w:r>
        <w:rPr>
          <w:rFonts w:ascii="Arial" w:cs="Arial" w:eastAsia="Arial" w:hAnsi="Arial"/>
          <w:sz w:val="12"/>
          <w:szCs w:val="12"/>
          <w:color w:val="auto"/>
        </w:rPr>
        <w:t>GAAP measures used by other companies. Whenever we use a non</w:t>
      </w:r>
      <w:r>
        <w:rPr>
          <w:rFonts w:ascii="MS PGothic" w:cs="MS PGothic" w:eastAsia="MS PGothic" w:hAnsi="MS PGothic"/>
          <w:sz w:val="12"/>
          <w:szCs w:val="12"/>
          <w:color w:val="auto"/>
        </w:rPr>
        <w:t>‑</w:t>
      </w:r>
      <w:r>
        <w:rPr>
          <w:rFonts w:ascii="Arial" w:cs="Arial" w:eastAsia="Arial" w:hAnsi="Arial"/>
          <w:sz w:val="12"/>
          <w:szCs w:val="12"/>
          <w:color w:val="auto"/>
        </w:rPr>
        <w:t>GAAP financial measure, a reconciliation is provided to the most closely applicable financial measure stated in accordance with generally accepted accounting principles. Investors are encouraged to review the related GAAP financial measures and the reconciliation of these non</w:t>
      </w:r>
      <w:r>
        <w:rPr>
          <w:rFonts w:ascii="MS PGothic" w:cs="MS PGothic" w:eastAsia="MS PGothic" w:hAnsi="MS PGothic"/>
          <w:sz w:val="12"/>
          <w:szCs w:val="12"/>
          <w:color w:val="auto"/>
        </w:rPr>
        <w:t>‑</w:t>
      </w:r>
      <w:r>
        <w:rPr>
          <w:rFonts w:ascii="Arial" w:cs="Arial" w:eastAsia="Arial" w:hAnsi="Arial"/>
          <w:sz w:val="12"/>
          <w:szCs w:val="12"/>
          <w:color w:val="auto"/>
        </w:rPr>
        <w:t>GAAP financial measures to their most directly comparable GAAP financial measures.</w:t>
      </w:r>
    </w:p>
    <w:p>
      <w:pPr>
        <w:spacing w:after="0" w:line="286" w:lineRule="exact"/>
        <w:rPr>
          <w:sz w:val="20"/>
          <w:szCs w:val="20"/>
          <w:color w:val="auto"/>
        </w:rPr>
      </w:pPr>
    </w:p>
    <w:p>
      <w:pPr>
        <w:ind w:right="160" w:firstLine="365"/>
        <w:spacing w:after="0" w:line="169"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GAAP Gross Profit and 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GAAP Gross Margin. </w:t>
      </w:r>
      <w:r>
        <w:rPr>
          <w:rFonts w:ascii="Arial" w:cs="Arial" w:eastAsia="Arial" w:hAnsi="Arial"/>
          <w:sz w:val="14"/>
          <w:szCs w:val="14"/>
          <w:color w:val="auto"/>
        </w:rPr>
        <w:t>For the periods presented, we define non</w:t>
      </w:r>
      <w:r>
        <w:rPr>
          <w:rFonts w:ascii="MS PGothic" w:cs="MS PGothic" w:eastAsia="MS PGothic" w:hAnsi="MS PGothic"/>
          <w:sz w:val="14"/>
          <w:szCs w:val="14"/>
          <w:color w:val="auto"/>
        </w:rPr>
        <w:t>‑</w:t>
      </w:r>
      <w:r>
        <w:rPr>
          <w:rFonts w:ascii="Arial" w:cs="Arial" w:eastAsia="Arial" w:hAnsi="Arial"/>
          <w:sz w:val="14"/>
          <w:szCs w:val="14"/>
          <w:color w:val="auto"/>
        </w:rPr>
        <w:t>GAAP gross profit and non</w:t>
      </w:r>
      <w:r>
        <w:rPr>
          <w:rFonts w:ascii="MS PGothic" w:cs="MS PGothic" w:eastAsia="MS PGothic" w:hAnsi="MS PGothic"/>
          <w:sz w:val="14"/>
          <w:szCs w:val="14"/>
          <w:color w:val="auto"/>
        </w:rPr>
        <w:t>‑</w:t>
      </w:r>
      <w:r>
        <w:rPr>
          <w:rFonts w:ascii="Arial" w:cs="Arial" w:eastAsia="Arial" w:hAnsi="Arial"/>
          <w:sz w:val="14"/>
          <w:szCs w:val="14"/>
          <w:color w:val="auto"/>
        </w:rPr>
        <w:t>GAAP gross margin as GAAP gross profit and GAAP gross margin,</w:t>
      </w:r>
      <w:r>
        <w:rPr>
          <w:rFonts w:ascii="Arial" w:cs="Arial" w:eastAsia="Arial" w:hAnsi="Arial"/>
          <w:sz w:val="14"/>
          <w:szCs w:val="14"/>
          <w:b w:val="1"/>
          <w:bCs w:val="1"/>
          <w:color w:val="auto"/>
        </w:rPr>
        <w:t xml:space="preserve"> </w:t>
      </w:r>
      <w:r>
        <w:rPr>
          <w:rFonts w:ascii="Arial" w:cs="Arial" w:eastAsia="Arial" w:hAnsi="Arial"/>
          <w:sz w:val="14"/>
          <w:szCs w:val="14"/>
          <w:color w:val="auto"/>
        </w:rPr>
        <w:t>respectively, adjusted to exclude, as applicable, certain expenses as presented in the table below:</w:t>
      </w:r>
    </w:p>
    <w:p>
      <w:pPr>
        <w:spacing w:after="0" w:line="248" w:lineRule="exact"/>
        <w:rPr>
          <w:sz w:val="20"/>
          <w:szCs w:val="20"/>
          <w:color w:val="auto"/>
        </w:rPr>
      </w:pPr>
    </w:p>
    <w:tbl>
      <w:tblPr>
        <w:tblLayout w:type="fixed"/>
        <w:tblInd w:w="2100" w:type="dxa"/>
        <w:tblCellMar>
          <w:top w:w="0" w:type="dxa"/>
          <w:left w:w="0" w:type="dxa"/>
          <w:bottom w:w="0" w:type="dxa"/>
          <w:right w:w="0" w:type="dxa"/>
        </w:tblCellMar>
      </w:tblPr>
      <w:tr>
        <w:trPr>
          <w:trHeight w:val="145"/>
        </w:trPr>
        <w:tc>
          <w:tcPr>
            <w:tcW w:w="3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w w:val="89"/>
              </w:rPr>
              <w:t>Three Months Ended June 30,</w:t>
            </w: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rPr>
              <w:t>2021</w:t>
            </w: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20" w:type="dxa"/>
            <w:vAlign w:val="bottom"/>
          </w:tcPr>
          <w:p>
            <w:pPr>
              <w:ind w:left="380"/>
              <w:spacing w:after="0"/>
              <w:rPr>
                <w:sz w:val="20"/>
                <w:szCs w:val="20"/>
                <w:color w:val="auto"/>
              </w:rPr>
            </w:pPr>
            <w:r>
              <w:rPr>
                <w:rFonts w:ascii="Arial" w:cs="Arial" w:eastAsia="Arial" w:hAnsi="Arial"/>
                <w:sz w:val="12"/>
                <w:szCs w:val="12"/>
                <w:b w:val="1"/>
                <w:bCs w:val="1"/>
                <w:color w:val="auto"/>
              </w:rPr>
              <w:t>Reconciliation:</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1"/>
                <w:szCs w:val="11"/>
                <w:color w:val="auto"/>
              </w:rPr>
              <w:t>(In thousands)</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Gross profit</w:t>
            </w: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445,289</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331,247</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20" w:type="dxa"/>
            <w:vAlign w:val="bottom"/>
          </w:tcPr>
          <w:p>
            <w:pPr>
              <w:ind w:left="380"/>
              <w:spacing w:after="0"/>
              <w:rPr>
                <w:sz w:val="20"/>
                <w:szCs w:val="20"/>
                <w:color w:val="auto"/>
              </w:rPr>
            </w:pPr>
            <w:r>
              <w:rPr>
                <w:rFonts w:ascii="Arial" w:cs="Arial" w:eastAsia="Arial" w:hAnsi="Arial"/>
                <w:sz w:val="12"/>
                <w:szCs w:val="12"/>
                <w:color w:val="auto"/>
              </w:rPr>
              <w:t>Gross margin</w:t>
            </w:r>
          </w:p>
        </w:tc>
        <w:tc>
          <w:tcPr>
            <w:tcW w:w="7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47</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jc w:val="right"/>
              <w:ind w:right="140"/>
              <w:spacing w:after="0"/>
              <w:rPr>
                <w:sz w:val="20"/>
                <w:szCs w:val="20"/>
                <w:color w:val="auto"/>
              </w:rPr>
            </w:pPr>
            <w:r>
              <w:rPr>
                <w:rFonts w:ascii="Arial" w:cs="Arial" w:eastAsia="Arial" w:hAnsi="Arial"/>
                <w:sz w:val="12"/>
                <w:szCs w:val="12"/>
                <w:color w:val="auto"/>
              </w:rPr>
              <w:t>50</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Non-GAAP adjustments:</w:t>
            </w:r>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20" w:type="dxa"/>
            <w:vAlign w:val="bottom"/>
          </w:tcPr>
          <w:p>
            <w:pPr>
              <w:ind w:left="520"/>
              <w:spacing w:after="0"/>
              <w:rPr>
                <w:sz w:val="20"/>
                <w:szCs w:val="20"/>
                <w:color w:val="auto"/>
              </w:rPr>
            </w:pPr>
            <w:r>
              <w:rPr>
                <w:rFonts w:ascii="Arial" w:cs="Arial" w:eastAsia="Arial" w:hAnsi="Arial"/>
                <w:sz w:val="12"/>
                <w:szCs w:val="12"/>
                <w:color w:val="auto"/>
              </w:rPr>
              <w:t>Stock-based compensation</w:t>
            </w:r>
          </w:p>
        </w:tc>
        <w:tc>
          <w:tcPr>
            <w:tcW w:w="7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3,996</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jc w:val="right"/>
              <w:ind w:right="140"/>
              <w:spacing w:after="0"/>
              <w:rPr>
                <w:sz w:val="20"/>
                <w:szCs w:val="20"/>
                <w:color w:val="auto"/>
              </w:rPr>
            </w:pPr>
            <w:r>
              <w:rPr>
                <w:rFonts w:ascii="Arial" w:cs="Arial" w:eastAsia="Arial" w:hAnsi="Arial"/>
                <w:sz w:val="12"/>
                <w:szCs w:val="12"/>
                <w:color w:val="auto"/>
              </w:rPr>
              <w:t>3,024</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Amortization of acquired intangibles</w:t>
            </w:r>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31,236</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26,204</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2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w w:val="99"/>
              </w:rPr>
              <w:t>Payroll taxes related to stock-based compensation</w:t>
            </w:r>
          </w:p>
        </w:tc>
        <w:tc>
          <w:tcPr>
            <w:tcW w:w="7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ind w:left="640"/>
              <w:spacing w:after="0"/>
              <w:rPr>
                <w:sz w:val="20"/>
                <w:szCs w:val="20"/>
                <w:color w:val="auto"/>
              </w:rPr>
            </w:pPr>
            <w:r>
              <w:rPr>
                <w:rFonts w:ascii="Arial" w:cs="Arial" w:eastAsia="Arial" w:hAnsi="Arial"/>
                <w:sz w:val="12"/>
                <w:szCs w:val="12"/>
                <w:color w:val="auto"/>
              </w:rPr>
              <w:t>Non-GAAP gross profit</w:t>
            </w:r>
          </w:p>
        </w:tc>
        <w:tc>
          <w:tcPr>
            <w:tcW w:w="78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480,763</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360,475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2"/>
                <w:szCs w:val="12"/>
                <w:color w:val="auto"/>
              </w:rPr>
              <w:t>Non-GAAP gross margin</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2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Arial" w:cs="Arial" w:eastAsia="Arial" w:hAnsi="Arial"/>
                <w:sz w:val="12"/>
                <w:szCs w:val="12"/>
                <w:color w:val="auto"/>
              </w:rPr>
              <w:t>51</w:t>
            </w:r>
          </w:p>
        </w:tc>
        <w:tc>
          <w:tcPr>
            <w:tcW w:w="50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jc w:val="right"/>
              <w:ind w:right="140"/>
              <w:spacing w:after="0" w:line="118" w:lineRule="exact"/>
              <w:rPr>
                <w:sz w:val="20"/>
                <w:szCs w:val="20"/>
                <w:color w:val="auto"/>
              </w:rPr>
            </w:pPr>
            <w:r>
              <w:rPr>
                <w:rFonts w:ascii="Arial" w:cs="Arial" w:eastAsia="Arial" w:hAnsi="Arial"/>
                <w:sz w:val="12"/>
                <w:szCs w:val="12"/>
                <w:color w:val="auto"/>
              </w:rPr>
              <w:t>54</w:t>
            </w:r>
          </w:p>
        </w:tc>
        <w:tc>
          <w:tcPr>
            <w:tcW w:w="32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8" w:lineRule="exact"/>
        <w:rPr>
          <w:sz w:val="20"/>
          <w:szCs w:val="20"/>
          <w:color w:val="auto"/>
        </w:rPr>
      </w:pPr>
    </w:p>
    <w:p>
      <w:pPr>
        <w:ind w:right="240" w:firstLine="365"/>
        <w:spacing w:after="0" w:line="169"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GAAP Operating Expenses</w:t>
      </w:r>
      <w:r>
        <w:rPr>
          <w:rFonts w:ascii="Arial" w:cs="Arial" w:eastAsia="Arial" w:hAnsi="Arial"/>
          <w:sz w:val="14"/>
          <w:szCs w:val="14"/>
          <w:color w:val="auto"/>
        </w:rPr>
        <w:t>. For the periods presented, we define non</w:t>
      </w:r>
      <w:r>
        <w:rPr>
          <w:rFonts w:ascii="MS PGothic" w:cs="MS PGothic" w:eastAsia="MS PGothic" w:hAnsi="MS PGothic"/>
          <w:sz w:val="14"/>
          <w:szCs w:val="14"/>
          <w:color w:val="auto"/>
        </w:rPr>
        <w:t>‑</w:t>
      </w:r>
      <w:r>
        <w:rPr>
          <w:rFonts w:ascii="Arial" w:cs="Arial" w:eastAsia="Arial" w:hAnsi="Arial"/>
          <w:sz w:val="14"/>
          <w:szCs w:val="14"/>
          <w:color w:val="auto"/>
        </w:rPr>
        <w:t>GAAP operating expenses (including categories of operating expenses) as GAAP operating expenses (and categories of</w:t>
      </w:r>
      <w:r>
        <w:rPr>
          <w:rFonts w:ascii="Arial" w:cs="Arial" w:eastAsia="Arial" w:hAnsi="Arial"/>
          <w:sz w:val="14"/>
          <w:szCs w:val="14"/>
          <w:b w:val="1"/>
          <w:bCs w:val="1"/>
          <w:color w:val="auto"/>
        </w:rPr>
        <w:t xml:space="preserve"> </w:t>
      </w:r>
      <w:r>
        <w:rPr>
          <w:rFonts w:ascii="Arial" w:cs="Arial" w:eastAsia="Arial" w:hAnsi="Arial"/>
          <w:sz w:val="14"/>
          <w:szCs w:val="14"/>
          <w:color w:val="auto"/>
        </w:rPr>
        <w:t>operating expenses) adjusted to exclude, as applicable, certain expenses as presented in the table below:</w:t>
      </w:r>
    </w:p>
    <w:p>
      <w:pPr>
        <w:spacing w:after="0" w:line="248" w:lineRule="exact"/>
        <w:rPr>
          <w:sz w:val="20"/>
          <w:szCs w:val="20"/>
          <w:color w:val="auto"/>
        </w:rPr>
      </w:pPr>
    </w:p>
    <w:tbl>
      <w:tblPr>
        <w:tblLayout w:type="fixed"/>
        <w:tblInd w:w="2140" w:type="dxa"/>
        <w:tblCellMar>
          <w:top w:w="0" w:type="dxa"/>
          <w:left w:w="0" w:type="dxa"/>
          <w:bottom w:w="0" w:type="dxa"/>
          <w:right w:w="0" w:type="dxa"/>
        </w:tblCellMar>
      </w:tblPr>
      <w:tr>
        <w:trPr>
          <w:trHeight w:val="145"/>
        </w:trPr>
        <w:tc>
          <w:tcPr>
            <w:tcW w:w="384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Three Months Ended June 30,</w:t>
            </w:r>
          </w:p>
        </w:tc>
        <w:tc>
          <w:tcPr>
            <w:tcW w:w="840" w:type="dxa"/>
            <w:vAlign w:val="bottom"/>
            <w:tcBorders>
              <w:bottom w:val="single" w:sz="8" w:color="auto"/>
            </w:tcBorders>
          </w:tcPr>
          <w:p>
            <w:pPr>
              <w:spacing w:after="0"/>
              <w:rPr>
                <w:sz w:val="12"/>
                <w:szCs w:val="12"/>
                <w:color w:val="auto"/>
              </w:rPr>
            </w:pPr>
          </w:p>
        </w:tc>
      </w:tr>
      <w:tr>
        <w:trPr>
          <w:trHeight w:val="135"/>
        </w:trPr>
        <w:tc>
          <w:tcPr>
            <w:tcW w:w="3840" w:type="dxa"/>
            <w:vAlign w:val="bottom"/>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w w:val="97"/>
              </w:rPr>
              <w:t>2021</w:t>
            </w:r>
          </w:p>
        </w:tc>
      </w:tr>
      <w:tr>
        <w:trPr>
          <w:trHeight w:val="142"/>
        </w:trPr>
        <w:tc>
          <w:tcPr>
            <w:tcW w:w="3840" w:type="dxa"/>
            <w:vAlign w:val="bottom"/>
          </w:tcPr>
          <w:p>
            <w:pPr>
              <w:ind w:left="380"/>
              <w:spacing w:after="0"/>
              <w:rPr>
                <w:sz w:val="20"/>
                <w:szCs w:val="20"/>
                <w:color w:val="auto"/>
              </w:rPr>
            </w:pPr>
            <w:r>
              <w:rPr>
                <w:rFonts w:ascii="Arial" w:cs="Arial" w:eastAsia="Arial" w:hAnsi="Arial"/>
                <w:sz w:val="12"/>
                <w:szCs w:val="12"/>
                <w:b w:val="1"/>
                <w:bCs w:val="1"/>
                <w:color w:val="auto"/>
              </w:rPr>
              <w:t>Reconciliation:</w:t>
            </w:r>
          </w:p>
        </w:tc>
        <w:tc>
          <w:tcPr>
            <w:tcW w:w="1180" w:type="dxa"/>
            <w:vAlign w:val="bottom"/>
          </w:tcPr>
          <w:p>
            <w:pPr>
              <w:spacing w:after="0"/>
              <w:rPr>
                <w:sz w:val="12"/>
                <w:szCs w:val="12"/>
                <w:color w:val="auto"/>
              </w:rPr>
            </w:pPr>
          </w:p>
        </w:tc>
        <w:tc>
          <w:tcPr>
            <w:tcW w:w="1520" w:type="dxa"/>
            <w:vAlign w:val="bottom"/>
            <w:gridSpan w:val="3"/>
          </w:tcPr>
          <w:p>
            <w:pPr>
              <w:jc w:val="right"/>
              <w:ind w:right="379"/>
              <w:spacing w:after="0"/>
              <w:rPr>
                <w:sz w:val="20"/>
                <w:szCs w:val="20"/>
                <w:color w:val="auto"/>
              </w:rPr>
            </w:pPr>
            <w:r>
              <w:rPr>
                <w:rFonts w:ascii="Arial" w:cs="Arial" w:eastAsia="Arial" w:hAnsi="Arial"/>
                <w:sz w:val="11"/>
                <w:szCs w:val="11"/>
                <w:color w:val="auto"/>
              </w:rPr>
              <w:t>(In thousands)</w:t>
            </w:r>
          </w:p>
        </w:tc>
        <w:tc>
          <w:tcPr>
            <w:tcW w:w="840" w:type="dxa"/>
            <w:vAlign w:val="bottom"/>
          </w:tcPr>
          <w:p>
            <w:pPr>
              <w:spacing w:after="0"/>
              <w:rPr>
                <w:sz w:val="12"/>
                <w:szCs w:val="12"/>
                <w:color w:val="auto"/>
              </w:rPr>
            </w:pPr>
          </w:p>
        </w:tc>
      </w:tr>
      <w:tr>
        <w:trPr>
          <w:trHeight w:val="165"/>
        </w:trPr>
        <w:tc>
          <w:tcPr>
            <w:tcW w:w="38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Operating expenses</w:t>
            </w:r>
          </w:p>
        </w:tc>
        <w:tc>
          <w:tcPr>
            <w:tcW w:w="1180" w:type="dxa"/>
            <w:vAlign w:val="bottom"/>
            <w:shd w:val="clear" w:color="auto" w:fill="CCEEFF"/>
          </w:tcPr>
          <w:p>
            <w:pPr>
              <w:jc w:val="right"/>
              <w:ind w:right="681"/>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757,225</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533,521</w:t>
            </w:r>
          </w:p>
        </w:tc>
      </w:tr>
      <w:tr>
        <w:trPr>
          <w:trHeight w:val="160"/>
        </w:trPr>
        <w:tc>
          <w:tcPr>
            <w:tcW w:w="3840" w:type="dxa"/>
            <w:vAlign w:val="bottom"/>
          </w:tcPr>
          <w:p>
            <w:pPr>
              <w:ind w:left="380"/>
              <w:spacing w:after="0"/>
              <w:rPr>
                <w:sz w:val="20"/>
                <w:szCs w:val="20"/>
                <w:color w:val="auto"/>
              </w:rPr>
            </w:pPr>
            <w:r>
              <w:rPr>
                <w:rFonts w:ascii="Arial" w:cs="Arial" w:eastAsia="Arial" w:hAnsi="Arial"/>
                <w:sz w:val="12"/>
                <w:szCs w:val="12"/>
                <w:color w:val="auto"/>
              </w:rPr>
              <w:t>Non-GAAP adjustments:</w:t>
            </w: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5"/>
        </w:trPr>
        <w:tc>
          <w:tcPr>
            <w:tcW w:w="3840" w:type="dxa"/>
            <w:vAlign w:val="bottom"/>
            <w:shd w:val="clear" w:color="auto" w:fill="CCEEFF"/>
          </w:tcPr>
          <w:p>
            <w:pPr>
              <w:ind w:left="540"/>
              <w:spacing w:after="0"/>
              <w:rPr>
                <w:sz w:val="20"/>
                <w:szCs w:val="20"/>
                <w:color w:val="auto"/>
              </w:rPr>
            </w:pPr>
            <w:r>
              <w:rPr>
                <w:rFonts w:ascii="Arial" w:cs="Arial" w:eastAsia="Arial" w:hAnsi="Arial"/>
                <w:sz w:val="12"/>
                <w:szCs w:val="12"/>
                <w:color w:val="auto"/>
              </w:rPr>
              <w:t>Stock-based compensation</w:t>
            </w:r>
          </w:p>
        </w:tc>
        <w:tc>
          <w:tcPr>
            <w:tcW w:w="1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(238,094)</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(141,144)</w:t>
            </w:r>
          </w:p>
        </w:tc>
      </w:tr>
      <w:tr>
        <w:trPr>
          <w:trHeight w:val="160"/>
        </w:trPr>
        <w:tc>
          <w:tcPr>
            <w:tcW w:w="3840" w:type="dxa"/>
            <w:vAlign w:val="bottom"/>
          </w:tcPr>
          <w:p>
            <w:pPr>
              <w:ind w:left="540"/>
              <w:spacing w:after="0"/>
              <w:rPr>
                <w:sz w:val="20"/>
                <w:szCs w:val="20"/>
                <w:color w:val="auto"/>
              </w:rPr>
            </w:pPr>
            <w:r>
              <w:rPr>
                <w:rFonts w:ascii="Arial" w:cs="Arial" w:eastAsia="Arial" w:hAnsi="Arial"/>
                <w:sz w:val="12"/>
                <w:szCs w:val="12"/>
                <w:color w:val="auto"/>
              </w:rPr>
              <w:t>Amortization of acquired intangibles</w:t>
            </w:r>
          </w:p>
        </w:tc>
        <w:tc>
          <w:tcPr>
            <w:tcW w:w="1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(20,929)</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(19,150)</w:t>
            </w:r>
          </w:p>
        </w:tc>
      </w:tr>
      <w:tr>
        <w:trPr>
          <w:trHeight w:val="165"/>
        </w:trPr>
        <w:tc>
          <w:tcPr>
            <w:tcW w:w="3840" w:type="dxa"/>
            <w:vAlign w:val="bottom"/>
            <w:shd w:val="clear" w:color="auto" w:fill="CCEEFF"/>
          </w:tcPr>
          <w:p>
            <w:pPr>
              <w:ind w:left="540"/>
              <w:spacing w:after="0"/>
              <w:rPr>
                <w:sz w:val="20"/>
                <w:szCs w:val="20"/>
                <w:color w:val="auto"/>
              </w:rPr>
            </w:pPr>
            <w:r>
              <w:rPr>
                <w:rFonts w:ascii="Arial" w:cs="Arial" w:eastAsia="Arial" w:hAnsi="Arial"/>
                <w:sz w:val="12"/>
                <w:szCs w:val="12"/>
                <w:color w:val="auto"/>
              </w:rPr>
              <w:t>Acquisition-related expenses</w:t>
            </w:r>
          </w:p>
        </w:tc>
        <w:tc>
          <w:tcPr>
            <w:tcW w:w="1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(2,836)</w:t>
            </w:r>
          </w:p>
        </w:tc>
      </w:tr>
      <w:tr>
        <w:trPr>
          <w:trHeight w:val="160"/>
        </w:trPr>
        <w:tc>
          <w:tcPr>
            <w:tcW w:w="3840" w:type="dxa"/>
            <w:vAlign w:val="bottom"/>
          </w:tcPr>
          <w:p>
            <w:pPr>
              <w:ind w:left="540"/>
              <w:spacing w:after="0"/>
              <w:rPr>
                <w:sz w:val="20"/>
                <w:szCs w:val="20"/>
                <w:color w:val="auto"/>
              </w:rPr>
            </w:pPr>
            <w:r>
              <w:rPr>
                <w:rFonts w:ascii="Arial" w:cs="Arial" w:eastAsia="Arial" w:hAnsi="Arial"/>
                <w:sz w:val="12"/>
                <w:szCs w:val="12"/>
                <w:color w:val="auto"/>
              </w:rPr>
              <w:t>Charitable contributions</w:t>
            </w:r>
          </w:p>
        </w:tc>
        <w:tc>
          <w:tcPr>
            <w:tcW w:w="1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(2,373)</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(6,789)</w:t>
            </w:r>
          </w:p>
        </w:tc>
      </w:tr>
      <w:tr>
        <w:trPr>
          <w:trHeight w:val="162"/>
        </w:trPr>
        <w:tc>
          <w:tcPr>
            <w:tcW w:w="3840" w:type="dxa"/>
            <w:vAlign w:val="bottom"/>
            <w:shd w:val="clear" w:color="auto" w:fill="CCEEFF"/>
          </w:tcPr>
          <w:p>
            <w:pPr>
              <w:ind w:left="540"/>
              <w:spacing w:after="0"/>
              <w:rPr>
                <w:sz w:val="20"/>
                <w:szCs w:val="20"/>
                <w:color w:val="auto"/>
              </w:rPr>
            </w:pPr>
            <w:r>
              <w:rPr>
                <w:rFonts w:ascii="Arial" w:cs="Arial" w:eastAsia="Arial" w:hAnsi="Arial"/>
                <w:sz w:val="12"/>
                <w:szCs w:val="12"/>
                <w:color w:val="auto"/>
              </w:rPr>
              <w:t>Payroll taxes related to stock-based compensation</w:t>
            </w:r>
          </w:p>
        </w:tc>
        <w:tc>
          <w:tcPr>
            <w:tcW w:w="1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(5,924)</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(7,329)</w:t>
            </w:r>
          </w:p>
        </w:tc>
      </w:tr>
      <w:tr>
        <w:trPr>
          <w:trHeight w:val="155"/>
        </w:trPr>
        <w:tc>
          <w:tcPr>
            <w:tcW w:w="3840" w:type="dxa"/>
            <w:vAlign w:val="bottom"/>
          </w:tcPr>
          <w:p>
            <w:pPr>
              <w:ind w:left="620"/>
              <w:spacing w:after="0"/>
              <w:rPr>
                <w:sz w:val="20"/>
                <w:szCs w:val="20"/>
                <w:color w:val="auto"/>
              </w:rPr>
            </w:pPr>
            <w:r>
              <w:rPr>
                <w:rFonts w:ascii="Arial" w:cs="Arial" w:eastAsia="Arial" w:hAnsi="Arial"/>
                <w:sz w:val="12"/>
                <w:szCs w:val="12"/>
                <w:color w:val="auto"/>
              </w:rPr>
              <w:t>Non-GAAP operating expenses</w:t>
            </w:r>
          </w:p>
        </w:tc>
        <w:tc>
          <w:tcPr>
            <w:tcW w:w="1180" w:type="dxa"/>
            <w:vAlign w:val="bottom"/>
            <w:tcBorders>
              <w:bottom w:val="single" w:sz="8" w:color="auto"/>
            </w:tcBorders>
          </w:tcPr>
          <w:p>
            <w:pPr>
              <w:jc w:val="right"/>
              <w:ind w:right="681"/>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488,065</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356,273</w:t>
            </w:r>
          </w:p>
        </w:tc>
      </w:tr>
      <w:tr>
        <w:trPr>
          <w:trHeight w:val="20"/>
        </w:trPr>
        <w:tc>
          <w:tcPr>
            <w:tcW w:w="3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60"/>
        <w:spacing w:after="0" w:line="138" w:lineRule="exact"/>
        <w:rPr>
          <w:sz w:val="20"/>
          <w:szCs w:val="20"/>
          <w:color w:val="auto"/>
        </w:rPr>
      </w:pPr>
      <w:r>
        <w:rPr>
          <w:rFonts w:ascii="Arial" w:cs="Arial" w:eastAsia="Arial" w:hAnsi="Arial"/>
          <w:sz w:val="12"/>
          <w:szCs w:val="12"/>
          <w:b w:val="1"/>
          <w:bCs w:val="1"/>
          <w:color w:val="auto"/>
        </w:rPr>
        <w:t>Non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GAAP (Loss) Income from Operations and Non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GAAP Operating Margin</w:t>
      </w:r>
      <w:r>
        <w:rPr>
          <w:rFonts w:ascii="Arial" w:cs="Arial" w:eastAsia="Arial" w:hAnsi="Arial"/>
          <w:sz w:val="12"/>
          <w:szCs w:val="12"/>
          <w:color w:val="auto"/>
        </w:rPr>
        <w:t>. For the periods presented, we define non</w:t>
      </w:r>
      <w:r>
        <w:rPr>
          <w:rFonts w:ascii="MS PGothic" w:cs="MS PGothic" w:eastAsia="MS PGothic" w:hAnsi="MS PGothic"/>
          <w:sz w:val="12"/>
          <w:szCs w:val="12"/>
          <w:color w:val="auto"/>
        </w:rPr>
        <w:t>‑</w:t>
      </w:r>
      <w:r>
        <w:rPr>
          <w:rFonts w:ascii="Arial" w:cs="Arial" w:eastAsia="Arial" w:hAnsi="Arial"/>
          <w:sz w:val="12"/>
          <w:szCs w:val="12"/>
          <w:color w:val="auto"/>
        </w:rPr>
        <w:t>GAAP (loss) income from operations and non</w:t>
      </w:r>
      <w:r>
        <w:rPr>
          <w:rFonts w:ascii="MS PGothic" w:cs="MS PGothic" w:eastAsia="MS PGothic" w:hAnsi="MS PGothic"/>
          <w:sz w:val="12"/>
          <w:szCs w:val="12"/>
          <w:color w:val="auto"/>
        </w:rPr>
        <w:t>‑</w:t>
      </w:r>
      <w:r>
        <w:rPr>
          <w:rFonts w:ascii="Arial" w:cs="Arial" w:eastAsia="Arial" w:hAnsi="Arial"/>
          <w:sz w:val="12"/>
          <w:szCs w:val="12"/>
          <w:color w:val="auto"/>
        </w:rPr>
        <w:t>GAAP operating margin as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GAAP loss from operations and GAAP operating margin, respectively, adjusted to exclude, as applicable, certain expenses as presented in the table below:</w:t>
      </w:r>
    </w:p>
    <w:p>
      <w:pPr>
        <w:spacing w:after="0" w:line="249" w:lineRule="exact"/>
        <w:rPr>
          <w:sz w:val="20"/>
          <w:szCs w:val="20"/>
          <w:color w:val="auto"/>
        </w:rPr>
      </w:pPr>
    </w:p>
    <w:tbl>
      <w:tblPr>
        <w:tblLayout w:type="fixed"/>
        <w:tblInd w:w="2280" w:type="dxa"/>
        <w:tblCellMar>
          <w:top w:w="0" w:type="dxa"/>
          <w:left w:w="0" w:type="dxa"/>
          <w:bottom w:w="0" w:type="dxa"/>
          <w:right w:w="0" w:type="dxa"/>
        </w:tblCellMar>
      </w:tblPr>
      <w:tr>
        <w:trPr>
          <w:trHeight w:val="145"/>
        </w:trPr>
        <w:tc>
          <w:tcPr>
            <w:tcW w:w="34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rPr>
              <w:t>Three Months Ended June 30,</w:t>
            </w: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2022</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40"/>
              <w:spacing w:after="0"/>
              <w:rPr>
                <w:sz w:val="20"/>
                <w:szCs w:val="20"/>
                <w:color w:val="auto"/>
              </w:rPr>
            </w:pPr>
            <w:r>
              <w:rPr>
                <w:rFonts w:ascii="Arial" w:cs="Arial" w:eastAsia="Arial" w:hAnsi="Arial"/>
                <w:sz w:val="11"/>
                <w:szCs w:val="11"/>
                <w:b w:val="1"/>
                <w:bCs w:val="1"/>
                <w:color w:val="auto"/>
                <w:w w:val="97"/>
              </w:rPr>
              <w:t>2021</w:t>
            </w: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00" w:type="dxa"/>
            <w:vAlign w:val="bottom"/>
          </w:tcPr>
          <w:p>
            <w:pPr>
              <w:ind w:left="120"/>
              <w:spacing w:after="0"/>
              <w:rPr>
                <w:sz w:val="20"/>
                <w:szCs w:val="20"/>
                <w:color w:val="auto"/>
              </w:rPr>
            </w:pPr>
            <w:r>
              <w:rPr>
                <w:rFonts w:ascii="Arial" w:cs="Arial" w:eastAsia="Arial" w:hAnsi="Arial"/>
                <w:sz w:val="12"/>
                <w:szCs w:val="12"/>
                <w:b w:val="1"/>
                <w:bCs w:val="1"/>
                <w:color w:val="auto"/>
              </w:rPr>
              <w:t>Reconciliation:</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1"/>
                <w:szCs w:val="11"/>
                <w:color w:val="auto"/>
                <w:w w:val="88"/>
              </w:rPr>
              <w:t>(In thousands)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from operations</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(311,936)</w:t>
            </w:r>
          </w:p>
        </w:tc>
        <w:tc>
          <w:tcPr>
            <w:tcW w:w="1060" w:type="dxa"/>
            <w:vAlign w:val="bottom"/>
            <w:gridSpan w:val="3"/>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(202,274)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00" w:type="dxa"/>
            <w:vAlign w:val="bottom"/>
          </w:tcPr>
          <w:p>
            <w:pPr>
              <w:ind w:left="120"/>
              <w:spacing w:after="0"/>
              <w:rPr>
                <w:sz w:val="20"/>
                <w:szCs w:val="20"/>
                <w:color w:val="auto"/>
              </w:rPr>
            </w:pPr>
            <w:r>
              <w:rPr>
                <w:rFonts w:ascii="Arial" w:cs="Arial" w:eastAsia="Arial" w:hAnsi="Arial"/>
                <w:sz w:val="12"/>
                <w:szCs w:val="12"/>
                <w:color w:val="auto"/>
              </w:rPr>
              <w:t>Operating margin</w:t>
            </w:r>
          </w:p>
        </w:tc>
        <w:tc>
          <w:tcPr>
            <w:tcW w:w="5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(33)</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Non-GAAP adjustments:</w:t>
            </w: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00" w:type="dxa"/>
            <w:vAlign w:val="bottom"/>
          </w:tcPr>
          <w:p>
            <w:pPr>
              <w:ind w:left="280"/>
              <w:spacing w:after="0"/>
              <w:rPr>
                <w:sz w:val="20"/>
                <w:szCs w:val="20"/>
                <w:color w:val="auto"/>
              </w:rPr>
            </w:pPr>
            <w:r>
              <w:rPr>
                <w:rFonts w:ascii="Arial" w:cs="Arial" w:eastAsia="Arial" w:hAnsi="Arial"/>
                <w:sz w:val="12"/>
                <w:szCs w:val="12"/>
                <w:color w:val="auto"/>
              </w:rPr>
              <w:t>Stock-based compensation</w:t>
            </w:r>
          </w:p>
        </w:tc>
        <w:tc>
          <w:tcPr>
            <w:tcW w:w="5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242,090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144,168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Amortization of acquired intangibles</w:t>
            </w: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52,165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45,354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00" w:type="dxa"/>
            <w:vAlign w:val="bottom"/>
          </w:tcPr>
          <w:p>
            <w:pPr>
              <w:ind w:left="280"/>
              <w:spacing w:after="0"/>
              <w:rPr>
                <w:sz w:val="20"/>
                <w:szCs w:val="20"/>
                <w:color w:val="auto"/>
              </w:rPr>
            </w:pPr>
            <w:r>
              <w:rPr>
                <w:rFonts w:ascii="Arial" w:cs="Arial" w:eastAsia="Arial" w:hAnsi="Arial"/>
                <w:sz w:val="12"/>
                <w:szCs w:val="12"/>
                <w:color w:val="auto"/>
              </w:rPr>
              <w:t>Acquisition-related expenses</w:t>
            </w:r>
          </w:p>
        </w:tc>
        <w:tc>
          <w:tcPr>
            <w:tcW w:w="5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2,836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Charitable contributions</w:t>
            </w: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6,789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0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Payroll taxes related to stock-based compensation</w:t>
            </w: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6,166</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7,329</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Non-GAAP (loss) income from operations</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(7,302)</w:t>
            </w:r>
          </w:p>
        </w:tc>
        <w:tc>
          <w:tcPr>
            <w:tcW w:w="1060" w:type="dxa"/>
            <w:vAlign w:val="bottom"/>
            <w:gridSpan w:val="3"/>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4,202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2"/>
                <w:szCs w:val="12"/>
                <w:color w:val="auto"/>
              </w:rPr>
              <w:t>Non-GAAP operating margin</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4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jc w:val="right"/>
              <w:spacing w:after="0" w:line="118" w:lineRule="exact"/>
              <w:rPr>
                <w:sz w:val="20"/>
                <w:szCs w:val="20"/>
                <w:color w:val="auto"/>
              </w:rPr>
            </w:pPr>
            <w:r>
              <w:rPr>
                <w:rFonts w:ascii="Arial" w:cs="Arial" w:eastAsia="Arial" w:hAnsi="Arial"/>
                <w:sz w:val="12"/>
                <w:szCs w:val="12"/>
                <w:color w:val="auto"/>
              </w:rPr>
              <w:t>(1)</w:t>
            </w:r>
          </w:p>
        </w:tc>
        <w:tc>
          <w:tcPr>
            <w:tcW w:w="22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jc w:val="right"/>
              <w:ind w:right="40"/>
              <w:spacing w:after="0" w:line="118" w:lineRule="exact"/>
              <w:rPr>
                <w:sz w:val="20"/>
                <w:szCs w:val="20"/>
                <w:color w:val="auto"/>
              </w:rPr>
            </w:pPr>
            <w:r>
              <w:rPr>
                <w:rFonts w:ascii="Arial" w:cs="Arial" w:eastAsia="Arial" w:hAnsi="Arial"/>
                <w:sz w:val="12"/>
                <w:szCs w:val="12"/>
                <w:color w:val="auto"/>
              </w:rPr>
              <w:t>1</w:t>
            </w:r>
          </w:p>
        </w:tc>
        <w:tc>
          <w:tcPr>
            <w:tcW w:w="18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Results of Operations</w:t>
      </w:r>
    </w:p>
    <w:p>
      <w:pPr>
        <w:spacing w:after="0" w:line="166" w:lineRule="exact"/>
        <w:rPr>
          <w:sz w:val="20"/>
          <w:szCs w:val="20"/>
          <w:color w:val="auto"/>
        </w:rPr>
      </w:pPr>
    </w:p>
    <w:p>
      <w:pPr>
        <w:ind w:right="140" w:firstLine="365"/>
        <w:spacing w:after="0" w:line="250" w:lineRule="auto"/>
        <w:rPr>
          <w:sz w:val="20"/>
          <w:szCs w:val="20"/>
          <w:color w:val="auto"/>
        </w:rPr>
      </w:pPr>
      <w:r>
        <w:rPr>
          <w:rFonts w:ascii="Arial" w:cs="Arial" w:eastAsia="Arial" w:hAnsi="Arial"/>
          <w:sz w:val="14"/>
          <w:szCs w:val="14"/>
          <w:color w:val="auto"/>
        </w:rPr>
        <w:t>Our results of operations may be significantly affected by many factors, such as uncertainty regarding the impacts of fluctuations in foreign exchange rates, changes in global economic conditions and customer demand and spending, inflation, labor market constraints, world events and existing and new domestic and foreign laws and regulations, as well as those factors outlined in Part II, Item 1A, “Risk Factors.”</w:t>
      </w:r>
    </w:p>
    <w:p>
      <w:pPr>
        <w:spacing w:after="0" w:line="146" w:lineRule="exact"/>
        <w:rPr>
          <w:sz w:val="20"/>
          <w:szCs w:val="20"/>
          <w:color w:val="auto"/>
        </w:rPr>
      </w:pPr>
    </w:p>
    <w:p>
      <w:pPr>
        <w:ind w:right="220" w:firstLine="365"/>
        <w:spacing w:after="0" w:line="312" w:lineRule="auto"/>
        <w:rPr>
          <w:sz w:val="20"/>
          <w:szCs w:val="20"/>
          <w:color w:val="auto"/>
        </w:rPr>
      </w:pPr>
      <w:r>
        <w:rPr>
          <w:rFonts w:ascii="Arial" w:cs="Arial" w:eastAsia="Arial" w:hAnsi="Arial"/>
          <w:sz w:val="12"/>
          <w:szCs w:val="12"/>
          <w:color w:val="auto"/>
        </w:rPr>
        <w:t>Our revenue is primarily derived from usage-based fees we charge for certain of our products, which can lead to variability and at times create significant differences between forecasts and actual results. In addition, our product mix and mix of international and domestic customers may significantly impact our gross margin. Because usage trends by geographic region and by customer are inherently difficult to estimate, our actual results could differ significantly from our estimates, particularly if market and industry specific conditions continue to shift.</w:t>
      </w:r>
    </w:p>
    <w:p>
      <w:pPr>
        <w:spacing w:after="0" w:line="111" w:lineRule="exact"/>
        <w:rPr>
          <w:sz w:val="20"/>
          <w:szCs w:val="20"/>
          <w:color w:val="auto"/>
        </w:rPr>
      </w:pPr>
    </w:p>
    <w:p>
      <w:pPr>
        <w:ind w:firstLine="365"/>
        <w:spacing w:after="0" w:line="312" w:lineRule="auto"/>
        <w:rPr>
          <w:sz w:val="20"/>
          <w:szCs w:val="20"/>
          <w:color w:val="auto"/>
        </w:rPr>
      </w:pPr>
      <w:r>
        <w:rPr>
          <w:rFonts w:ascii="Arial" w:cs="Arial" w:eastAsia="Arial" w:hAnsi="Arial"/>
          <w:sz w:val="12"/>
          <w:szCs w:val="12"/>
          <w:color w:val="auto"/>
        </w:rPr>
        <w:t>In May 2022, we announced our decision to become a remote-first company, whereby employees would have the flexibility to work remotely on a permanent basis. As part of our new operating strategy we expect that certain of our office locations will be closed in the near future. Subject to meeting certain future conditions, closure of these locations may trigger impairment losses that may negatively impact our results of operations. We estimate that potential non-cash impairment charges could range from $90 million to $110 million in the third quarter of 2022.</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160" w:firstLine="365"/>
        <w:spacing w:after="0" w:line="247" w:lineRule="auto"/>
        <w:rPr>
          <w:sz w:val="20"/>
          <w:szCs w:val="20"/>
          <w:color w:val="auto"/>
        </w:rPr>
      </w:pPr>
      <w:r>
        <w:rPr>
          <w:rFonts w:ascii="Arial" w:cs="Arial" w:eastAsia="Arial" w:hAnsi="Arial"/>
          <w:sz w:val="14"/>
          <w:szCs w:val="14"/>
          <w:color w:val="auto"/>
        </w:rPr>
        <w:t>In May 2022, we paid $750.0 million to acquire approximately 43% of Syniverse Corporation’s (“Syniverse”) common shares issued and outstanding after the closing of the transaction. Refer to Notes 2 and 6 of our condensed consolidated financial statements included elsewhere in this Quarterly Report on Form 10-Q for further description of this transaction. As required by the accounting guidance for equity method investments, we will be recording our share of Syniverse’s net income or loss and the amortization of the excess investment basis into our statements of operations every reporting period starting in the third quarter of 2022.</w:t>
      </w:r>
    </w:p>
    <w:p>
      <w:pPr>
        <w:spacing w:after="0" w:line="149" w:lineRule="exact"/>
        <w:rPr>
          <w:sz w:val="20"/>
          <w:szCs w:val="20"/>
          <w:color w:val="auto"/>
        </w:rPr>
      </w:pPr>
    </w:p>
    <w:p>
      <w:pPr>
        <w:ind w:right="180" w:firstLine="365"/>
        <w:spacing w:after="0" w:line="247" w:lineRule="auto"/>
        <w:rPr>
          <w:sz w:val="20"/>
          <w:szCs w:val="20"/>
          <w:color w:val="auto"/>
        </w:rPr>
      </w:pPr>
      <w:r>
        <w:rPr>
          <w:rFonts w:ascii="Arial" w:cs="Arial" w:eastAsia="Arial" w:hAnsi="Arial"/>
          <w:sz w:val="14"/>
          <w:szCs w:val="14"/>
          <w:color w:val="auto"/>
        </w:rPr>
        <w:t>In July 2022, we adopted a new sabbatical program for our tenured employees, whereby every three years, employees may apply for a paid sabbatical leave of four consecutive weeks. Employees with more than three years at Twilio became immediately eligible for s sabbatical leave as of the July 1, 2022, the program’s effective date. As such, a non-cash expense of approximately $35.0 million related to the adoption of this program will impact our results of operations in the third quarter of 2022. In the quarters subsequent to the adoption, the impact from this program is not expected to be significant to our results of operations.</w:t>
      </w:r>
    </w:p>
    <w:p>
      <w:pPr>
        <w:spacing w:after="0" w:line="149" w:lineRule="exact"/>
        <w:rPr>
          <w:sz w:val="20"/>
          <w:szCs w:val="20"/>
          <w:color w:val="auto"/>
        </w:rPr>
      </w:pPr>
    </w:p>
    <w:p>
      <w:pPr>
        <w:ind w:right="180" w:firstLine="365"/>
        <w:spacing w:after="0" w:line="247" w:lineRule="auto"/>
        <w:rPr>
          <w:sz w:val="20"/>
          <w:szCs w:val="20"/>
          <w:color w:val="auto"/>
        </w:rPr>
      </w:pPr>
      <w:r>
        <w:rPr>
          <w:rFonts w:ascii="Arial" w:cs="Arial" w:eastAsia="Arial" w:hAnsi="Arial"/>
          <w:sz w:val="14"/>
          <w:szCs w:val="14"/>
          <w:color w:val="auto"/>
        </w:rPr>
        <w:t>We continue to execute against our two primary priorities of accelerating software sales and delivering non-GAAP operating profit starting in 2023. To this end, our hiring efforts are focused on areas that we believe will unlock significant value and present strong opportunities for continued growth such as Twilio Segment, Twilio Engage and Twilio Flex, and we have frozen the vast majority of new hires and backfills outside of these areas. We are also shifting more of our selling capacity to software, while looking to leverage more of our self-service capability for customers that don't need direct account coverage.</w:t>
      </w:r>
    </w:p>
    <w:p>
      <w:pPr>
        <w:spacing w:after="0" w:line="149" w:lineRule="exact"/>
        <w:rPr>
          <w:sz w:val="20"/>
          <w:szCs w:val="20"/>
          <w:color w:val="auto"/>
        </w:rPr>
      </w:pPr>
    </w:p>
    <w:p>
      <w:pPr>
        <w:ind w:right="180" w:firstLine="365"/>
        <w:spacing w:after="0" w:line="247" w:lineRule="auto"/>
        <w:rPr>
          <w:sz w:val="20"/>
          <w:szCs w:val="20"/>
          <w:color w:val="auto"/>
        </w:rPr>
      </w:pPr>
      <w:r>
        <w:rPr>
          <w:rFonts w:ascii="Arial" w:cs="Arial" w:eastAsia="Arial" w:hAnsi="Arial"/>
          <w:sz w:val="14"/>
          <w:szCs w:val="14"/>
          <w:color w:val="auto"/>
        </w:rPr>
        <w:t>We also continue to see strong demand for our portfolio of products that make up our customer engagement platform and overall our business has remained resilient. We generate a portion of our revenue from certain sectors of the economy that have experienced recent softness, including cryptocurrencies, consumer on-demand and social media, as well as some instances of longer sales cycles. Given our diverse customer base, use cases and verticals served, this has not had a material impact on our overall business, and we have seen volume gains in other areas such as financial services and information technology.</w:t>
      </w:r>
    </w:p>
    <w:p>
      <w:pPr>
        <w:spacing w:after="0" w:line="149" w:lineRule="exact"/>
        <w:rPr>
          <w:sz w:val="20"/>
          <w:szCs w:val="20"/>
          <w:color w:val="auto"/>
        </w:rPr>
      </w:pPr>
    </w:p>
    <w:p>
      <w:pPr>
        <w:ind w:right="180" w:firstLine="365"/>
        <w:spacing w:after="0" w:line="250" w:lineRule="auto"/>
        <w:rPr>
          <w:sz w:val="20"/>
          <w:szCs w:val="20"/>
          <w:color w:val="auto"/>
        </w:rPr>
      </w:pPr>
      <w:r>
        <w:rPr>
          <w:rFonts w:ascii="Arial" w:cs="Arial" w:eastAsia="Arial" w:hAnsi="Arial"/>
          <w:sz w:val="14"/>
          <w:szCs w:val="14"/>
          <w:color w:val="auto"/>
        </w:rPr>
        <w:t>The following tables set forth our results of operations for the periods presented and as a percentage of our total revenue for those periods. We have included Zipwhip in our results of operations prospectively after its closing date of July 14, 2021, and all other acquisitions from the respective closing dates of each acquisition. The period-to-period comparison of our historical results are not indicative of the results that may be expected in the future.</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145"/>
        </w:trPr>
        <w:tc>
          <w:tcPr>
            <w:tcW w:w="40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 June 30,</w:t>
            </w: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1"/>
                <w:szCs w:val="11"/>
                <w:b w:val="1"/>
                <w:bCs w:val="1"/>
                <w:color w:val="auto"/>
              </w:rPr>
              <w:t>Six Months Ended June 30,</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42"/>
        </w:trPr>
        <w:tc>
          <w:tcPr>
            <w:tcW w:w="4060" w:type="dxa"/>
            <w:vAlign w:val="bottom"/>
          </w:tcPr>
          <w:p>
            <w:pPr>
              <w:ind w:left="380"/>
              <w:spacing w:after="0"/>
              <w:rPr>
                <w:sz w:val="20"/>
                <w:szCs w:val="20"/>
                <w:color w:val="auto"/>
              </w:rPr>
            </w:pPr>
            <w:r>
              <w:rPr>
                <w:rFonts w:ascii="Arial" w:cs="Arial" w:eastAsia="Arial" w:hAnsi="Arial"/>
                <w:sz w:val="12"/>
                <w:szCs w:val="12"/>
                <w:b w:val="1"/>
                <w:bCs w:val="1"/>
                <w:color w:val="auto"/>
              </w:rPr>
              <w:t>Condensed Consolidated Statements of Operations Data:</w:t>
            </w: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80" w:type="dxa"/>
            <w:vAlign w:val="bottom"/>
            <w:gridSpan w:val="5"/>
          </w:tcPr>
          <w:p>
            <w:pPr>
              <w:ind w:left="20"/>
              <w:spacing w:after="0"/>
              <w:rPr>
                <w:sz w:val="20"/>
                <w:szCs w:val="20"/>
                <w:color w:val="auto"/>
              </w:rPr>
            </w:pPr>
            <w:r>
              <w:rPr>
                <w:rFonts w:ascii="Arial" w:cs="Arial" w:eastAsia="Arial" w:hAnsi="Arial"/>
                <w:sz w:val="11"/>
                <w:szCs w:val="11"/>
                <w:color w:val="auto"/>
              </w:rPr>
              <w:t>(In thousands, except share and per share amounts)</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Revenue</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943,354</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668,931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1,818,717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w:t>
            </w:r>
          </w:p>
        </w:tc>
        <w:tc>
          <w:tcPr>
            <w:tcW w:w="0" w:type="dxa"/>
            <w:vAlign w:val="bottom"/>
          </w:tcPr>
          <w:p>
            <w:pPr>
              <w:spacing w:after="0"/>
              <w:rPr>
                <w:sz w:val="1"/>
                <w:szCs w:val="1"/>
                <w:color w:val="auto"/>
              </w:rPr>
            </w:pPr>
          </w:p>
        </w:tc>
      </w:tr>
      <w:tr>
        <w:trPr>
          <w:trHeight w:val="162"/>
        </w:trPr>
        <w:tc>
          <w:tcPr>
            <w:tcW w:w="4060" w:type="dxa"/>
            <w:vAlign w:val="bottom"/>
            <w:tcBorders>
              <w:bottom w:val="single" w:sz="8" w:color="CCEEFF"/>
            </w:tcBorders>
          </w:tcPr>
          <w:p>
            <w:pPr>
              <w:ind w:left="380"/>
              <w:spacing w:after="0" w:line="162" w:lineRule="exact"/>
              <w:rPr>
                <w:sz w:val="20"/>
                <w:szCs w:val="20"/>
                <w:color w:val="auto"/>
              </w:rPr>
            </w:pPr>
            <w:r>
              <w:rPr>
                <w:rFonts w:ascii="Arial" w:cs="Arial" w:eastAsia="Arial" w:hAnsi="Arial"/>
                <w:sz w:val="12"/>
                <w:szCs w:val="12"/>
                <w:color w:val="auto"/>
              </w:rPr>
              <w:t xml:space="preserve">Cost of revenue </w:t>
            </w:r>
            <w:r>
              <w:rPr>
                <w:rFonts w:ascii="Arial" w:cs="Arial" w:eastAsia="Arial" w:hAnsi="Arial"/>
                <w:sz w:val="15"/>
                <w:szCs w:val="15"/>
                <w:color w:val="auto"/>
                <w:vertAlign w:val="superscript"/>
              </w:rPr>
              <w:t>(1) (2)</w:t>
            </w: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498,065</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337,684</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948,357</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629</w:t>
            </w:r>
          </w:p>
        </w:tc>
        <w:tc>
          <w:tcPr>
            <w:tcW w:w="0" w:type="dxa"/>
            <w:vAlign w:val="bottom"/>
          </w:tcPr>
          <w:p>
            <w:pPr>
              <w:spacing w:after="0"/>
              <w:rPr>
                <w:sz w:val="1"/>
                <w:szCs w:val="1"/>
                <w:color w:val="auto"/>
              </w:rPr>
            </w:pPr>
          </w:p>
        </w:tc>
      </w:tr>
      <w:tr>
        <w:trPr>
          <w:trHeight w:val="153"/>
        </w:trPr>
        <w:tc>
          <w:tcPr>
            <w:tcW w:w="40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Gross profit</w:t>
            </w:r>
          </w:p>
        </w:tc>
        <w:tc>
          <w:tcPr>
            <w:tcW w:w="6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445,289</w:t>
            </w: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331,247</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870,360</w:t>
            </w: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629</w:t>
            </w:r>
          </w:p>
        </w:tc>
        <w:tc>
          <w:tcPr>
            <w:tcW w:w="0" w:type="dxa"/>
            <w:vAlign w:val="bottom"/>
          </w:tcPr>
          <w:p>
            <w:pPr>
              <w:spacing w:after="0"/>
              <w:rPr>
                <w:sz w:val="1"/>
                <w:szCs w:val="1"/>
                <w:color w:val="auto"/>
              </w:rPr>
            </w:pPr>
          </w:p>
        </w:tc>
      </w:tr>
      <w:tr>
        <w:trPr>
          <w:trHeight w:val="140"/>
        </w:trPr>
        <w:tc>
          <w:tcPr>
            <w:tcW w:w="4060" w:type="dxa"/>
            <w:vAlign w:val="bottom"/>
          </w:tcPr>
          <w:p>
            <w:pPr>
              <w:ind w:left="380"/>
              <w:spacing w:after="0"/>
              <w:rPr>
                <w:sz w:val="20"/>
                <w:szCs w:val="20"/>
                <w:color w:val="auto"/>
              </w:rPr>
            </w:pPr>
            <w:r>
              <w:rPr>
                <w:rFonts w:ascii="Arial" w:cs="Arial" w:eastAsia="Arial" w:hAnsi="Arial"/>
                <w:sz w:val="12"/>
                <w:szCs w:val="12"/>
                <w:color w:val="auto"/>
              </w:rPr>
              <w:t>Operating expenses:</w:t>
            </w: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60" w:type="dxa"/>
            <w:vAlign w:val="bottom"/>
            <w:shd w:val="clear" w:color="auto" w:fill="CCEEFF"/>
          </w:tcPr>
          <w:p>
            <w:pPr>
              <w:ind w:left="540"/>
              <w:spacing w:after="0" w:line="165" w:lineRule="exact"/>
              <w:rPr>
                <w:sz w:val="20"/>
                <w:szCs w:val="20"/>
                <w:color w:val="auto"/>
              </w:rPr>
            </w:pPr>
            <w:r>
              <w:rPr>
                <w:rFonts w:ascii="Arial" w:cs="Arial" w:eastAsia="Arial" w:hAnsi="Arial"/>
                <w:sz w:val="12"/>
                <w:szCs w:val="12"/>
                <w:color w:val="auto"/>
              </w:rPr>
              <w:t xml:space="preserve">Research and development </w:t>
            </w:r>
            <w:r>
              <w:rPr>
                <w:rFonts w:ascii="Arial" w:cs="Arial" w:eastAsia="Arial" w:hAnsi="Arial"/>
                <w:sz w:val="15"/>
                <w:szCs w:val="15"/>
                <w:color w:val="auto"/>
                <w:vertAlign w:val="superscript"/>
              </w:rPr>
              <w:t>(1) (2)</w:t>
            </w: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279,641</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181,280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520,252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w:t>
            </w:r>
          </w:p>
        </w:tc>
        <w:tc>
          <w:tcPr>
            <w:tcW w:w="0" w:type="dxa"/>
            <w:vAlign w:val="bottom"/>
          </w:tcPr>
          <w:p>
            <w:pPr>
              <w:spacing w:after="0"/>
              <w:rPr>
                <w:sz w:val="1"/>
                <w:szCs w:val="1"/>
                <w:color w:val="auto"/>
              </w:rPr>
            </w:pPr>
          </w:p>
        </w:tc>
      </w:tr>
      <w:tr>
        <w:trPr>
          <w:trHeight w:val="162"/>
        </w:trPr>
        <w:tc>
          <w:tcPr>
            <w:tcW w:w="4060" w:type="dxa"/>
            <w:vAlign w:val="bottom"/>
          </w:tcPr>
          <w:p>
            <w:pPr>
              <w:ind w:left="540"/>
              <w:spacing w:after="0" w:line="162" w:lineRule="exact"/>
              <w:rPr>
                <w:sz w:val="20"/>
                <w:szCs w:val="20"/>
                <w:color w:val="auto"/>
              </w:rPr>
            </w:pPr>
            <w:r>
              <w:rPr>
                <w:rFonts w:ascii="Arial" w:cs="Arial" w:eastAsia="Arial" w:hAnsi="Arial"/>
                <w:sz w:val="12"/>
                <w:szCs w:val="12"/>
                <w:color w:val="auto"/>
              </w:rPr>
              <w:t xml:space="preserve">Sales and marketing </w:t>
            </w:r>
            <w:r>
              <w:rPr>
                <w:rFonts w:ascii="Arial" w:cs="Arial" w:eastAsia="Arial" w:hAnsi="Arial"/>
                <w:sz w:val="15"/>
                <w:szCs w:val="15"/>
                <w:color w:val="auto"/>
                <w:vertAlign w:val="superscript"/>
              </w:rPr>
              <w:t>(1) (2)</w:t>
            </w: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334,958</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238,058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622,864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62"/>
        </w:trPr>
        <w:tc>
          <w:tcPr>
            <w:tcW w:w="4060" w:type="dxa"/>
            <w:vAlign w:val="bottom"/>
            <w:shd w:val="clear" w:color="auto" w:fill="CCEEFF"/>
          </w:tcPr>
          <w:p>
            <w:pPr>
              <w:ind w:left="540"/>
              <w:spacing w:after="0" w:line="162" w:lineRule="exact"/>
              <w:rPr>
                <w:sz w:val="20"/>
                <w:szCs w:val="20"/>
                <w:color w:val="auto"/>
              </w:rPr>
            </w:pPr>
            <w:r>
              <w:rPr>
                <w:rFonts w:ascii="Arial" w:cs="Arial" w:eastAsia="Arial" w:hAnsi="Arial"/>
                <w:sz w:val="12"/>
                <w:szCs w:val="12"/>
                <w:color w:val="auto"/>
              </w:rPr>
              <w:t xml:space="preserve">General and administrative </w:t>
            </w:r>
            <w:r>
              <w:rPr>
                <w:rFonts w:ascii="Arial" w:cs="Arial" w:eastAsia="Arial" w:hAnsi="Arial"/>
                <w:sz w:val="15"/>
                <w:szCs w:val="15"/>
                <w:color w:val="auto"/>
                <w:vertAlign w:val="superscript"/>
              </w:rPr>
              <w:t>(1) (2)</w:t>
            </w:r>
          </w:p>
        </w:tc>
        <w:tc>
          <w:tcPr>
            <w:tcW w:w="6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142,626</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114,183</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256,988</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50"/>
        </w:trPr>
        <w:tc>
          <w:tcPr>
            <w:tcW w:w="4060" w:type="dxa"/>
            <w:vAlign w:val="bottom"/>
            <w:tcBorders>
              <w:bottom w:val="single" w:sz="8" w:color="CCEEFF"/>
            </w:tcBorders>
          </w:tcPr>
          <w:p>
            <w:pPr>
              <w:ind w:left="720"/>
              <w:spacing w:after="0"/>
              <w:rPr>
                <w:sz w:val="20"/>
                <w:szCs w:val="20"/>
                <w:color w:val="auto"/>
              </w:rPr>
            </w:pPr>
            <w:r>
              <w:rPr>
                <w:rFonts w:ascii="Arial" w:cs="Arial" w:eastAsia="Arial" w:hAnsi="Arial"/>
                <w:sz w:val="12"/>
                <w:szCs w:val="12"/>
                <w:color w:val="auto"/>
              </w:rPr>
              <w:t>Total operating expenses</w:t>
            </w: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757,225</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533,521</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1,400,104</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1,029</w:t>
            </w:r>
          </w:p>
        </w:tc>
        <w:tc>
          <w:tcPr>
            <w:tcW w:w="0" w:type="dxa"/>
            <w:vAlign w:val="bottom"/>
          </w:tcPr>
          <w:p>
            <w:pPr>
              <w:spacing w:after="0"/>
              <w:rPr>
                <w:sz w:val="1"/>
                <w:szCs w:val="1"/>
                <w:color w:val="auto"/>
              </w:rPr>
            </w:pPr>
          </w:p>
        </w:tc>
      </w:tr>
      <w:tr>
        <w:trPr>
          <w:trHeight w:val="155"/>
        </w:trPr>
        <w:tc>
          <w:tcPr>
            <w:tcW w:w="4060" w:type="dxa"/>
            <w:vAlign w:val="bottom"/>
            <w:shd w:val="clear" w:color="auto" w:fill="CCEEFF"/>
          </w:tcPr>
          <w:p>
            <w:pPr>
              <w:ind w:left="620"/>
              <w:spacing w:after="0"/>
              <w:rPr>
                <w:sz w:val="20"/>
                <w:szCs w:val="20"/>
                <w:color w:val="auto"/>
              </w:rPr>
            </w:pPr>
            <w:r>
              <w:rPr>
                <w:rFonts w:ascii="Arial" w:cs="Arial" w:eastAsia="Arial" w:hAnsi="Arial"/>
                <w:sz w:val="12"/>
                <w:szCs w:val="12"/>
                <w:color w:val="auto"/>
              </w:rPr>
              <w:t>Loss from operations</w:t>
            </w:r>
          </w:p>
        </w:tc>
        <w:tc>
          <w:tcPr>
            <w:tcW w:w="6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(311,936)</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(202,274)</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(529,744)</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w:t>
            </w:r>
          </w:p>
        </w:tc>
        <w:tc>
          <w:tcPr>
            <w:tcW w:w="0" w:type="dxa"/>
            <w:vAlign w:val="bottom"/>
          </w:tcPr>
          <w:p>
            <w:pPr>
              <w:spacing w:after="0"/>
              <w:rPr>
                <w:sz w:val="1"/>
                <w:szCs w:val="1"/>
                <w:color w:val="auto"/>
              </w:rPr>
            </w:pPr>
          </w:p>
        </w:tc>
      </w:tr>
      <w:tr>
        <w:trPr>
          <w:trHeight w:val="160"/>
        </w:trPr>
        <w:tc>
          <w:tcPr>
            <w:tcW w:w="40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Other expenses, net</w:t>
            </w: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(8,239)</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(24,293)</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(14,916)</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55"/>
        </w:trPr>
        <w:tc>
          <w:tcPr>
            <w:tcW w:w="4060" w:type="dxa"/>
            <w:vAlign w:val="bottom"/>
            <w:shd w:val="clear" w:color="auto" w:fill="CCEEFF"/>
          </w:tcPr>
          <w:p>
            <w:pPr>
              <w:ind w:left="620"/>
              <w:spacing w:after="0"/>
              <w:rPr>
                <w:sz w:val="20"/>
                <w:szCs w:val="20"/>
                <w:color w:val="auto"/>
              </w:rPr>
            </w:pPr>
            <w:r>
              <w:rPr>
                <w:rFonts w:ascii="Arial" w:cs="Arial" w:eastAsia="Arial" w:hAnsi="Arial"/>
                <w:sz w:val="12"/>
                <w:szCs w:val="12"/>
                <w:color w:val="auto"/>
              </w:rPr>
              <w:t>Loss before (provision for) benefit from income taxes</w:t>
            </w:r>
          </w:p>
        </w:tc>
        <w:tc>
          <w:tcPr>
            <w:tcW w:w="6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(320,175)</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(226,567)</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(544,660)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160"/>
        </w:trPr>
        <w:tc>
          <w:tcPr>
            <w:tcW w:w="40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(Provision for) benefit from income taxes</w:t>
            </w: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(2,594)</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(1,286)</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264</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80"/>
        </w:trPr>
        <w:tc>
          <w:tcPr>
            <w:tcW w:w="4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2"/>
                <w:szCs w:val="12"/>
                <w:color w:val="auto"/>
              </w:rPr>
              <w:t>Net loss attributable to common stockholders</w:t>
            </w:r>
          </w:p>
        </w:tc>
        <w:tc>
          <w:tcPr>
            <w:tcW w:w="6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(322,769)</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(227,853)</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(544,396)</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620"/>
              <w:spacing w:after="0" w:line="106" w:lineRule="exact"/>
              <w:rPr>
                <w:sz w:val="20"/>
                <w:szCs w:val="20"/>
                <w:color w:val="auto"/>
              </w:rPr>
            </w:pPr>
            <w:r>
              <w:rPr>
                <w:rFonts w:ascii="Arial" w:cs="Arial" w:eastAsia="Arial" w:hAnsi="Arial"/>
                <w:sz w:val="12"/>
                <w:szCs w:val="12"/>
                <w:color w:val="auto"/>
              </w:rPr>
              <w:t>Net loss per share attributable to common</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4060" w:type="dxa"/>
            <w:vAlign w:val="bottom"/>
            <w:vMerge w:val="continue"/>
          </w:tcPr>
          <w:p>
            <w:pPr>
              <w:spacing w:after="0"/>
              <w:rPr>
                <w:sz w:val="5"/>
                <w:szCs w:val="5"/>
                <w:color w:val="auto"/>
              </w:rPr>
            </w:pPr>
          </w:p>
        </w:tc>
        <w:tc>
          <w:tcPr>
            <w:tcW w:w="68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(1.77)</w:t>
            </w:r>
          </w:p>
        </w:tc>
        <w:tc>
          <w:tcPr>
            <w:tcW w:w="80" w:type="dxa"/>
            <w:vAlign w:val="bottom"/>
          </w:tcPr>
          <w:p>
            <w:pPr>
              <w:spacing w:after="0"/>
              <w:rPr>
                <w:sz w:val="5"/>
                <w:szCs w:val="5"/>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(1.31)</w:t>
            </w:r>
          </w:p>
        </w:tc>
        <w:tc>
          <w:tcPr>
            <w:tcW w:w="80" w:type="dxa"/>
            <w:vAlign w:val="bottom"/>
          </w:tcPr>
          <w:p>
            <w:pPr>
              <w:spacing w:after="0"/>
              <w:rPr>
                <w:sz w:val="5"/>
                <w:szCs w:val="5"/>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2"/>
                <w:szCs w:val="12"/>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(3.00)</w:t>
            </w:r>
          </w:p>
        </w:tc>
        <w:tc>
          <w:tcPr>
            <w:tcW w:w="80" w:type="dxa"/>
            <w:vAlign w:val="bottom"/>
          </w:tcPr>
          <w:p>
            <w:pPr>
              <w:spacing w:after="0"/>
              <w:rPr>
                <w:sz w:val="5"/>
                <w:szCs w:val="5"/>
                <w:color w:val="auto"/>
              </w:rPr>
            </w:pPr>
          </w:p>
        </w:tc>
        <w:tc>
          <w:tcPr>
            <w:tcW w:w="880" w:type="dxa"/>
            <w:vAlign w:val="bottom"/>
            <w:vMerge w:val="restart"/>
          </w:tcPr>
          <w:p>
            <w:pPr>
              <w:jc w:val="right"/>
              <w:ind w:right="379"/>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060" w:type="dxa"/>
            <w:vAlign w:val="bottom"/>
          </w:tcPr>
          <w:p>
            <w:pPr>
              <w:ind w:left="420"/>
              <w:spacing w:after="0"/>
              <w:rPr>
                <w:sz w:val="20"/>
                <w:szCs w:val="20"/>
                <w:color w:val="auto"/>
              </w:rPr>
            </w:pPr>
            <w:r>
              <w:rPr>
                <w:rFonts w:ascii="Arial" w:cs="Arial" w:eastAsia="Arial" w:hAnsi="Arial"/>
                <w:sz w:val="12"/>
                <w:szCs w:val="12"/>
                <w:color w:val="auto"/>
              </w:rPr>
              <w:t>stockholders, basic and diluted</w:t>
            </w:r>
          </w:p>
        </w:tc>
        <w:tc>
          <w:tcPr>
            <w:tcW w:w="68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4060" w:type="dxa"/>
            <w:vAlign w:val="bottom"/>
            <w:shd w:val="clear" w:color="auto" w:fill="CCEEFF"/>
          </w:tcPr>
          <w:p>
            <w:pPr>
              <w:ind w:left="620"/>
              <w:spacing w:after="0" w:line="85" w:lineRule="exact"/>
              <w:rPr>
                <w:sz w:val="20"/>
                <w:szCs w:val="20"/>
                <w:color w:val="auto"/>
              </w:rPr>
            </w:pPr>
            <w:r>
              <w:rPr>
                <w:rFonts w:ascii="Arial" w:cs="Arial" w:eastAsia="Arial" w:hAnsi="Arial"/>
                <w:sz w:val="9"/>
                <w:szCs w:val="9"/>
                <w:color w:val="auto"/>
              </w:rPr>
              <w:t>Weighted-average shares used in computing net</w:t>
            </w:r>
          </w:p>
        </w:tc>
        <w:tc>
          <w:tcPr>
            <w:tcW w:w="6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060" w:type="dxa"/>
            <w:vAlign w:val="bottom"/>
            <w:shd w:val="clear" w:color="auto" w:fill="CCEEFF"/>
          </w:tcPr>
          <w:p>
            <w:pPr>
              <w:ind w:left="420"/>
              <w:spacing w:after="0" w:line="122" w:lineRule="exact"/>
              <w:rPr>
                <w:sz w:val="20"/>
                <w:szCs w:val="20"/>
                <w:color w:val="auto"/>
              </w:rPr>
            </w:pPr>
            <w:r>
              <w:rPr>
                <w:rFonts w:ascii="Arial" w:cs="Arial" w:eastAsia="Arial" w:hAnsi="Arial"/>
                <w:sz w:val="12"/>
                <w:szCs w:val="12"/>
                <w:color w:val="auto"/>
              </w:rPr>
              <w:t>loss per share attributable to common</w:t>
            </w:r>
          </w:p>
        </w:tc>
        <w:tc>
          <w:tcPr>
            <w:tcW w:w="6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182,347,864</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173,407,187</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181,624,316</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170,275</w:t>
            </w:r>
          </w:p>
        </w:tc>
        <w:tc>
          <w:tcPr>
            <w:tcW w:w="0" w:type="dxa"/>
            <w:vAlign w:val="bottom"/>
          </w:tcPr>
          <w:p>
            <w:pPr>
              <w:spacing w:after="0"/>
              <w:rPr>
                <w:sz w:val="1"/>
                <w:szCs w:val="1"/>
                <w:color w:val="auto"/>
              </w:rPr>
            </w:pPr>
          </w:p>
        </w:tc>
      </w:tr>
      <w:tr>
        <w:trPr>
          <w:trHeight w:val="159"/>
        </w:trPr>
        <w:tc>
          <w:tcPr>
            <w:tcW w:w="4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stockholders, basic and diluted</w:t>
            </w:r>
          </w:p>
        </w:tc>
        <w:tc>
          <w:tcPr>
            <w:tcW w:w="6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w:t>
      </w:r>
    </w:p>
    <w:p>
      <w:pPr>
        <w:spacing w:after="0" w:line="5" w:lineRule="exact"/>
        <w:rPr>
          <w:sz w:val="20"/>
          <w:szCs w:val="20"/>
          <w:color w:val="auto"/>
        </w:rPr>
      </w:pPr>
    </w:p>
    <w:p>
      <w:pPr>
        <w:ind w:left="480" w:hanging="113"/>
        <w:spacing w:after="0"/>
        <w:tabs>
          <w:tab w:leader="none" w:pos="480" w:val="left"/>
        </w:tabs>
        <w:numPr>
          <w:ilvl w:val="0"/>
          <w:numId w:val="24"/>
        </w:numPr>
        <w:rPr>
          <w:rFonts w:ascii="Arial" w:cs="Arial" w:eastAsia="Arial" w:hAnsi="Arial"/>
          <w:sz w:val="12"/>
          <w:szCs w:val="12"/>
          <w:color w:val="auto"/>
          <w:vertAlign w:val="superscript"/>
        </w:rPr>
      </w:pPr>
      <w:r>
        <w:rPr>
          <w:rFonts w:ascii="Arial" w:cs="Arial" w:eastAsia="Arial" w:hAnsi="Arial"/>
          <w:sz w:val="10"/>
          <w:szCs w:val="10"/>
          <w:color w:val="auto"/>
        </w:rPr>
        <w:t>Includes stock-based compensation expense as follows:</w:t>
      </w:r>
    </w:p>
    <w:p>
      <w:pPr>
        <w:spacing w:after="0" w:line="200" w:lineRule="exact"/>
        <w:rPr>
          <w:sz w:val="20"/>
          <w:szCs w:val="20"/>
          <w:color w:val="auto"/>
        </w:rPr>
      </w:pP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45"/>
        </w:trPr>
        <w:tc>
          <w:tcPr>
            <w:tcW w:w="374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Three Months Ended June 30,</w:t>
            </w: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bottom w:val="single" w:sz="8" w:color="auto"/>
            </w:tcBorders>
          </w:tcPr>
          <w:p>
            <w:pPr>
              <w:spacing w:after="0"/>
              <w:rPr>
                <w:sz w:val="12"/>
                <w:szCs w:val="12"/>
                <w:color w:val="auto"/>
              </w:rPr>
            </w:pPr>
          </w:p>
        </w:tc>
      </w:tr>
      <w:tr>
        <w:trPr>
          <w:trHeight w:val="136"/>
        </w:trPr>
        <w:tc>
          <w:tcPr>
            <w:tcW w:w="3740" w:type="dxa"/>
            <w:vAlign w:val="bottom"/>
          </w:tcPr>
          <w:p>
            <w:pPr>
              <w:spacing w:after="0"/>
              <w:rPr>
                <w:sz w:val="11"/>
                <w:szCs w:val="11"/>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06"/>
              <w:spacing w:after="0"/>
              <w:rPr>
                <w:sz w:val="20"/>
                <w:szCs w:val="20"/>
                <w:color w:val="auto"/>
              </w:rPr>
            </w:pPr>
            <w:r>
              <w:rPr>
                <w:rFonts w:ascii="Arial" w:cs="Arial" w:eastAsia="Arial" w:hAnsi="Arial"/>
                <w:sz w:val="11"/>
                <w:szCs w:val="11"/>
                <w:b w:val="1"/>
                <w:bCs w:val="1"/>
                <w:color w:val="auto"/>
              </w:rPr>
              <w:t>2022</w:t>
            </w:r>
          </w:p>
        </w:tc>
        <w:tc>
          <w:tcPr>
            <w:tcW w:w="7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2021</w:t>
            </w:r>
          </w:p>
        </w:tc>
      </w:tr>
      <w:tr>
        <w:trPr>
          <w:trHeight w:val="130"/>
        </w:trPr>
        <w:tc>
          <w:tcPr>
            <w:tcW w:w="3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80" w:type="dxa"/>
            <w:vAlign w:val="bottom"/>
            <w:gridSpan w:val="3"/>
          </w:tcPr>
          <w:p>
            <w:pPr>
              <w:jc w:val="right"/>
              <w:ind w:right="186"/>
              <w:spacing w:after="0"/>
              <w:rPr>
                <w:sz w:val="20"/>
                <w:szCs w:val="20"/>
                <w:color w:val="auto"/>
              </w:rPr>
            </w:pPr>
            <w:r>
              <w:rPr>
                <w:rFonts w:ascii="Arial" w:cs="Arial" w:eastAsia="Arial" w:hAnsi="Arial"/>
                <w:sz w:val="11"/>
                <w:szCs w:val="11"/>
                <w:color w:val="auto"/>
              </w:rPr>
              <w:t>(In thousands)</w:t>
            </w: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5"/>
        </w:trPr>
        <w:tc>
          <w:tcPr>
            <w:tcW w:w="37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Cost of revenue</w:t>
            </w:r>
          </w:p>
        </w:tc>
        <w:tc>
          <w:tcPr>
            <w:tcW w:w="1180" w:type="dxa"/>
            <w:vAlign w:val="bottom"/>
            <w:shd w:val="clear" w:color="auto" w:fill="CCEEFF"/>
          </w:tcPr>
          <w:p>
            <w:pPr>
              <w:jc w:val="right"/>
              <w:ind w:right="70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3,024</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8,517</w:t>
            </w:r>
          </w:p>
        </w:tc>
        <w:tc>
          <w:tcPr>
            <w:tcW w:w="72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5,741</w:t>
            </w:r>
          </w:p>
        </w:tc>
      </w:tr>
      <w:tr>
        <w:trPr>
          <w:trHeight w:val="139"/>
        </w:trPr>
        <w:tc>
          <w:tcPr>
            <w:tcW w:w="3740" w:type="dxa"/>
            <w:vAlign w:val="bottom"/>
          </w:tcPr>
          <w:p>
            <w:pPr>
              <w:ind w:left="380"/>
              <w:spacing w:after="0"/>
              <w:rPr>
                <w:sz w:val="20"/>
                <w:szCs w:val="20"/>
                <w:color w:val="auto"/>
              </w:rPr>
            </w:pPr>
            <w:r>
              <w:rPr>
                <w:rFonts w:ascii="Arial" w:cs="Arial" w:eastAsia="Arial" w:hAnsi="Arial"/>
                <w:sz w:val="11"/>
                <w:szCs w:val="11"/>
                <w:color w:val="auto"/>
              </w:rPr>
              <w:t>Research and development</w:t>
            </w:r>
          </w:p>
        </w:tc>
        <w:tc>
          <w:tcPr>
            <w:tcW w:w="1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109,524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58,871</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jc w:val="right"/>
              <w:ind w:right="206"/>
              <w:spacing w:after="0"/>
              <w:rPr>
                <w:sz w:val="20"/>
                <w:szCs w:val="20"/>
                <w:color w:val="auto"/>
              </w:rPr>
            </w:pPr>
            <w:r>
              <w:rPr>
                <w:rFonts w:ascii="Arial" w:cs="Arial" w:eastAsia="Arial" w:hAnsi="Arial"/>
                <w:sz w:val="11"/>
                <w:szCs w:val="11"/>
                <w:color w:val="auto"/>
              </w:rPr>
              <w:t>188,893</w:t>
            </w:r>
          </w:p>
        </w:tc>
        <w:tc>
          <w:tcPr>
            <w:tcW w:w="7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115,830</w:t>
            </w:r>
          </w:p>
        </w:tc>
      </w:tr>
      <w:tr>
        <w:trPr>
          <w:trHeight w:val="145"/>
        </w:trPr>
        <w:tc>
          <w:tcPr>
            <w:tcW w:w="37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Sales and marketing</w:t>
            </w:r>
          </w:p>
        </w:tc>
        <w:tc>
          <w:tcPr>
            <w:tcW w:w="1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78,492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47,940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126,078</w:t>
            </w: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89,576</w:t>
            </w:r>
          </w:p>
        </w:tc>
      </w:tr>
      <w:tr>
        <w:trPr>
          <w:trHeight w:val="139"/>
        </w:trPr>
        <w:tc>
          <w:tcPr>
            <w:tcW w:w="374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General and administrative</w:t>
            </w:r>
          </w:p>
        </w:tc>
        <w:tc>
          <w:tcPr>
            <w:tcW w:w="1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50,078</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34,333</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73,877</w:t>
            </w:r>
          </w:p>
        </w:tc>
        <w:tc>
          <w:tcPr>
            <w:tcW w:w="7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70,176</w:t>
            </w:r>
          </w:p>
        </w:tc>
      </w:tr>
      <w:tr>
        <w:trPr>
          <w:trHeight w:val="160"/>
        </w:trPr>
        <w:tc>
          <w:tcPr>
            <w:tcW w:w="3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w:t>
            </w:r>
          </w:p>
        </w:tc>
        <w:tc>
          <w:tcPr>
            <w:tcW w:w="118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242,090</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144,168</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397,365</w:t>
            </w:r>
          </w:p>
        </w:tc>
        <w:tc>
          <w:tcPr>
            <w:tcW w:w="72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281,323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ind w:left="120" w:hanging="119"/>
        <w:spacing w:after="0" w:line="238" w:lineRule="auto"/>
        <w:tabs>
          <w:tab w:leader="none" w:pos="120" w:val="left"/>
        </w:tabs>
        <w:numPr>
          <w:ilvl w:val="0"/>
          <w:numId w:val="25"/>
        </w:numPr>
        <w:rPr>
          <w:rFonts w:ascii="Arial" w:cs="Arial" w:eastAsia="Arial" w:hAnsi="Arial"/>
          <w:sz w:val="14"/>
          <w:szCs w:val="14"/>
          <w:color w:val="auto"/>
          <w:vertAlign w:val="superscript"/>
        </w:rPr>
      </w:pPr>
      <w:r>
        <w:rPr>
          <w:rFonts w:ascii="Arial" w:cs="Arial" w:eastAsia="Arial" w:hAnsi="Arial"/>
          <w:sz w:val="10"/>
          <w:szCs w:val="10"/>
          <w:color w:val="auto"/>
        </w:rPr>
        <w:t>Includes amortization of acquired intangibles as follows:</w:t>
      </w:r>
    </w:p>
    <w:p>
      <w:pPr>
        <w:sectPr>
          <w:pgSz w:w="11900" w:h="16838" w:orient="portrait"/>
          <w:cols w:equalWidth="0" w:num="1">
            <w:col w:w="11360"/>
          </w:cols>
          <w:pgMar w:left="300" w:top="1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Cost of revenue</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9"/>
          <w:szCs w:val="9"/>
          <w:color w:val="auto"/>
        </w:rPr>
        <w:t>Research and development</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1"/>
          <w:szCs w:val="11"/>
          <w:color w:val="auto"/>
        </w:rPr>
        <w:t>Sales and marketing</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9"/>
          <w:szCs w:val="9"/>
          <w:color w:val="auto"/>
        </w:rPr>
        <w:t>General and administrative</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Total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340" w:type="dxa"/>
            <w:vAlign w:val="bottom"/>
          </w:tcPr>
          <w:p>
            <w:pPr>
              <w:spacing w:after="0"/>
              <w:rPr>
                <w:sz w:val="12"/>
                <w:szCs w:val="12"/>
                <w:color w:val="auto"/>
              </w:rPr>
            </w:pPr>
          </w:p>
        </w:tc>
        <w:tc>
          <w:tcPr>
            <w:tcW w:w="2820" w:type="dxa"/>
            <w:vAlign w:val="bottom"/>
            <w:gridSpan w:val="5"/>
          </w:tcPr>
          <w:p>
            <w:pPr>
              <w:ind w:left="520"/>
              <w:spacing w:after="0"/>
              <w:rPr>
                <w:sz w:val="20"/>
                <w:szCs w:val="20"/>
                <w:color w:val="auto"/>
              </w:rPr>
            </w:pPr>
            <w:r>
              <w:rPr>
                <w:rFonts w:ascii="Arial" w:cs="Arial" w:eastAsia="Arial" w:hAnsi="Arial"/>
                <w:sz w:val="11"/>
                <w:szCs w:val="11"/>
                <w:b w:val="1"/>
                <w:bCs w:val="1"/>
                <w:color w:val="auto"/>
              </w:rPr>
              <w:t>Three Months Ended June 30,</w:t>
            </w:r>
          </w:p>
        </w:tc>
        <w:tc>
          <w:tcPr>
            <w:tcW w:w="460" w:type="dxa"/>
            <w:vAlign w:val="bottom"/>
          </w:tcPr>
          <w:p>
            <w:pPr>
              <w:spacing w:after="0"/>
              <w:rPr>
                <w:sz w:val="12"/>
                <w:szCs w:val="12"/>
                <w:color w:val="auto"/>
              </w:rPr>
            </w:pPr>
          </w:p>
        </w:tc>
        <w:tc>
          <w:tcPr>
            <w:tcW w:w="1740" w:type="dxa"/>
            <w:vAlign w:val="bottom"/>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80" w:type="dxa"/>
            <w:vAlign w:val="bottom"/>
          </w:tcPr>
          <w:p>
            <w:pPr>
              <w:spacing w:after="0"/>
              <w:rPr>
                <w:sz w:val="12"/>
                <w:szCs w:val="12"/>
                <w:color w:val="auto"/>
              </w:rPr>
            </w:pPr>
          </w:p>
        </w:tc>
      </w:tr>
      <w:tr>
        <w:trPr>
          <w:trHeight w:val="136"/>
        </w:trPr>
        <w:tc>
          <w:tcPr>
            <w:tcW w:w="3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w w:val="89"/>
              </w:rPr>
              <w:t>2021</w:t>
            </w:r>
          </w:p>
        </w:tc>
      </w:tr>
      <w:tr>
        <w:trPr>
          <w:trHeight w:val="127"/>
        </w:trPr>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gridSpan w:val="3"/>
          </w:tcPr>
          <w:p>
            <w:pPr>
              <w:jc w:val="right"/>
              <w:ind w:right="151"/>
              <w:spacing w:after="0"/>
              <w:rPr>
                <w:sz w:val="20"/>
                <w:szCs w:val="20"/>
                <w:color w:val="auto"/>
              </w:rPr>
            </w:pPr>
            <w:r>
              <w:rPr>
                <w:rFonts w:ascii="Arial" w:cs="Arial" w:eastAsia="Arial" w:hAnsi="Arial"/>
                <w:sz w:val="11"/>
                <w:szCs w:val="11"/>
                <w:color w:val="auto"/>
              </w:rPr>
              <w:t>(In thousands)</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9"/>
        </w:trPr>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31,236</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26,204</w:t>
            </w:r>
          </w:p>
        </w:tc>
        <w:tc>
          <w:tcPr>
            <w:tcW w:w="80" w:type="dxa"/>
            <w:vAlign w:val="bottom"/>
          </w:tcPr>
          <w:p>
            <w:pPr>
              <w:spacing w:after="0"/>
              <w:rPr>
                <w:sz w:val="12"/>
                <w:szCs w:val="12"/>
                <w:color w:val="auto"/>
              </w:rPr>
            </w:pPr>
          </w:p>
        </w:tc>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61,872</w:t>
            </w:r>
          </w:p>
        </w:tc>
        <w:tc>
          <w:tcPr>
            <w:tcW w:w="80" w:type="dxa"/>
            <w:vAlign w:val="bottom"/>
          </w:tcPr>
          <w:p>
            <w:pPr>
              <w:spacing w:after="0"/>
              <w:rPr>
                <w:sz w:val="12"/>
                <w:szCs w:val="12"/>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52,546</w:t>
            </w:r>
          </w:p>
        </w:tc>
      </w:tr>
      <w:tr>
        <w:trPr>
          <w:trHeight w:val="142"/>
        </w:trPr>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378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840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378</w:t>
            </w:r>
          </w:p>
        </w:tc>
      </w:tr>
      <w:tr>
        <w:trPr>
          <w:trHeight w:val="142"/>
        </w:trPr>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20,509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18,762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40,912</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37,456</w:t>
            </w:r>
          </w:p>
        </w:tc>
      </w:tr>
      <w:tr>
        <w:trPr>
          <w:trHeight w:val="146"/>
        </w:trPr>
        <w:tc>
          <w:tcPr>
            <w:tcW w:w="34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125</w:t>
            </w:r>
          </w:p>
        </w:tc>
      </w:tr>
      <w:tr>
        <w:trPr>
          <w:trHeight w:val="134"/>
        </w:trPr>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52,165</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45,354</w:t>
            </w: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103,631</w:t>
            </w:r>
          </w:p>
        </w:tc>
        <w:tc>
          <w:tcPr>
            <w:tcW w:w="8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90,505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-482600</wp:posOffset>
            </wp:positionV>
            <wp:extent cx="6856730" cy="901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6730" cy="9017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-302260</wp:posOffset>
            </wp:positionV>
            <wp:extent cx="6856730" cy="90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6730" cy="9017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-121920</wp:posOffset>
            </wp:positionV>
            <wp:extent cx="6856730" cy="109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6730" cy="1098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560"/>
          </w:cols>
          <w:pgMar w:left="300" w:top="129" w:right="239" w:bottom="1440" w:gutter="0" w:footer="0" w:header="0"/>
          <w:type w:val="continuous"/>
        </w:sectPr>
      </w:pPr>
    </w:p>
    <w:p>
      <w:pPr>
        <w:spacing w:after="0" w:line="37" w:lineRule="exact"/>
        <w:rPr>
          <w:sz w:val="20"/>
          <w:szCs w:val="20"/>
          <w:color w:val="auto"/>
        </w:rPr>
      </w:pPr>
    </w:p>
    <w:tbl>
      <w:tblPr>
        <w:tblLayout w:type="fixed"/>
        <w:tblInd w:w="480" w:type="dxa"/>
        <w:tblCellMar>
          <w:top w:w="0" w:type="dxa"/>
          <w:left w:w="0" w:type="dxa"/>
          <w:bottom w:w="0" w:type="dxa"/>
          <w:right w:w="0" w:type="dxa"/>
        </w:tblCellMar>
      </w:tblPr>
      <w:tr>
        <w:trPr>
          <w:trHeight w:val="145"/>
        </w:trPr>
        <w:tc>
          <w:tcPr>
            <w:tcW w:w="350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w w:val="91"/>
              </w:rPr>
              <w:t>Three Months Ended June 30,</w:t>
            </w: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w w:val="92"/>
              </w:rPr>
              <w:t>Six Months Ended June 30,</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3"/>
        </w:trPr>
        <w:tc>
          <w:tcPr>
            <w:tcW w:w="3500" w:type="dxa"/>
            <w:vAlign w:val="bottom"/>
          </w:tcPr>
          <w:p>
            <w:pPr>
              <w:ind w:left="500"/>
              <w:spacing w:after="0" w:line="104" w:lineRule="exact"/>
              <w:rPr>
                <w:sz w:val="20"/>
                <w:szCs w:val="20"/>
                <w:color w:val="auto"/>
              </w:rPr>
            </w:pPr>
            <w:r>
              <w:rPr>
                <w:rFonts w:ascii="Arial" w:cs="Arial" w:eastAsia="Arial" w:hAnsi="Arial"/>
                <w:sz w:val="11"/>
                <w:szCs w:val="11"/>
                <w:b w:val="1"/>
                <w:bCs w:val="1"/>
                <w:color w:val="auto"/>
              </w:rPr>
              <w:t>Consolidated Statements of Operations, as a percentage</w:t>
            </w:r>
          </w:p>
        </w:tc>
        <w:tc>
          <w:tcPr>
            <w:tcW w:w="1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500" w:type="dxa"/>
            <w:vAlign w:val="bottom"/>
          </w:tcPr>
          <w:p>
            <w:pPr>
              <w:ind w:left="20"/>
              <w:spacing w:after="0"/>
              <w:rPr>
                <w:sz w:val="20"/>
                <w:szCs w:val="20"/>
                <w:color w:val="auto"/>
              </w:rPr>
            </w:pPr>
            <w:r>
              <w:rPr>
                <w:rFonts w:ascii="Arial" w:cs="Arial" w:eastAsia="Arial" w:hAnsi="Arial"/>
                <w:sz w:val="12"/>
                <w:szCs w:val="12"/>
                <w:b w:val="1"/>
                <w:bCs w:val="1"/>
                <w:color w:val="auto"/>
              </w:rPr>
              <w:t>of revenue: **</w:t>
            </w: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Revenue</w:t>
            </w: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c>
          <w:tcPr>
            <w:tcW w:w="5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99"/>
              </w:rPr>
              <w:t>100</w:t>
            </w:r>
          </w:p>
        </w:tc>
        <w:tc>
          <w:tcPr>
            <w:tcW w:w="3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100</w:t>
            </w:r>
          </w:p>
        </w:tc>
        <w:tc>
          <w:tcPr>
            <w:tcW w:w="4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60"/>
        </w:trPr>
        <w:tc>
          <w:tcPr>
            <w:tcW w:w="350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Cost of revenue</w:t>
            </w: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53</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50</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52</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Gross profit</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47</w:t>
            </w:r>
          </w:p>
        </w:tc>
        <w:tc>
          <w:tcPr>
            <w:tcW w:w="5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50</w:t>
            </w:r>
          </w:p>
        </w:tc>
        <w:tc>
          <w:tcPr>
            <w:tcW w:w="3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48</w:t>
            </w:r>
          </w:p>
        </w:tc>
        <w:tc>
          <w:tcPr>
            <w:tcW w:w="4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0"/>
        </w:trPr>
        <w:tc>
          <w:tcPr>
            <w:tcW w:w="3500" w:type="dxa"/>
            <w:vAlign w:val="bottom"/>
          </w:tcPr>
          <w:p>
            <w:pPr>
              <w:ind w:left="500"/>
              <w:spacing w:after="0"/>
              <w:rPr>
                <w:sz w:val="20"/>
                <w:szCs w:val="20"/>
                <w:color w:val="auto"/>
              </w:rPr>
            </w:pPr>
            <w:r>
              <w:rPr>
                <w:rFonts w:ascii="Arial" w:cs="Arial" w:eastAsia="Arial" w:hAnsi="Arial"/>
                <w:sz w:val="12"/>
                <w:szCs w:val="12"/>
                <w:color w:val="auto"/>
              </w:rPr>
              <w:t>Operating expenses:</w:t>
            </w: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5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Research and development</w:t>
            </w: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30</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27</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29</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60"/>
        </w:trPr>
        <w:tc>
          <w:tcPr>
            <w:tcW w:w="3500" w:type="dxa"/>
            <w:vAlign w:val="bottom"/>
          </w:tcPr>
          <w:p>
            <w:pPr>
              <w:ind w:left="660"/>
              <w:spacing w:after="0"/>
              <w:rPr>
                <w:sz w:val="20"/>
                <w:szCs w:val="20"/>
                <w:color w:val="auto"/>
              </w:rPr>
            </w:pPr>
            <w:r>
              <w:rPr>
                <w:rFonts w:ascii="Arial" w:cs="Arial" w:eastAsia="Arial" w:hAnsi="Arial"/>
                <w:sz w:val="12"/>
                <w:szCs w:val="12"/>
                <w:color w:val="auto"/>
              </w:rPr>
              <w:t>Sales and marketing</w:t>
            </w:r>
          </w:p>
        </w:tc>
        <w:tc>
          <w:tcPr>
            <w:tcW w:w="1360" w:type="dxa"/>
            <w:vAlign w:val="bottom"/>
          </w:tcPr>
          <w:p>
            <w:pPr>
              <w:jc w:val="right"/>
              <w:ind w:right="120"/>
              <w:spacing w:after="0"/>
              <w:rPr>
                <w:sz w:val="20"/>
                <w:szCs w:val="20"/>
                <w:color w:val="auto"/>
              </w:rPr>
            </w:pPr>
            <w:r>
              <w:rPr>
                <w:rFonts w:ascii="Arial" w:cs="Arial" w:eastAsia="Arial" w:hAnsi="Arial"/>
                <w:sz w:val="12"/>
                <w:szCs w:val="12"/>
                <w:color w:val="auto"/>
              </w:rPr>
              <w:t>36</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jc w:val="right"/>
              <w:ind w:right="260"/>
              <w:spacing w:after="0"/>
              <w:rPr>
                <w:sz w:val="20"/>
                <w:szCs w:val="20"/>
                <w:color w:val="auto"/>
              </w:rPr>
            </w:pPr>
            <w:r>
              <w:rPr>
                <w:rFonts w:ascii="Arial" w:cs="Arial" w:eastAsia="Arial" w:hAnsi="Arial"/>
                <w:sz w:val="12"/>
                <w:szCs w:val="12"/>
                <w:color w:val="auto"/>
              </w:rPr>
              <w:t>36</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ind w:right="160"/>
              <w:spacing w:after="0"/>
              <w:rPr>
                <w:sz w:val="20"/>
                <w:szCs w:val="20"/>
                <w:color w:val="auto"/>
              </w:rPr>
            </w:pPr>
            <w:r>
              <w:rPr>
                <w:rFonts w:ascii="Arial" w:cs="Arial" w:eastAsia="Arial" w:hAnsi="Arial"/>
                <w:sz w:val="12"/>
                <w:szCs w:val="12"/>
                <w:color w:val="auto"/>
              </w:rPr>
              <w:t>34</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ind w:right="36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65"/>
        </w:trPr>
        <w:tc>
          <w:tcPr>
            <w:tcW w:w="35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General and administrative</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15</w:t>
            </w:r>
          </w:p>
        </w:tc>
        <w:tc>
          <w:tcPr>
            <w:tcW w:w="5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17</w:t>
            </w:r>
          </w:p>
        </w:tc>
        <w:tc>
          <w:tcPr>
            <w:tcW w:w="3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14</w:t>
            </w:r>
          </w:p>
        </w:tc>
        <w:tc>
          <w:tcPr>
            <w:tcW w:w="4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0"/>
        </w:trPr>
        <w:tc>
          <w:tcPr>
            <w:tcW w:w="3500" w:type="dxa"/>
            <w:vAlign w:val="bottom"/>
            <w:tcBorders>
              <w:bottom w:val="single" w:sz="8" w:color="CCEEFF"/>
            </w:tcBorders>
          </w:tcPr>
          <w:p>
            <w:pPr>
              <w:ind w:left="840"/>
              <w:spacing w:after="0"/>
              <w:rPr>
                <w:sz w:val="20"/>
                <w:szCs w:val="20"/>
                <w:color w:val="auto"/>
              </w:rPr>
            </w:pPr>
            <w:r>
              <w:rPr>
                <w:rFonts w:ascii="Arial" w:cs="Arial" w:eastAsia="Arial" w:hAnsi="Arial"/>
                <w:sz w:val="12"/>
                <w:szCs w:val="12"/>
                <w:color w:val="auto"/>
              </w:rPr>
              <w:t>Total operating expenses</w:t>
            </w: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80</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80</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77</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ind w:left="760"/>
              <w:spacing w:after="0"/>
              <w:rPr>
                <w:sz w:val="20"/>
                <w:szCs w:val="20"/>
                <w:color w:val="auto"/>
              </w:rPr>
            </w:pPr>
            <w:r>
              <w:rPr>
                <w:rFonts w:ascii="Arial" w:cs="Arial" w:eastAsia="Arial" w:hAnsi="Arial"/>
                <w:sz w:val="12"/>
                <w:szCs w:val="12"/>
                <w:color w:val="auto"/>
              </w:rPr>
              <w:t>Loss from operations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(33)</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(30)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(29)</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60"/>
        </w:trPr>
        <w:tc>
          <w:tcPr>
            <w:tcW w:w="350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Other expenses, net</w:t>
            </w:r>
          </w:p>
        </w:tc>
        <w:tc>
          <w:tcPr>
            <w:tcW w:w="13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(4)</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ind w:left="760"/>
              <w:spacing w:after="0"/>
              <w:rPr>
                <w:sz w:val="20"/>
                <w:szCs w:val="20"/>
                <w:color w:val="auto"/>
              </w:rPr>
            </w:pPr>
            <w:r>
              <w:rPr>
                <w:rFonts w:ascii="Arial" w:cs="Arial" w:eastAsia="Arial" w:hAnsi="Arial"/>
                <w:sz w:val="12"/>
                <w:szCs w:val="12"/>
                <w:color w:val="auto"/>
                <w:w w:val="97"/>
              </w:rPr>
              <w:t>Loss before (provision for) benefit from income taxes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(34)</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(34)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(30)</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60"/>
        </w:trPr>
        <w:tc>
          <w:tcPr>
            <w:tcW w:w="350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(Provision for) benefit from income taxes</w:t>
            </w:r>
          </w:p>
        </w:tc>
        <w:tc>
          <w:tcPr>
            <w:tcW w:w="1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500" w:type="dxa"/>
            <w:vAlign w:val="bottom"/>
            <w:shd w:val="clear" w:color="auto" w:fill="CCEEFF"/>
          </w:tcPr>
          <w:p>
            <w:pPr>
              <w:ind w:left="760"/>
              <w:spacing w:after="0" w:line="107" w:lineRule="exact"/>
              <w:rPr>
                <w:sz w:val="20"/>
                <w:szCs w:val="20"/>
                <w:color w:val="auto"/>
              </w:rPr>
            </w:pPr>
            <w:r>
              <w:rPr>
                <w:rFonts w:ascii="Arial" w:cs="Arial" w:eastAsia="Arial" w:hAnsi="Arial"/>
                <w:sz w:val="12"/>
                <w:szCs w:val="12"/>
                <w:color w:val="auto"/>
              </w:rPr>
              <w:t>Net loss attributable to common</w:t>
            </w:r>
          </w:p>
        </w:tc>
        <w:tc>
          <w:tcPr>
            <w:tcW w:w="136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(34</w:t>
            </w: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12"/>
                <w:szCs w:val="12"/>
                <w:color w:val="auto"/>
                <w:w w:val="95"/>
              </w:rPr>
              <w:t>%)</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(34</w:t>
            </w:r>
          </w:p>
        </w:tc>
        <w:tc>
          <w:tcPr>
            <w:tcW w:w="360" w:type="dxa"/>
            <w:vAlign w:val="bottom"/>
            <w:vMerge w:val="restart"/>
            <w:shd w:val="clear" w:color="auto" w:fill="CCEEFF"/>
          </w:tcPr>
          <w:p>
            <w:pPr>
              <w:ind w:left="200"/>
              <w:spacing w:after="0"/>
              <w:rPr>
                <w:sz w:val="20"/>
                <w:szCs w:val="20"/>
                <w:color w:val="auto"/>
              </w:rPr>
            </w:pPr>
            <w:r>
              <w:rPr>
                <w:rFonts w:ascii="Arial" w:cs="Arial" w:eastAsia="Arial" w:hAnsi="Arial"/>
                <w:sz w:val="12"/>
                <w:szCs w:val="12"/>
                <w:color w:val="auto"/>
                <w:w w:val="95"/>
              </w:rPr>
              <w:t>%)</w:t>
            </w:r>
          </w:p>
        </w:tc>
        <w:tc>
          <w:tcPr>
            <w:tcW w:w="8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(30</w:t>
            </w:r>
          </w:p>
        </w:tc>
        <w:tc>
          <w:tcPr>
            <w:tcW w:w="460" w:type="dxa"/>
            <w:vAlign w:val="bottom"/>
            <w:vMerge w:val="restart"/>
            <w:shd w:val="clear" w:color="auto" w:fill="CCEEFF"/>
          </w:tcPr>
          <w:p>
            <w:pPr>
              <w:ind w:left="300"/>
              <w:spacing w:after="0"/>
              <w:rPr>
                <w:sz w:val="20"/>
                <w:szCs w:val="20"/>
                <w:color w:val="auto"/>
              </w:rPr>
            </w:pPr>
            <w:r>
              <w:rPr>
                <w:rFonts w:ascii="Arial" w:cs="Arial" w:eastAsia="Arial" w:hAnsi="Arial"/>
                <w:sz w:val="12"/>
                <w:szCs w:val="12"/>
                <w:color w:val="auto"/>
                <w:w w:val="95"/>
              </w:rPr>
              <w:t>%)</w:t>
            </w: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36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9"/>
        </w:trPr>
        <w:tc>
          <w:tcPr>
            <w:tcW w:w="3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stockholders</w:t>
            </w:r>
          </w:p>
        </w:tc>
        <w:tc>
          <w:tcPr>
            <w:tcW w:w="136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Less than 0.5% of revenue.</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Columns may not add up to 100% due to rounding.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Comparison of the Three Months Ended June 30, 2022 and 2021</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Revenue</w:t>
      </w:r>
    </w:p>
    <w:p>
      <w:pPr>
        <w:spacing w:after="0" w:line="259" w:lineRule="exact"/>
        <w:rPr>
          <w:sz w:val="20"/>
          <w:szCs w:val="20"/>
          <w:color w:val="auto"/>
        </w:rPr>
      </w:pPr>
    </w:p>
    <w:tbl>
      <w:tblPr>
        <w:tblLayout w:type="fixed"/>
        <w:tblInd w:w="2280" w:type="dxa"/>
        <w:tblCellMar>
          <w:top w:w="0" w:type="dxa"/>
          <w:left w:w="0" w:type="dxa"/>
          <w:bottom w:w="0" w:type="dxa"/>
          <w:right w:w="0" w:type="dxa"/>
        </w:tblCellMar>
      </w:tblPr>
      <w:tr>
        <w:trPr>
          <w:trHeight w:val="140"/>
        </w:trPr>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Three Months Ended June 30,</w:t>
            </w:r>
          </w:p>
        </w:tc>
        <w:tc>
          <w:tcPr>
            <w:tcW w:w="64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24"/>
              <w:spacing w:after="0"/>
              <w:rPr>
                <w:sz w:val="20"/>
                <w:szCs w:val="20"/>
                <w:color w:val="auto"/>
              </w:rPr>
            </w:pPr>
            <w:r>
              <w:rPr>
                <w:rFonts w:ascii="Arial" w:cs="Arial" w:eastAsia="Arial" w:hAnsi="Arial"/>
                <w:sz w:val="11"/>
                <w:szCs w:val="11"/>
                <w:b w:val="1"/>
                <w:bCs w:val="1"/>
                <w:color w:val="auto"/>
              </w:rPr>
              <w:t>2022</w:t>
            </w:r>
          </w:p>
        </w:tc>
        <w:tc>
          <w:tcPr>
            <w:tcW w:w="7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w w:val="81"/>
              </w:rPr>
              <w:t>2021</w:t>
            </w:r>
          </w:p>
        </w:tc>
        <w:tc>
          <w:tcPr>
            <w:tcW w:w="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w w:val="84"/>
              </w:rPr>
              <w:t>Change</w:t>
            </w:r>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40" w:type="dxa"/>
            <w:vAlign w:val="bottom"/>
            <w:gridSpan w:val="2"/>
          </w:tcPr>
          <w:p>
            <w:pPr>
              <w:jc w:val="right"/>
              <w:ind w:right="239"/>
              <w:spacing w:after="0"/>
              <w:rPr>
                <w:sz w:val="20"/>
                <w:szCs w:val="20"/>
                <w:color w:val="auto"/>
              </w:rPr>
            </w:pPr>
            <w:r>
              <w:rPr>
                <w:rFonts w:ascii="Arial" w:cs="Arial" w:eastAsia="Arial" w:hAnsi="Arial"/>
                <w:sz w:val="11"/>
                <w:szCs w:val="11"/>
                <w:color w:val="auto"/>
              </w:rPr>
              <w:t>(Dollars in thousands)</w:t>
            </w: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w w:val="91"/>
              </w:rPr>
              <w:t>Revenue</w:t>
            </w:r>
          </w:p>
        </w:tc>
        <w:tc>
          <w:tcPr>
            <w:tcW w:w="1360" w:type="dxa"/>
            <w:vAlign w:val="bottom"/>
            <w:gridSpan w:val="2"/>
            <w:shd w:val="clear" w:color="auto" w:fill="CCEEFF"/>
          </w:tcPr>
          <w:p>
            <w:pPr>
              <w:jc w:val="right"/>
              <w:ind w:right="1080"/>
              <w:spacing w:after="0" w:line="128" w:lineRule="exact"/>
              <w:rPr>
                <w:sz w:val="20"/>
                <w:szCs w:val="20"/>
                <w:color w:val="auto"/>
              </w:rPr>
            </w:pPr>
            <w:r>
              <w:rPr>
                <w:rFonts w:ascii="Arial" w:cs="Arial" w:eastAsia="Arial" w:hAnsi="Arial"/>
                <w:sz w:val="12"/>
                <w:szCs w:val="12"/>
                <w:color w:val="auto"/>
                <w:w w:val="97"/>
              </w:rPr>
              <w:t>Total</w:t>
            </w:r>
          </w:p>
        </w:tc>
        <w:tc>
          <w:tcPr>
            <w:tcW w:w="1080" w:type="dxa"/>
            <w:vAlign w:val="bottom"/>
            <w:vMerge w:val="restart"/>
            <w:shd w:val="clear" w:color="auto" w:fill="CCEEFF"/>
          </w:tcPr>
          <w:p>
            <w:pPr>
              <w:jc w:val="right"/>
              <w:ind w:right="244"/>
              <w:spacing w:after="0"/>
              <w:rPr>
                <w:sz w:val="20"/>
                <w:szCs w:val="20"/>
                <w:color w:val="auto"/>
              </w:rPr>
            </w:pPr>
            <w:r>
              <w:rPr>
                <w:rFonts w:ascii="Arial" w:cs="Arial" w:eastAsia="Arial" w:hAnsi="Arial"/>
                <w:sz w:val="12"/>
                <w:szCs w:val="12"/>
                <w:color w:val="auto"/>
              </w:rPr>
              <w:t>943,354</w:t>
            </w:r>
          </w:p>
        </w:tc>
        <w:tc>
          <w:tcPr>
            <w:tcW w:w="720" w:type="dxa"/>
            <w:vAlign w:val="bottom"/>
            <w:vMerge w:val="restart"/>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668,931</w:t>
            </w:r>
          </w:p>
        </w:tc>
        <w:tc>
          <w:tcPr>
            <w:tcW w:w="90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274,423</w:t>
            </w:r>
          </w:p>
        </w:tc>
        <w:tc>
          <w:tcPr>
            <w:tcW w:w="1000" w:type="dxa"/>
            <w:vAlign w:val="bottom"/>
            <w:vMerge w:val="restart"/>
            <w:shd w:val="clear" w:color="auto" w:fill="CCEEFF"/>
          </w:tcPr>
          <w:p>
            <w:pPr>
              <w:jc w:val="right"/>
              <w:ind w:right="203"/>
              <w:spacing w:after="0"/>
              <w:rPr>
                <w:sz w:val="20"/>
                <w:szCs w:val="20"/>
                <w:color w:val="auto"/>
              </w:rPr>
            </w:pPr>
            <w:r>
              <w:rPr>
                <w:rFonts w:ascii="Arial" w:cs="Arial" w:eastAsia="Arial" w:hAnsi="Arial"/>
                <w:sz w:val="12"/>
                <w:szCs w:val="12"/>
                <w:color w:val="auto"/>
              </w:rPr>
              <w:t>41</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480" w:type="dxa"/>
            <w:vAlign w:val="bottom"/>
            <w:vMerge w:val="continue"/>
            <w:shd w:val="clear" w:color="auto" w:fill="CCEEFF"/>
          </w:tcPr>
          <w:p>
            <w:pPr>
              <w:spacing w:after="0"/>
              <w:rPr>
                <w:sz w:val="13"/>
                <w:szCs w:val="13"/>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firstLine="365"/>
        <w:spacing w:after="0" w:line="165" w:lineRule="exact"/>
        <w:rPr>
          <w:sz w:val="20"/>
          <w:szCs w:val="20"/>
          <w:color w:val="auto"/>
        </w:rPr>
      </w:pPr>
      <w:r>
        <w:rPr>
          <w:rFonts w:ascii="Arial" w:cs="Arial" w:eastAsia="Arial" w:hAnsi="Arial"/>
          <w:sz w:val="14"/>
          <w:szCs w:val="14"/>
          <w:color w:val="auto"/>
        </w:rPr>
        <w:t>In the three months ended June 30, 2022, total revenue increased by $274.4 million, or 41%, compared to the same period last year. This increase was primarily attributable to an increase in the usage of our products, particularly our Programmable Messaging, Programmable Voice, Email and Software products; the adoption of additional products by our existing customers; the additional A2P fees imposed by certain carriers; and revenue contributions from our acquisition of Zipwhip and other businesses. The change in usage from our existing customers was reflected in our Dollar</w:t>
      </w:r>
      <w:r>
        <w:rPr>
          <w:rFonts w:ascii="MS PGothic" w:cs="MS PGothic" w:eastAsia="MS PGothic" w:hAnsi="MS PGothic"/>
          <w:sz w:val="14"/>
          <w:szCs w:val="14"/>
          <w:color w:val="auto"/>
        </w:rPr>
        <w:t>‑</w:t>
      </w:r>
      <w:r>
        <w:rPr>
          <w:rFonts w:ascii="Arial" w:cs="Arial" w:eastAsia="Arial" w:hAnsi="Arial"/>
          <w:sz w:val="14"/>
          <w:szCs w:val="14"/>
          <w:color w:val="auto"/>
        </w:rPr>
        <w:t>Based Net Expansion Rate of 123% for the three months ended June 30, 2022. The increase in usage was also attributable to a 15% increase in the number of Active Customer Accounts, from over 240,000 as of June 30, 2021, to over 275,000 as of June 30, 2022.</w:t>
      </w:r>
    </w:p>
    <w:p>
      <w:pPr>
        <w:spacing w:after="0" w:line="153" w:lineRule="exact"/>
        <w:rPr>
          <w:sz w:val="20"/>
          <w:szCs w:val="20"/>
          <w:color w:val="auto"/>
        </w:rPr>
      </w:pPr>
    </w:p>
    <w:p>
      <w:pPr>
        <w:ind w:right="40" w:firstLine="365"/>
        <w:spacing w:after="0" w:line="302" w:lineRule="auto"/>
        <w:rPr>
          <w:sz w:val="20"/>
          <w:szCs w:val="20"/>
          <w:color w:val="auto"/>
        </w:rPr>
      </w:pPr>
      <w:r>
        <w:rPr>
          <w:rFonts w:ascii="Arial" w:cs="Arial" w:eastAsia="Arial" w:hAnsi="Arial"/>
          <w:sz w:val="12"/>
          <w:szCs w:val="12"/>
          <w:color w:val="auto"/>
        </w:rPr>
        <w:t>In the three months ended June 30, 2022, U.S. revenue and international revenue represented $616.3 million or 65%, and $327.0 million, or 35%, respectively, of our total revenue. In the three months ended June 30, 2021, U.S. revenue and international revenue represented $452.9 million, or 68%, and $216.0 million, or 32%, respectively, of total revenue. The increase in international revenue was attributable to the growth in usage of our products, particularly our Programmable Messaging products, by our existing international customers; a 15% increase in the number of international Active Customer Accounts driven in part by our focus on expanding our sales to customers outside of the United States; and revenue contribution from our recent acquisitions.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Cost of Revenue and Gross Margin</w:t>
      </w:r>
    </w:p>
    <w:p>
      <w:pPr>
        <w:spacing w:after="0" w:line="259" w:lineRule="exact"/>
        <w:rPr>
          <w:sz w:val="20"/>
          <w:szCs w:val="20"/>
          <w:color w:val="auto"/>
        </w:rPr>
      </w:pPr>
    </w:p>
    <w:tbl>
      <w:tblPr>
        <w:tblLayout w:type="fixed"/>
        <w:tblInd w:w="1880" w:type="dxa"/>
        <w:tblCellMar>
          <w:top w:w="0" w:type="dxa"/>
          <w:left w:w="0" w:type="dxa"/>
          <w:bottom w:w="0" w:type="dxa"/>
          <w:right w:w="0" w:type="dxa"/>
        </w:tblCellMar>
      </w:tblPr>
      <w:tr>
        <w:trPr>
          <w:trHeight w:val="140"/>
        </w:trPr>
        <w:tc>
          <w:tcPr>
            <w:tcW w:w="8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w w:val="89"/>
              </w:rPr>
              <w:t>Three Months Ended June 30,</w:t>
            </w:r>
          </w:p>
        </w:tc>
        <w:tc>
          <w:tcPr>
            <w:tcW w:w="7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b w:val="1"/>
                <w:bCs w:val="1"/>
                <w:color w:val="auto"/>
              </w:rPr>
              <w:t>2022</w:t>
            </w:r>
          </w:p>
        </w:tc>
        <w:tc>
          <w:tcPr>
            <w:tcW w:w="1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w w:val="89"/>
              </w:rPr>
              <w:t>Change</w:t>
            </w:r>
          </w:p>
        </w:tc>
        <w:tc>
          <w:tcPr>
            <w:tcW w:w="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80" w:type="dxa"/>
            <w:vAlign w:val="bottom"/>
          </w:tcPr>
          <w:p>
            <w:pPr>
              <w:jc w:val="center"/>
              <w:ind w:left="3"/>
              <w:spacing w:after="0"/>
              <w:rPr>
                <w:sz w:val="20"/>
                <w:szCs w:val="20"/>
                <w:color w:val="auto"/>
              </w:rPr>
            </w:pPr>
            <w:r>
              <w:rPr>
                <w:rFonts w:ascii="Arial" w:cs="Arial" w:eastAsia="Arial" w:hAnsi="Arial"/>
                <w:sz w:val="11"/>
                <w:szCs w:val="11"/>
                <w:color w:val="auto"/>
                <w:w w:val="89"/>
              </w:rPr>
              <w:t>(Dollars in thousands)</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shd w:val="clear" w:color="auto" w:fill="CCEEFF"/>
          </w:tcPr>
          <w:p>
            <w:pPr>
              <w:ind w:left="500"/>
              <w:spacing w:after="0" w:line="128" w:lineRule="exact"/>
              <w:rPr>
                <w:sz w:val="20"/>
                <w:szCs w:val="20"/>
                <w:color w:val="auto"/>
              </w:rPr>
            </w:pPr>
            <w:r>
              <w:rPr>
                <w:rFonts w:ascii="Arial" w:cs="Arial" w:eastAsia="Arial" w:hAnsi="Arial"/>
                <w:sz w:val="12"/>
                <w:szCs w:val="12"/>
                <w:color w:val="auto"/>
              </w:rPr>
              <w:t>Cost</w:t>
            </w:r>
          </w:p>
        </w:tc>
        <w:tc>
          <w:tcPr>
            <w:tcW w:w="82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498,065</w:t>
            </w:r>
          </w:p>
        </w:tc>
        <w:tc>
          <w:tcPr>
            <w:tcW w:w="1580" w:type="dxa"/>
            <w:vAlign w:val="bottom"/>
            <w:vMerge w:val="restart"/>
            <w:shd w:val="clear" w:color="auto" w:fill="CCEEFF"/>
          </w:tcPr>
          <w:p>
            <w:pPr>
              <w:jc w:val="right"/>
              <w:ind w:right="383"/>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w w:val="96"/>
              </w:rPr>
              <w:t>337,684</w:t>
            </w: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160,381</w:t>
            </w:r>
          </w:p>
        </w:tc>
        <w:tc>
          <w:tcPr>
            <w:tcW w:w="1000" w:type="dxa"/>
            <w:vAlign w:val="bottom"/>
            <w:vMerge w:val="restart"/>
            <w:shd w:val="clear" w:color="auto" w:fill="CCEEFF"/>
          </w:tcPr>
          <w:p>
            <w:pPr>
              <w:jc w:val="right"/>
              <w:ind w:right="203"/>
              <w:spacing w:after="0"/>
              <w:rPr>
                <w:sz w:val="20"/>
                <w:szCs w:val="20"/>
                <w:color w:val="auto"/>
              </w:rPr>
            </w:pPr>
            <w:r>
              <w:rPr>
                <w:rFonts w:ascii="Arial" w:cs="Arial" w:eastAsia="Arial" w:hAnsi="Arial"/>
                <w:sz w:val="12"/>
                <w:szCs w:val="12"/>
                <w:color w:val="auto"/>
              </w:rPr>
              <w:t>47</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 revenue</w:t>
            </w:r>
          </w:p>
        </w:tc>
        <w:tc>
          <w:tcPr>
            <w:tcW w:w="8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58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80" w:type="dxa"/>
            <w:vAlign w:val="bottom"/>
          </w:tcPr>
          <w:p>
            <w:pPr>
              <w:ind w:left="500"/>
              <w:spacing w:after="0" w:line="125" w:lineRule="exact"/>
              <w:rPr>
                <w:sz w:val="20"/>
                <w:szCs w:val="20"/>
                <w:color w:val="auto"/>
              </w:rPr>
            </w:pPr>
            <w:r>
              <w:rPr>
                <w:rFonts w:ascii="Arial" w:cs="Arial" w:eastAsia="Arial" w:hAnsi="Arial"/>
                <w:sz w:val="12"/>
                <w:szCs w:val="12"/>
                <w:color w:val="auto"/>
              </w:rPr>
              <w:t>Gross</w:t>
            </w:r>
          </w:p>
        </w:tc>
        <w:tc>
          <w:tcPr>
            <w:tcW w:w="820" w:type="dxa"/>
            <w:vAlign w:val="bottom"/>
          </w:tcPr>
          <w:p>
            <w:pPr>
              <w:spacing w:after="0"/>
              <w:rPr>
                <w:sz w:val="10"/>
                <w:szCs w:val="10"/>
                <w:color w:val="auto"/>
              </w:rPr>
            </w:pPr>
          </w:p>
        </w:tc>
        <w:tc>
          <w:tcPr>
            <w:tcW w:w="760" w:type="dxa"/>
            <w:vAlign w:val="bottom"/>
            <w:vMerge w:val="restart"/>
          </w:tcPr>
          <w:p>
            <w:pPr>
              <w:jc w:val="right"/>
              <w:ind w:right="61"/>
              <w:spacing w:after="0"/>
              <w:rPr>
                <w:sz w:val="20"/>
                <w:szCs w:val="20"/>
                <w:color w:val="auto"/>
              </w:rPr>
            </w:pPr>
            <w:r>
              <w:rPr>
                <w:rFonts w:ascii="Arial" w:cs="Arial" w:eastAsia="Arial" w:hAnsi="Arial"/>
                <w:sz w:val="12"/>
                <w:szCs w:val="12"/>
                <w:color w:val="auto"/>
              </w:rPr>
              <w:t>47</w:t>
            </w:r>
          </w:p>
        </w:tc>
        <w:tc>
          <w:tcPr>
            <w:tcW w:w="1580" w:type="dxa"/>
            <w:vAlign w:val="bottom"/>
            <w:vMerge w:val="restart"/>
          </w:tcPr>
          <w:p>
            <w:pPr>
              <w:jc w:val="right"/>
              <w:ind w:right="1023"/>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201"/>
              <w:spacing w:after="0"/>
              <w:rPr>
                <w:sz w:val="20"/>
                <w:szCs w:val="20"/>
                <w:color w:val="auto"/>
              </w:rPr>
            </w:pPr>
            <w:r>
              <w:rPr>
                <w:rFonts w:ascii="Arial" w:cs="Arial" w:eastAsia="Arial" w:hAnsi="Arial"/>
                <w:sz w:val="12"/>
                <w:szCs w:val="12"/>
                <w:color w:val="auto"/>
              </w:rPr>
              <w:t>50</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Pr>
          <w:p>
            <w:pPr>
              <w:ind w:left="20"/>
              <w:spacing w:after="0"/>
              <w:rPr>
                <w:sz w:val="20"/>
                <w:szCs w:val="20"/>
                <w:color w:val="auto"/>
              </w:rPr>
            </w:pPr>
            <w:r>
              <w:rPr>
                <w:rFonts w:ascii="Arial" w:cs="Arial" w:eastAsia="Arial" w:hAnsi="Arial"/>
                <w:sz w:val="12"/>
                <w:szCs w:val="12"/>
                <w:color w:val="auto"/>
              </w:rPr>
              <w:t>margin</w:t>
            </w:r>
          </w:p>
        </w:tc>
        <w:tc>
          <w:tcPr>
            <w:tcW w:w="8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300" w:firstLine="365"/>
        <w:spacing w:after="0" w:line="247" w:lineRule="auto"/>
        <w:rPr>
          <w:sz w:val="20"/>
          <w:szCs w:val="20"/>
          <w:color w:val="auto"/>
        </w:rPr>
      </w:pPr>
      <w:r>
        <w:rPr>
          <w:rFonts w:ascii="Arial" w:cs="Arial" w:eastAsia="Arial" w:hAnsi="Arial"/>
          <w:sz w:val="14"/>
          <w:szCs w:val="14"/>
          <w:color w:val="auto"/>
        </w:rPr>
        <w:t>In the three months ended June 30, 2022, cost of revenue increased by $160.4 million, or 47%, compared to the same period last year. The increase in cost of revenue was primarily attributable to a $128.9 million increase in network service providers’ costs, which included the additional A2P fees imposed by certain carriers, and a $9.8 million increase in cloud infrastructure fees, all to support the growth in usage of our products. The increase was also due to a $5.0 million increase in the amortization expense of intangible assets that we acquired through business combinations and partially due to increases in cost of revenue from our recent acquisitions.</w:t>
      </w:r>
    </w:p>
    <w:p>
      <w:pPr>
        <w:spacing w:after="0" w:line="149" w:lineRule="exact"/>
        <w:rPr>
          <w:sz w:val="20"/>
          <w:szCs w:val="20"/>
          <w:color w:val="auto"/>
        </w:rPr>
      </w:pPr>
    </w:p>
    <w:p>
      <w:pPr>
        <w:jc w:val="both"/>
        <w:ind w:firstLine="365"/>
        <w:spacing w:after="0" w:line="250" w:lineRule="auto"/>
        <w:rPr>
          <w:sz w:val="20"/>
          <w:szCs w:val="20"/>
          <w:color w:val="auto"/>
        </w:rPr>
      </w:pPr>
      <w:r>
        <w:rPr>
          <w:rFonts w:ascii="Arial" w:cs="Arial" w:eastAsia="Arial" w:hAnsi="Arial"/>
          <w:sz w:val="14"/>
          <w:szCs w:val="14"/>
          <w:color w:val="auto"/>
        </w:rPr>
        <w:t>In the three months ended June 30, 2022, the gross margin percentage declined compared to the same period last year. This decline was primarily driven by continued strong growth of our lower margin international messaging business and the additional A2P fees imposed by certain carriers, which we pass to our customers at cost. The decline was also due to an increase in amortization expense related to our acquired intangible assets. These declines were partially offset by certain operational improvements.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59" w:lineRule="exact"/>
        <w:rPr>
          <w:sz w:val="20"/>
          <w:szCs w:val="20"/>
          <w:color w:val="auto"/>
        </w:rPr>
      </w:pPr>
    </w:p>
    <w:tbl>
      <w:tblPr>
        <w:tblLayout w:type="fixed"/>
        <w:tblInd w:w="2380" w:type="dxa"/>
        <w:tblCellMar>
          <w:top w:w="0" w:type="dxa"/>
          <w:left w:w="0" w:type="dxa"/>
          <w:bottom w:w="0" w:type="dxa"/>
          <w:right w:w="0" w:type="dxa"/>
        </w:tblCellMar>
      </w:tblPr>
      <w:tr>
        <w:trPr>
          <w:trHeight w:val="140"/>
        </w:trPr>
        <w:tc>
          <w:tcPr>
            <w:tcW w:w="10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Three Months Ended June 30,</w:t>
            </w: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2022</w:t>
            </w: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1"/>
                <w:szCs w:val="11"/>
                <w:b w:val="1"/>
                <w:bCs w:val="1"/>
                <w:color w:val="auto"/>
                <w:w w:val="84"/>
              </w:rPr>
              <w:t>Change</w:t>
            </w:r>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jc w:val="right"/>
              <w:ind w:right="199"/>
              <w:spacing w:after="0"/>
              <w:rPr>
                <w:sz w:val="20"/>
                <w:szCs w:val="20"/>
                <w:color w:val="auto"/>
              </w:rPr>
            </w:pPr>
            <w:r>
              <w:rPr>
                <w:rFonts w:ascii="Arial" w:cs="Arial" w:eastAsia="Arial" w:hAnsi="Arial"/>
                <w:sz w:val="11"/>
                <w:szCs w:val="11"/>
                <w:color w:val="auto"/>
              </w:rPr>
              <w:t>(Dollars in thousands)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ind w:left="500"/>
              <w:spacing w:after="0" w:line="128" w:lineRule="exact"/>
              <w:rPr>
                <w:sz w:val="20"/>
                <w:szCs w:val="20"/>
                <w:color w:val="auto"/>
              </w:rPr>
            </w:pPr>
            <w:r>
              <w:rPr>
                <w:rFonts w:ascii="Arial" w:cs="Arial" w:eastAsia="Arial" w:hAnsi="Arial"/>
                <w:sz w:val="12"/>
                <w:szCs w:val="12"/>
                <w:color w:val="auto"/>
              </w:rPr>
              <w:t>Research</w:t>
            </w:r>
          </w:p>
        </w:tc>
        <w:tc>
          <w:tcPr>
            <w:tcW w:w="720" w:type="dxa"/>
            <w:vAlign w:val="bottom"/>
            <w:vMerge w:val="restart"/>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279,641</w:t>
            </w:r>
          </w:p>
        </w:tc>
        <w:tc>
          <w:tcPr>
            <w:tcW w:w="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181,280</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98,361</w:t>
            </w: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54</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and development</w:t>
            </w:r>
          </w:p>
        </w:tc>
        <w:tc>
          <w:tcPr>
            <w:tcW w:w="7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040" w:type="dxa"/>
            <w:vAlign w:val="bottom"/>
          </w:tcPr>
          <w:p>
            <w:pPr>
              <w:ind w:left="500"/>
              <w:spacing w:after="0" w:line="125" w:lineRule="exact"/>
              <w:rPr>
                <w:sz w:val="20"/>
                <w:szCs w:val="20"/>
                <w:color w:val="auto"/>
              </w:rPr>
            </w:pPr>
            <w:r>
              <w:rPr>
                <w:rFonts w:ascii="Arial" w:cs="Arial" w:eastAsia="Arial" w:hAnsi="Arial"/>
                <w:sz w:val="12"/>
                <w:szCs w:val="12"/>
                <w:color w:val="auto"/>
              </w:rPr>
              <w:t>Sales</w:t>
            </w:r>
          </w:p>
        </w:tc>
        <w:tc>
          <w:tcPr>
            <w:tcW w:w="720" w:type="dxa"/>
            <w:vAlign w:val="bottom"/>
          </w:tcPr>
          <w:p>
            <w:pPr>
              <w:spacing w:after="0"/>
              <w:rPr>
                <w:sz w:val="10"/>
                <w:szCs w:val="10"/>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334,958</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238,058</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96,900</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41</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1040" w:type="dxa"/>
            <w:vAlign w:val="bottom"/>
          </w:tcPr>
          <w:p>
            <w:pPr>
              <w:spacing w:after="0"/>
              <w:rPr>
                <w:sz w:val="20"/>
                <w:szCs w:val="20"/>
                <w:color w:val="auto"/>
              </w:rPr>
            </w:pPr>
            <w:r>
              <w:rPr>
                <w:rFonts w:ascii="Arial" w:cs="Arial" w:eastAsia="Arial" w:hAnsi="Arial"/>
                <w:sz w:val="12"/>
                <w:szCs w:val="12"/>
                <w:color w:val="auto"/>
              </w:rPr>
              <w:t>and marketing</w:t>
            </w:r>
          </w:p>
        </w:tc>
        <w:tc>
          <w:tcPr>
            <w:tcW w:w="7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040" w:type="dxa"/>
            <w:vAlign w:val="bottom"/>
            <w:shd w:val="clear" w:color="auto" w:fill="CCEEFF"/>
          </w:tcPr>
          <w:p>
            <w:pPr>
              <w:ind w:left="500"/>
              <w:spacing w:after="0" w:line="128" w:lineRule="exact"/>
              <w:rPr>
                <w:sz w:val="20"/>
                <w:szCs w:val="20"/>
                <w:color w:val="auto"/>
              </w:rPr>
            </w:pPr>
            <w:r>
              <w:rPr>
                <w:rFonts w:ascii="Arial" w:cs="Arial" w:eastAsia="Arial" w:hAnsi="Arial"/>
                <w:sz w:val="12"/>
                <w:szCs w:val="12"/>
                <w:color w:val="auto"/>
              </w:rPr>
              <w:t>General</w:t>
            </w:r>
          </w:p>
        </w:tc>
        <w:tc>
          <w:tcPr>
            <w:tcW w:w="7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142,626</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114,183</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28,443</w:t>
            </w: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25</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and administrative</w:t>
            </w:r>
          </w:p>
        </w:tc>
        <w:tc>
          <w:tcPr>
            <w:tcW w:w="7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40" w:type="dxa"/>
            <w:vAlign w:val="bottom"/>
          </w:tcPr>
          <w:p>
            <w:pPr>
              <w:ind w:left="640"/>
              <w:spacing w:after="0" w:line="105" w:lineRule="exact"/>
              <w:rPr>
                <w:sz w:val="20"/>
                <w:szCs w:val="20"/>
                <w:color w:val="auto"/>
              </w:rPr>
            </w:pPr>
            <w:r>
              <w:rPr>
                <w:rFonts w:ascii="Arial" w:cs="Arial" w:eastAsia="Arial" w:hAnsi="Arial"/>
                <w:sz w:val="12"/>
                <w:szCs w:val="12"/>
                <w:color w:val="auto"/>
              </w:rPr>
              <w:t>Total</w:t>
            </w:r>
          </w:p>
        </w:tc>
        <w:tc>
          <w:tcPr>
            <w:tcW w:w="7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40" w:type="dxa"/>
            <w:vAlign w:val="bottom"/>
          </w:tcPr>
          <w:p>
            <w:pPr>
              <w:ind w:left="160"/>
              <w:spacing w:after="0" w:line="122" w:lineRule="exact"/>
              <w:rPr>
                <w:sz w:val="20"/>
                <w:szCs w:val="20"/>
                <w:color w:val="auto"/>
              </w:rPr>
            </w:pPr>
            <w:r>
              <w:rPr>
                <w:rFonts w:ascii="Arial" w:cs="Arial" w:eastAsia="Arial" w:hAnsi="Arial"/>
                <w:sz w:val="12"/>
                <w:szCs w:val="12"/>
                <w:color w:val="auto"/>
              </w:rPr>
              <w:t>operating</w:t>
            </w:r>
          </w:p>
        </w:tc>
        <w:tc>
          <w:tcPr>
            <w:tcW w:w="7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757,225</w:t>
            </w:r>
          </w:p>
        </w:tc>
        <w:tc>
          <w:tcPr>
            <w:tcW w:w="60" w:type="dxa"/>
            <w:vAlign w:val="bottom"/>
          </w:tcPr>
          <w:p>
            <w:pPr>
              <w:spacing w:after="0"/>
              <w:rPr>
                <w:sz w:val="10"/>
                <w:szCs w:val="10"/>
                <w:color w:val="auto"/>
              </w:rPr>
            </w:pPr>
          </w:p>
        </w:tc>
        <w:tc>
          <w:tcPr>
            <w:tcW w:w="7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533,521</w:t>
            </w:r>
          </w:p>
        </w:tc>
        <w:tc>
          <w:tcPr>
            <w:tcW w:w="80" w:type="dxa"/>
            <w:vAlign w:val="bottom"/>
          </w:tcPr>
          <w:p>
            <w:pPr>
              <w:spacing w:after="0"/>
              <w:rPr>
                <w:sz w:val="10"/>
                <w:szCs w:val="10"/>
                <w:color w:val="auto"/>
              </w:rPr>
            </w:pPr>
          </w:p>
        </w:tc>
        <w:tc>
          <w:tcPr>
            <w:tcW w:w="820" w:type="dxa"/>
            <w:vAlign w:val="bottom"/>
            <w:vMerge w:val="restart"/>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223,704</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42</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040" w:type="dxa"/>
            <w:vAlign w:val="bottom"/>
          </w:tcPr>
          <w:p>
            <w:pPr>
              <w:ind w:left="160"/>
              <w:spacing w:after="0"/>
              <w:rPr>
                <w:sz w:val="20"/>
                <w:szCs w:val="20"/>
                <w:color w:val="auto"/>
              </w:rPr>
            </w:pPr>
            <w:r>
              <w:rPr>
                <w:rFonts w:ascii="Arial" w:cs="Arial" w:eastAsia="Arial" w:hAnsi="Arial"/>
                <w:sz w:val="12"/>
                <w:szCs w:val="12"/>
                <w:color w:val="auto"/>
              </w:rPr>
              <w:t>expenses</w:t>
            </w:r>
          </w:p>
        </w:tc>
        <w:tc>
          <w:tcPr>
            <w:tcW w:w="7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40" w:firstLine="365"/>
        <w:spacing w:after="0" w:line="250" w:lineRule="auto"/>
        <w:rPr>
          <w:sz w:val="20"/>
          <w:szCs w:val="20"/>
          <w:color w:val="auto"/>
        </w:rPr>
      </w:pPr>
      <w:r>
        <w:rPr>
          <w:rFonts w:ascii="Arial" w:cs="Arial" w:eastAsia="Arial" w:hAnsi="Arial"/>
          <w:sz w:val="14"/>
          <w:szCs w:val="14"/>
          <w:color w:val="auto"/>
        </w:rPr>
        <w:t>In the three months ended June 30, 2022, research and development expenses increased by $98.4 million, or 54%, compared to the same period last year. The increase was primarily attributable to a $91.0 million increase in personnel costs, largely as a result of a 40% average increase in our research and development headcount, as we continued to focus on enhancing our Twilio Segment and Flex products and strengthening our platform infrastructure.</w:t>
      </w:r>
    </w:p>
    <w:p>
      <w:pPr>
        <w:spacing w:after="0" w:line="146"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In the three months ended June 30, 2022, sales and marketing expenses increased by $96.9 million, or 41%, compared to the same period last year. The increase was primarily attributable to a</w:t>
      </w:r>
    </w:p>
    <w:p>
      <w:pPr>
        <w:spacing w:after="0" w:line="35"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$78.7 million increase in personnel costs, largely as a result of a 41% average increase in sales and marketing headcount, as we continued to expand our sales efforts globally, and a $3.4 million increase in advertising expenses.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 the three months ended June 30, 2022, general and administrative expenses increased by $28.4 million, or 25%, compared to the same period last year. The increase was primarily attributable to a</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$29.2 million increase in personnel costs, largely as a result of a 44% average increase in general and administrative headcount, to support the growth of our business globally. This increase was partially offset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by a $4.4 million decrease in charitable contributions that we made through Twilio.org.</w:t>
      </w:r>
    </w:p>
    <w:p>
      <w:pPr>
        <w:spacing w:after="0" w:line="152"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Comparison of the Six Months Ended June 30, 2022 and 2021</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Revenue</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40"/>
        </w:trPr>
        <w:tc>
          <w:tcPr>
            <w:tcW w:w="2440" w:type="dxa"/>
            <w:vAlign w:val="bottom"/>
          </w:tcPr>
          <w:p>
            <w:pPr>
              <w:spacing w:after="0"/>
              <w:rPr>
                <w:sz w:val="12"/>
                <w:szCs w:val="12"/>
                <w:color w:val="auto"/>
              </w:rPr>
            </w:pPr>
          </w:p>
        </w:tc>
        <w:tc>
          <w:tcPr>
            <w:tcW w:w="3220" w:type="dxa"/>
            <w:vAlign w:val="bottom"/>
            <w:gridSpan w:val="3"/>
          </w:tcPr>
          <w:p>
            <w:pPr>
              <w:ind w:left="980"/>
              <w:spacing w:after="0"/>
              <w:rPr>
                <w:sz w:val="20"/>
                <w:szCs w:val="20"/>
                <w:color w:val="auto"/>
              </w:rPr>
            </w:pPr>
            <w:r>
              <w:rPr>
                <w:rFonts w:ascii="Arial" w:cs="Arial" w:eastAsia="Arial" w:hAnsi="Arial"/>
                <w:sz w:val="11"/>
                <w:szCs w:val="11"/>
                <w:b w:val="1"/>
                <w:bCs w:val="1"/>
                <w:color w:val="auto"/>
              </w:rPr>
              <w:t>Six Months Ended June 30,</w:t>
            </w: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0"/>
        </w:trPr>
        <w:tc>
          <w:tcPr>
            <w:tcW w:w="2440" w:type="dxa"/>
            <w:vAlign w:val="bottom"/>
          </w:tcPr>
          <w:p>
            <w:pPr>
              <w:spacing w:after="0"/>
              <w:rPr>
                <w:sz w:val="12"/>
                <w:szCs w:val="12"/>
                <w:color w:val="auto"/>
              </w:rPr>
            </w:pPr>
          </w:p>
        </w:tc>
        <w:tc>
          <w:tcPr>
            <w:tcW w:w="15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1"/>
                <w:szCs w:val="11"/>
                <w:b w:val="1"/>
                <w:bCs w:val="1"/>
                <w:color w:val="auto"/>
              </w:rPr>
              <w:t>2022</w:t>
            </w:r>
          </w:p>
        </w:tc>
        <w:tc>
          <w:tcPr>
            <w:tcW w:w="124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w w:val="94"/>
              </w:rPr>
              <w:t>Change</w:t>
            </w:r>
          </w:p>
        </w:tc>
      </w:tr>
      <w:tr>
        <w:trPr>
          <w:trHeight w:val="130"/>
        </w:trPr>
        <w:tc>
          <w:tcPr>
            <w:tcW w:w="2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20" w:type="dxa"/>
            <w:vAlign w:val="bottom"/>
            <w:gridSpan w:val="2"/>
          </w:tcPr>
          <w:p>
            <w:pPr>
              <w:ind w:left="640"/>
              <w:spacing w:after="0"/>
              <w:rPr>
                <w:sz w:val="20"/>
                <w:szCs w:val="20"/>
                <w:color w:val="auto"/>
              </w:rPr>
            </w:pPr>
            <w:r>
              <w:rPr>
                <w:rFonts w:ascii="Arial" w:cs="Arial" w:eastAsia="Arial" w:hAnsi="Arial"/>
                <w:sz w:val="11"/>
                <w:szCs w:val="11"/>
                <w:color w:val="auto"/>
                <w:w w:val="99"/>
              </w:rPr>
              <w:t>(Dollars in thousands)</w:t>
            </w: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65"/>
        </w:trPr>
        <w:tc>
          <w:tcPr>
            <w:tcW w:w="24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Total Revenue</w:t>
            </w:r>
          </w:p>
        </w:tc>
        <w:tc>
          <w:tcPr>
            <w:tcW w:w="1500" w:type="dxa"/>
            <w:vAlign w:val="bottom"/>
            <w:shd w:val="clear" w:color="auto" w:fill="CCEEFF"/>
          </w:tcPr>
          <w:p>
            <w:pPr>
              <w:jc w:val="right"/>
              <w:ind w:right="404"/>
              <w:spacing w:after="0"/>
              <w:rPr>
                <w:sz w:val="20"/>
                <w:szCs w:val="20"/>
                <w:color w:val="auto"/>
              </w:rPr>
            </w:pPr>
            <w:r>
              <w:rPr>
                <w:rFonts w:ascii="Arial" w:cs="Arial" w:eastAsia="Arial" w:hAnsi="Arial"/>
                <w:sz w:val="12"/>
                <w:szCs w:val="12"/>
                <w:color w:val="auto"/>
              </w:rPr>
              <w:t>$1,818,717</w:t>
            </w:r>
          </w:p>
        </w:tc>
        <w:tc>
          <w:tcPr>
            <w:tcW w:w="124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$1,258,919</w:t>
            </w:r>
          </w:p>
        </w:tc>
        <w:tc>
          <w:tcPr>
            <w:tcW w:w="4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$559,798</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r>
    </w:tbl>
    <w:p>
      <w:pPr>
        <w:spacing w:after="0" w:line="223" w:lineRule="exact"/>
        <w:rPr>
          <w:sz w:val="20"/>
          <w:szCs w:val="20"/>
          <w:color w:val="auto"/>
        </w:rPr>
      </w:pPr>
    </w:p>
    <w:p>
      <w:pPr>
        <w:ind w:firstLine="365"/>
        <w:spacing w:after="0" w:line="165" w:lineRule="exact"/>
        <w:rPr>
          <w:sz w:val="20"/>
          <w:szCs w:val="20"/>
          <w:color w:val="auto"/>
        </w:rPr>
      </w:pPr>
      <w:r>
        <w:rPr>
          <w:rFonts w:ascii="Arial" w:cs="Arial" w:eastAsia="Arial" w:hAnsi="Arial"/>
          <w:sz w:val="14"/>
          <w:szCs w:val="14"/>
          <w:color w:val="auto"/>
        </w:rPr>
        <w:t>In the six months ended June 30, 2022, total revenue increased by $559.8 million, or 44%, compared to the same period last year. This increase was primarily attributable to an increase in the usage of our products, particularly our Programmable Messaging, Programmable Voice, Email and Software products; the adoption of additional products by our existing customers; the additional A2P fees imposed by certain carriers; and revenue contributions from our acquisition of Zipwhip and other businesses. The change in usage from our existing customers was reflected in our Dollar</w:t>
      </w:r>
      <w:r>
        <w:rPr>
          <w:rFonts w:ascii="MS PGothic" w:cs="MS PGothic" w:eastAsia="MS PGothic" w:hAnsi="MS PGothic"/>
          <w:sz w:val="14"/>
          <w:szCs w:val="14"/>
          <w:color w:val="auto"/>
        </w:rPr>
        <w:t>‑</w:t>
      </w:r>
      <w:r>
        <w:rPr>
          <w:rFonts w:ascii="Arial" w:cs="Arial" w:eastAsia="Arial" w:hAnsi="Arial"/>
          <w:sz w:val="14"/>
          <w:szCs w:val="14"/>
          <w:color w:val="auto"/>
        </w:rPr>
        <w:t>Based Net Expansion Rate of 125% for the six months ended June 30, 2022. The increase in usage was also attributable to a 15% increase in the number of Active Customer Accounts, from over 240,000 as of June 30, 2021, to over 275,000 as of June 30, 2022.</w:t>
      </w:r>
    </w:p>
    <w:p>
      <w:pPr>
        <w:spacing w:after="0" w:line="153" w:lineRule="exact"/>
        <w:rPr>
          <w:sz w:val="20"/>
          <w:szCs w:val="20"/>
          <w:color w:val="auto"/>
        </w:rPr>
      </w:pPr>
    </w:p>
    <w:p>
      <w:pPr>
        <w:ind w:right="80" w:firstLine="365"/>
        <w:spacing w:after="0" w:line="302" w:lineRule="auto"/>
        <w:rPr>
          <w:sz w:val="20"/>
          <w:szCs w:val="20"/>
          <w:color w:val="auto"/>
        </w:rPr>
      </w:pPr>
      <w:r>
        <w:rPr>
          <w:rFonts w:ascii="Arial" w:cs="Arial" w:eastAsia="Arial" w:hAnsi="Arial"/>
          <w:sz w:val="12"/>
          <w:szCs w:val="12"/>
          <w:color w:val="auto"/>
        </w:rPr>
        <w:t>In the six months ended June 30, 2022, U.S. revenue and international revenue represented $1.2 billion or 65%, and $632.0 million, or 35%, respectively, of total revenue. In the six months ended June 30, 2021, U.S. revenue and international revenue represented $874.4 million, or 69%, and $384.5 million, or 31%, respectively, of total revenue. The increase in international revenue was attributable to the growth in usage of our products, particularly our Programmable Messaging products, by our existing international customers; a 15% increase in the number of international Active Customer Accounts driven in part by our focus on expanding our sales to customers outside of the United States; and revenue contribution from our recent acquisitions.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Cost of Revenue and Gross Margin</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40"/>
        </w:trPr>
        <w:tc>
          <w:tcPr>
            <w:tcW w:w="8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89"/>
              </w:rPr>
              <w:t>Six Months Ended June 30, 2022</w:t>
            </w:r>
          </w:p>
        </w:tc>
        <w:tc>
          <w:tcPr>
            <w:tcW w:w="6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b w:val="1"/>
                <w:bCs w:val="1"/>
                <w:color w:val="auto"/>
              </w:rPr>
              <w:t>2022</w:t>
            </w:r>
          </w:p>
        </w:tc>
        <w:tc>
          <w:tcPr>
            <w:tcW w:w="1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w w:val="89"/>
              </w:rPr>
              <w:t>Change</w:t>
            </w:r>
          </w:p>
        </w:tc>
        <w:tc>
          <w:tcPr>
            <w:tcW w:w="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jc w:val="center"/>
              <w:ind w:left="23"/>
              <w:spacing w:after="0"/>
              <w:rPr>
                <w:sz w:val="20"/>
                <w:szCs w:val="20"/>
                <w:color w:val="auto"/>
              </w:rPr>
            </w:pPr>
            <w:r>
              <w:rPr>
                <w:rFonts w:ascii="Arial" w:cs="Arial" w:eastAsia="Arial" w:hAnsi="Arial"/>
                <w:sz w:val="11"/>
                <w:szCs w:val="11"/>
                <w:color w:val="auto"/>
                <w:w w:val="89"/>
              </w:rPr>
              <w:t>(Dollars in thousands)</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shd w:val="clear" w:color="auto" w:fill="CCEEFF"/>
          </w:tcPr>
          <w:p>
            <w:pPr>
              <w:ind w:left="500"/>
              <w:spacing w:after="0" w:line="128" w:lineRule="exact"/>
              <w:rPr>
                <w:sz w:val="20"/>
                <w:szCs w:val="20"/>
                <w:color w:val="auto"/>
              </w:rPr>
            </w:pPr>
            <w:r>
              <w:rPr>
                <w:rFonts w:ascii="Arial" w:cs="Arial" w:eastAsia="Arial" w:hAnsi="Arial"/>
                <w:sz w:val="12"/>
                <w:szCs w:val="12"/>
                <w:color w:val="auto"/>
              </w:rPr>
              <w:t>Cost</w:t>
            </w:r>
          </w:p>
        </w:tc>
        <w:tc>
          <w:tcPr>
            <w:tcW w:w="800" w:type="dxa"/>
            <w:vAlign w:val="bottom"/>
            <w:vMerge w:val="restart"/>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948,357</w:t>
            </w:r>
          </w:p>
        </w:tc>
        <w:tc>
          <w:tcPr>
            <w:tcW w:w="1640" w:type="dxa"/>
            <w:vAlign w:val="bottom"/>
            <w:vMerge w:val="restart"/>
            <w:shd w:val="clear" w:color="auto" w:fill="CCEEFF"/>
          </w:tcPr>
          <w:p>
            <w:pPr>
              <w:jc w:val="right"/>
              <w:ind w:right="403"/>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w w:val="92"/>
              </w:rPr>
              <w:t>629,368</w:t>
            </w: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318,989</w:t>
            </w:r>
          </w:p>
        </w:tc>
        <w:tc>
          <w:tcPr>
            <w:tcW w:w="1000" w:type="dxa"/>
            <w:vAlign w:val="bottom"/>
            <w:vMerge w:val="restart"/>
            <w:shd w:val="clear" w:color="auto" w:fill="CCEEFF"/>
          </w:tcPr>
          <w:p>
            <w:pPr>
              <w:jc w:val="right"/>
              <w:ind w:right="223"/>
              <w:spacing w:after="0"/>
              <w:rPr>
                <w:sz w:val="20"/>
                <w:szCs w:val="20"/>
                <w:color w:val="auto"/>
              </w:rPr>
            </w:pPr>
            <w:r>
              <w:rPr>
                <w:rFonts w:ascii="Arial" w:cs="Arial" w:eastAsia="Arial" w:hAnsi="Arial"/>
                <w:sz w:val="12"/>
                <w:szCs w:val="12"/>
                <w:color w:val="auto"/>
              </w:rPr>
              <w:t>51</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 revenue</w:t>
            </w:r>
          </w:p>
        </w:tc>
        <w:tc>
          <w:tcPr>
            <w:tcW w:w="80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64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80" w:type="dxa"/>
            <w:vAlign w:val="bottom"/>
          </w:tcPr>
          <w:p>
            <w:pPr>
              <w:ind w:left="500"/>
              <w:spacing w:after="0" w:line="125" w:lineRule="exact"/>
              <w:rPr>
                <w:sz w:val="20"/>
                <w:szCs w:val="20"/>
                <w:color w:val="auto"/>
              </w:rPr>
            </w:pPr>
            <w:r>
              <w:rPr>
                <w:rFonts w:ascii="Arial" w:cs="Arial" w:eastAsia="Arial" w:hAnsi="Arial"/>
                <w:sz w:val="12"/>
                <w:szCs w:val="12"/>
                <w:color w:val="auto"/>
              </w:rPr>
              <w:t>Gross</w:t>
            </w:r>
          </w:p>
        </w:tc>
        <w:tc>
          <w:tcPr>
            <w:tcW w:w="800" w:type="dxa"/>
            <w:vAlign w:val="bottom"/>
          </w:tcPr>
          <w:p>
            <w:pPr>
              <w:spacing w:after="0"/>
              <w:rPr>
                <w:sz w:val="10"/>
                <w:szCs w:val="10"/>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2"/>
                <w:szCs w:val="12"/>
                <w:color w:val="auto"/>
              </w:rPr>
              <w:t>48</w:t>
            </w:r>
          </w:p>
        </w:tc>
        <w:tc>
          <w:tcPr>
            <w:tcW w:w="1640" w:type="dxa"/>
            <w:vAlign w:val="bottom"/>
            <w:vMerge w:val="restart"/>
          </w:tcPr>
          <w:p>
            <w:pPr>
              <w:jc w:val="right"/>
              <w:ind w:right="1043"/>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201"/>
              <w:spacing w:after="0"/>
              <w:rPr>
                <w:sz w:val="20"/>
                <w:szCs w:val="20"/>
                <w:color w:val="auto"/>
              </w:rPr>
            </w:pPr>
            <w:r>
              <w:rPr>
                <w:rFonts w:ascii="Arial" w:cs="Arial" w:eastAsia="Arial" w:hAnsi="Arial"/>
                <w:sz w:val="12"/>
                <w:szCs w:val="12"/>
                <w:color w:val="auto"/>
              </w:rPr>
              <w:t>50</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Pr>
          <w:p>
            <w:pPr>
              <w:ind w:left="20"/>
              <w:spacing w:after="0"/>
              <w:rPr>
                <w:sz w:val="20"/>
                <w:szCs w:val="20"/>
                <w:color w:val="auto"/>
              </w:rPr>
            </w:pPr>
            <w:r>
              <w:rPr>
                <w:rFonts w:ascii="Arial" w:cs="Arial" w:eastAsia="Arial" w:hAnsi="Arial"/>
                <w:sz w:val="12"/>
                <w:szCs w:val="12"/>
                <w:color w:val="auto"/>
              </w:rPr>
              <w:t>margin</w:t>
            </w:r>
          </w:p>
        </w:tc>
        <w:tc>
          <w:tcPr>
            <w:tcW w:w="8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320" w:firstLine="365"/>
        <w:spacing w:after="0" w:line="247" w:lineRule="auto"/>
        <w:rPr>
          <w:sz w:val="20"/>
          <w:szCs w:val="20"/>
          <w:color w:val="auto"/>
        </w:rPr>
      </w:pPr>
      <w:r>
        <w:rPr>
          <w:rFonts w:ascii="Arial" w:cs="Arial" w:eastAsia="Arial" w:hAnsi="Arial"/>
          <w:sz w:val="14"/>
          <w:szCs w:val="14"/>
          <w:color w:val="auto"/>
        </w:rPr>
        <w:t>In the six months ended June 30, 2022, cost of revenue increased by $319.0 million, or 51%, compared to the same period last year. The increase in cost of revenue was primarily attributable to a $265.5 million increase in network service providers’ costs, which included the additional A2P fees imposed by certain carriers, and a $17.6 million increase in cloud infrastructure fees, all to support the growth in usage of our products. The increase was also due to a $9.3 million increase in the amortization expense of intangible assets that we acquired through business combinations and partially due to increases in cost of revenue due to our recent acquisitions.</w:t>
      </w:r>
    </w:p>
    <w:p>
      <w:pPr>
        <w:spacing w:after="0" w:line="149" w:lineRule="exact"/>
        <w:rPr>
          <w:sz w:val="20"/>
          <w:szCs w:val="20"/>
          <w:color w:val="auto"/>
        </w:rPr>
      </w:pPr>
    </w:p>
    <w:p>
      <w:pPr>
        <w:ind w:firstLine="365"/>
        <w:spacing w:after="0" w:line="250" w:lineRule="auto"/>
        <w:rPr>
          <w:sz w:val="20"/>
          <w:szCs w:val="20"/>
          <w:color w:val="auto"/>
        </w:rPr>
      </w:pPr>
      <w:r>
        <w:rPr>
          <w:rFonts w:ascii="Arial" w:cs="Arial" w:eastAsia="Arial" w:hAnsi="Arial"/>
          <w:sz w:val="14"/>
          <w:szCs w:val="14"/>
          <w:color w:val="auto"/>
        </w:rPr>
        <w:t>In the six months ended June 30, 2022, the gross margin percentage declined compared to the same period last year. This decline was primarily driven by continued strong growth of our lower margin international messaging business and the additional A2P fees imposed by certain carriers, which we pass to our customers at cost. The decline was also due to an increase in amortization expense related to our acquired intangible assets. These declines were partially offset by certain operational improvements.</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40"/>
        </w:trPr>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40" w:type="dxa"/>
            <w:vAlign w:val="bottom"/>
            <w:gridSpan w:val="6"/>
          </w:tcPr>
          <w:p>
            <w:pPr>
              <w:ind w:left="380"/>
              <w:spacing w:after="0"/>
              <w:rPr>
                <w:sz w:val="20"/>
                <w:szCs w:val="20"/>
                <w:color w:val="auto"/>
              </w:rPr>
            </w:pPr>
            <w:r>
              <w:rPr>
                <w:rFonts w:ascii="Arial" w:cs="Arial" w:eastAsia="Arial" w:hAnsi="Arial"/>
                <w:sz w:val="11"/>
                <w:szCs w:val="11"/>
                <w:b w:val="1"/>
                <w:bCs w:val="1"/>
                <w:color w:val="auto"/>
              </w:rPr>
              <w:t>Six Months Ended June 30, 2022</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rPr>
              <w:t>2022</w:t>
            </w: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1"/>
                <w:szCs w:val="11"/>
                <w:b w:val="1"/>
                <w:bCs w:val="1"/>
                <w:color w:val="auto"/>
                <w:w w:val="84"/>
              </w:rPr>
              <w:t>Change</w:t>
            </w:r>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40"/>
              <w:spacing w:after="0"/>
              <w:rPr>
                <w:sz w:val="20"/>
                <w:szCs w:val="20"/>
                <w:color w:val="auto"/>
              </w:rPr>
            </w:pPr>
            <w:r>
              <w:rPr>
                <w:rFonts w:ascii="Arial" w:cs="Arial" w:eastAsia="Arial" w:hAnsi="Arial"/>
                <w:sz w:val="11"/>
                <w:szCs w:val="11"/>
                <w:color w:val="auto"/>
                <w:w w:val="87"/>
              </w:rPr>
              <w:t>(Dollars in thousands)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ind w:left="500"/>
              <w:spacing w:after="0" w:line="128" w:lineRule="exact"/>
              <w:rPr>
                <w:sz w:val="20"/>
                <w:szCs w:val="20"/>
                <w:color w:val="auto"/>
              </w:rPr>
            </w:pPr>
            <w:r>
              <w:rPr>
                <w:rFonts w:ascii="Arial" w:cs="Arial" w:eastAsia="Arial" w:hAnsi="Arial"/>
                <w:sz w:val="12"/>
                <w:szCs w:val="12"/>
                <w:color w:val="auto"/>
              </w:rPr>
              <w:t>Research</w:t>
            </w:r>
          </w:p>
        </w:tc>
        <w:tc>
          <w:tcPr>
            <w:tcW w:w="760" w:type="dxa"/>
            <w:vAlign w:val="bottom"/>
            <w:vMerge w:val="restart"/>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520,252</w:t>
            </w:r>
          </w:p>
        </w:tc>
        <w:tc>
          <w:tcPr>
            <w:tcW w:w="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356,080</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164,172</w:t>
            </w: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46</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and development</w:t>
            </w:r>
          </w:p>
        </w:tc>
        <w:tc>
          <w:tcPr>
            <w:tcW w:w="76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040" w:type="dxa"/>
            <w:vAlign w:val="bottom"/>
          </w:tcPr>
          <w:p>
            <w:pPr>
              <w:ind w:left="500"/>
              <w:spacing w:after="0" w:line="125" w:lineRule="exact"/>
              <w:rPr>
                <w:sz w:val="20"/>
                <w:szCs w:val="20"/>
                <w:color w:val="auto"/>
              </w:rPr>
            </w:pPr>
            <w:r>
              <w:rPr>
                <w:rFonts w:ascii="Arial" w:cs="Arial" w:eastAsia="Arial" w:hAnsi="Arial"/>
                <w:sz w:val="12"/>
                <w:szCs w:val="12"/>
                <w:color w:val="auto"/>
              </w:rPr>
              <w:t>Sales</w:t>
            </w:r>
          </w:p>
        </w:tc>
        <w:tc>
          <w:tcPr>
            <w:tcW w:w="760" w:type="dxa"/>
            <w:vAlign w:val="bottom"/>
          </w:tcPr>
          <w:p>
            <w:pPr>
              <w:spacing w:after="0"/>
              <w:rPr>
                <w:sz w:val="10"/>
                <w:szCs w:val="10"/>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2"/>
                <w:szCs w:val="12"/>
                <w:color w:val="auto"/>
              </w:rPr>
              <w:t>622,864</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2"/>
                <w:szCs w:val="12"/>
                <w:color w:val="auto"/>
              </w:rPr>
              <w:t>448,648</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174,216</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39</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1040" w:type="dxa"/>
            <w:vAlign w:val="bottom"/>
          </w:tcPr>
          <w:p>
            <w:pPr>
              <w:ind w:left="20"/>
              <w:spacing w:after="0"/>
              <w:rPr>
                <w:sz w:val="20"/>
                <w:szCs w:val="20"/>
                <w:color w:val="auto"/>
              </w:rPr>
            </w:pPr>
            <w:r>
              <w:rPr>
                <w:rFonts w:ascii="Arial" w:cs="Arial" w:eastAsia="Arial" w:hAnsi="Arial"/>
                <w:sz w:val="12"/>
                <w:szCs w:val="12"/>
                <w:color w:val="auto"/>
              </w:rPr>
              <w:t>and marketing</w:t>
            </w:r>
          </w:p>
        </w:tc>
        <w:tc>
          <w:tcPr>
            <w:tcW w:w="7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040" w:type="dxa"/>
            <w:vAlign w:val="bottom"/>
            <w:shd w:val="clear" w:color="auto" w:fill="CCEEFF"/>
          </w:tcPr>
          <w:p>
            <w:pPr>
              <w:ind w:left="500"/>
              <w:spacing w:after="0" w:line="128" w:lineRule="exact"/>
              <w:rPr>
                <w:sz w:val="20"/>
                <w:szCs w:val="20"/>
                <w:color w:val="auto"/>
              </w:rPr>
            </w:pPr>
            <w:r>
              <w:rPr>
                <w:rFonts w:ascii="Arial" w:cs="Arial" w:eastAsia="Arial" w:hAnsi="Arial"/>
                <w:sz w:val="12"/>
                <w:szCs w:val="12"/>
                <w:color w:val="auto"/>
              </w:rPr>
              <w:t>General</w:t>
            </w:r>
          </w:p>
        </w:tc>
        <w:tc>
          <w:tcPr>
            <w:tcW w:w="7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256,988</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224,436</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32,552</w:t>
            </w: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15</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and administrative</w:t>
            </w:r>
          </w:p>
        </w:tc>
        <w:tc>
          <w:tcPr>
            <w:tcW w:w="7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40" w:type="dxa"/>
            <w:vAlign w:val="bottom"/>
          </w:tcPr>
          <w:p>
            <w:pPr>
              <w:ind w:left="660"/>
              <w:spacing w:after="0" w:line="105" w:lineRule="exact"/>
              <w:rPr>
                <w:sz w:val="20"/>
                <w:szCs w:val="20"/>
                <w:color w:val="auto"/>
              </w:rPr>
            </w:pPr>
            <w:r>
              <w:rPr>
                <w:rFonts w:ascii="Arial" w:cs="Arial" w:eastAsia="Arial" w:hAnsi="Arial"/>
                <w:sz w:val="12"/>
                <w:szCs w:val="12"/>
                <w:color w:val="auto"/>
              </w:rPr>
              <w:t>Total</w:t>
            </w:r>
          </w:p>
        </w:tc>
        <w:tc>
          <w:tcPr>
            <w:tcW w:w="7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40" w:type="dxa"/>
            <w:vAlign w:val="bottom"/>
          </w:tcPr>
          <w:p>
            <w:pPr>
              <w:ind w:left="180"/>
              <w:spacing w:after="0" w:line="122" w:lineRule="exact"/>
              <w:rPr>
                <w:sz w:val="20"/>
                <w:szCs w:val="20"/>
                <w:color w:val="auto"/>
              </w:rPr>
            </w:pPr>
            <w:r>
              <w:rPr>
                <w:rFonts w:ascii="Arial" w:cs="Arial" w:eastAsia="Arial" w:hAnsi="Arial"/>
                <w:sz w:val="12"/>
                <w:szCs w:val="12"/>
                <w:color w:val="auto"/>
              </w:rPr>
              <w:t>operating</w:t>
            </w:r>
          </w:p>
        </w:tc>
        <w:tc>
          <w:tcPr>
            <w:tcW w:w="760" w:type="dxa"/>
            <w:vAlign w:val="bottom"/>
            <w:vMerge w:val="restart"/>
          </w:tcPr>
          <w:p>
            <w:pPr>
              <w:jc w:val="right"/>
              <w:ind w:right="139"/>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
              <w:spacing w:after="0"/>
              <w:rPr>
                <w:sz w:val="20"/>
                <w:szCs w:val="20"/>
                <w:color w:val="auto"/>
              </w:rPr>
            </w:pPr>
            <w:r>
              <w:rPr>
                <w:rFonts w:ascii="Arial" w:cs="Arial" w:eastAsia="Arial" w:hAnsi="Arial"/>
                <w:sz w:val="12"/>
                <w:szCs w:val="12"/>
                <w:color w:val="auto"/>
              </w:rPr>
              <w:t>1,400,104</w:t>
            </w:r>
          </w:p>
        </w:tc>
        <w:tc>
          <w:tcPr>
            <w:tcW w:w="60" w:type="dxa"/>
            <w:vAlign w:val="bottom"/>
          </w:tcPr>
          <w:p>
            <w:pPr>
              <w:spacing w:after="0"/>
              <w:rPr>
                <w:sz w:val="10"/>
                <w:szCs w:val="10"/>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2"/>
                <w:szCs w:val="12"/>
                <w:color w:val="auto"/>
              </w:rPr>
              <w:t>1,029,164</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vMerge w:val="restart"/>
          </w:tcPr>
          <w:p>
            <w:pPr>
              <w:jc w:val="right"/>
              <w:ind w:right="179"/>
              <w:spacing w:after="0"/>
              <w:rPr>
                <w:sz w:val="20"/>
                <w:szCs w:val="20"/>
                <w:color w:val="auto"/>
              </w:rPr>
            </w:pPr>
            <w:r>
              <w:rPr>
                <w:rFonts w:ascii="Arial" w:cs="Arial" w:eastAsia="Arial" w:hAnsi="Arial"/>
                <w:sz w:val="12"/>
                <w:szCs w:val="12"/>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370,940</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36</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040" w:type="dxa"/>
            <w:vAlign w:val="bottom"/>
          </w:tcPr>
          <w:p>
            <w:pPr>
              <w:ind w:left="180"/>
              <w:spacing w:after="0"/>
              <w:rPr>
                <w:sz w:val="20"/>
                <w:szCs w:val="20"/>
                <w:color w:val="auto"/>
              </w:rPr>
            </w:pPr>
            <w:r>
              <w:rPr>
                <w:rFonts w:ascii="Arial" w:cs="Arial" w:eastAsia="Arial" w:hAnsi="Arial"/>
                <w:sz w:val="12"/>
                <w:szCs w:val="12"/>
                <w:color w:val="auto"/>
              </w:rPr>
              <w:t>expenses</w:t>
            </w:r>
          </w:p>
        </w:tc>
        <w:tc>
          <w:tcPr>
            <w:tcW w:w="7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300" w:firstLine="365"/>
        <w:spacing w:after="0" w:line="250" w:lineRule="auto"/>
        <w:rPr>
          <w:sz w:val="20"/>
          <w:szCs w:val="20"/>
          <w:color w:val="auto"/>
        </w:rPr>
      </w:pPr>
      <w:r>
        <w:rPr>
          <w:rFonts w:ascii="Arial" w:cs="Arial" w:eastAsia="Arial" w:hAnsi="Arial"/>
          <w:sz w:val="14"/>
          <w:szCs w:val="14"/>
          <w:color w:val="auto"/>
        </w:rPr>
        <w:t>In the six months ended June 30, 2022, research and development expenses increased by $164.2 million, or 46%, compared to the same period last year. The increase was primarily attributable to a $153.8 million increase in personnel costs, largely as a result of a 46% average increase in our research and development headcount, as we continued to focus on enhancing our Twilio Segment and Flex products and strengthening our platform infrastructure.</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 the six months ended June 30, 2022, sales and marketing expenses increased by $174.2 million, or 39%, compared to the same period last year. The increase was primarily attributable to a</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$137.5 million increase in personnel costs, largely as a result of a 52% average increase in sales and marketing headcount, as we continued to expand our sales efforts globally, and a $10.8 million increase in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advertising expenses.</w:t>
      </w:r>
    </w:p>
    <w:p>
      <w:pPr>
        <w:spacing w:after="0" w:line="154" w:lineRule="exact"/>
        <w:rPr>
          <w:sz w:val="20"/>
          <w:szCs w:val="20"/>
          <w:color w:val="auto"/>
        </w:rPr>
      </w:pPr>
    </w:p>
    <w:p>
      <w:pPr>
        <w:ind w:firstLine="365"/>
        <w:spacing w:after="0" w:line="246" w:lineRule="auto"/>
        <w:rPr>
          <w:sz w:val="20"/>
          <w:szCs w:val="20"/>
          <w:color w:val="auto"/>
        </w:rPr>
      </w:pPr>
      <w:r>
        <w:rPr>
          <w:rFonts w:ascii="Arial" w:cs="Arial" w:eastAsia="Arial" w:hAnsi="Arial"/>
          <w:sz w:val="14"/>
          <w:szCs w:val="14"/>
          <w:color w:val="auto"/>
        </w:rPr>
        <w:t>In the six months ended June 30, 2022, general and administrative expenses increased by $32.6 million, or 15%, compared to the same period last year. The increase was primarily attributable to a $31.2 million increase in personnel costs, as a result of a 52% average increase in general and administrative headcount. The increases due to the growth in headcount were partially offset by a $12.0 million decrease in the stock-based compensation expense in the first three months of this six month period mainly driven by attrition. The increase in general and administrative expenses was also attributable to a $4.7 million increase in professional services fees and a $3.5 million increase in software subscription fees. The increase was also partially offset by a $9.6 million decrease in charitable contributions that we made through Twilio.org.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Liquidity and Capital Resources</w:t>
      </w:r>
    </w:p>
    <w:p>
      <w:pPr>
        <w:spacing w:after="0" w:line="166" w:lineRule="exact"/>
        <w:rPr>
          <w:sz w:val="20"/>
          <w:szCs w:val="20"/>
          <w:color w:val="auto"/>
        </w:rPr>
      </w:pPr>
    </w:p>
    <w:p>
      <w:pPr>
        <w:ind w:right="60" w:firstLine="365"/>
        <w:spacing w:after="0" w:line="247" w:lineRule="auto"/>
        <w:rPr>
          <w:sz w:val="20"/>
          <w:szCs w:val="20"/>
          <w:color w:val="auto"/>
        </w:rPr>
      </w:pPr>
      <w:r>
        <w:rPr>
          <w:rFonts w:ascii="Arial" w:cs="Arial" w:eastAsia="Arial" w:hAnsi="Arial"/>
          <w:sz w:val="14"/>
          <w:szCs w:val="14"/>
          <w:color w:val="auto"/>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$984.7 million, after deducting purchaser discounts and debt issuance costs paid by us, from the issuance of our 2029 Notes and 2031 Notes in March 2021; (iii) the net proceeds of $228.4 million, after deducting transaction costs paid by us, from settlement of our capped call arrangements in June 2021; and (iv) the payments received from customers using our products.</w:t>
      </w:r>
    </w:p>
    <w:p>
      <w:pPr>
        <w:spacing w:after="0" w:line="149" w:lineRule="exact"/>
        <w:rPr>
          <w:sz w:val="20"/>
          <w:szCs w:val="20"/>
          <w:color w:val="auto"/>
        </w:rPr>
      </w:pPr>
    </w:p>
    <w:p>
      <w:pPr>
        <w:ind w:right="200" w:firstLine="365"/>
        <w:spacing w:after="0" w:line="247" w:lineRule="auto"/>
        <w:rPr>
          <w:sz w:val="20"/>
          <w:szCs w:val="20"/>
          <w:color w:val="auto"/>
        </w:rPr>
      </w:pPr>
      <w:r>
        <w:rPr>
          <w:rFonts w:ascii="Arial" w:cs="Arial" w:eastAsia="Arial" w:hAnsi="Arial"/>
          <w:sz w:val="14"/>
          <w:szCs w:val="14"/>
          <w:color w:val="auto"/>
        </w:rPr>
        <w:t>Our primary uses of cash include operating costs, such as personnel-related costs, network service provider costs, cloud infrastructure costs, facility-related spending, as well as acquisitions and investments. Our principal contractual and other commitments consist of obligations under our 2029 Notes and 2031 Notes, our operating leases for office space and contractual commitments to our cloud infrastructure and network service providers. Refer to Note 9 and Note 11(a) to our condensed consolidated financial statements included elsewhere in this Quarterly Report on Form 10-Q for detailed discussions of our obligations and commitments related to debt and other purchase obligations.</w:t>
      </w:r>
    </w:p>
    <w:p>
      <w:pPr>
        <w:spacing w:after="0" w:line="149" w:lineRule="exact"/>
        <w:rPr>
          <w:sz w:val="20"/>
          <w:szCs w:val="20"/>
          <w:color w:val="auto"/>
        </w:rPr>
      </w:pPr>
    </w:p>
    <w:p>
      <w:pPr>
        <w:ind w:firstLine="365"/>
        <w:spacing w:after="0" w:line="250" w:lineRule="auto"/>
        <w:rPr>
          <w:sz w:val="20"/>
          <w:szCs w:val="20"/>
          <w:color w:val="auto"/>
        </w:rPr>
      </w:pPr>
      <w:r>
        <w:rPr>
          <w:rFonts w:ascii="Arial" w:cs="Arial" w:eastAsia="Arial" w:hAnsi="Arial"/>
          <w:sz w:val="14"/>
          <w:szCs w:val="14"/>
          <w:color w:val="auto"/>
        </w:rPr>
        <w:t>We may, from time to time, consider acquisitions of, or investments in, complementary businesses, products, services, capital infrastructure or technologies which might affect our liquidity requirements, cause us to secure additional financing or issue additional equity or debt securities. There can be no assurance that additional credit lines or financing instruments will be available in amounts or on terms acceptable to us, if at all.</w:t>
      </w:r>
    </w:p>
    <w:p>
      <w:pPr>
        <w:spacing w:after="0" w:line="146" w:lineRule="exact"/>
        <w:rPr>
          <w:sz w:val="20"/>
          <w:szCs w:val="20"/>
          <w:color w:val="auto"/>
        </w:rPr>
      </w:pPr>
    </w:p>
    <w:p>
      <w:pPr>
        <w:ind w:firstLine="365"/>
        <w:spacing w:after="0" w:line="292" w:lineRule="auto"/>
        <w:rPr>
          <w:sz w:val="20"/>
          <w:szCs w:val="20"/>
          <w:color w:val="auto"/>
        </w:rPr>
      </w:pPr>
      <w:r>
        <w:rPr>
          <w:rFonts w:ascii="Arial" w:cs="Arial" w:eastAsia="Arial" w:hAnsi="Arial"/>
          <w:sz w:val="12"/>
          <w:szCs w:val="12"/>
          <w:color w:val="auto"/>
        </w:rPr>
        <w:t>We believe that our cash, cash equivalents and marketable securities balances, as well as the cash flows generated by our operations, will be sufficient to satisfy our anticipated cash needs for working capital and capital expenditures for the next 12 months and beyond. However, our belief may prove to be incorrect, and we could utilize our available financial resources sooner than we currently expect. Our future capital requirements and the adequacy of available funds will depend on many factors, including those set forth in Part II,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Additionally, cash from operations could also be affected by various risks and uncertainties in connection with the impact of an economic downturn or recession, the COVID-19 pandemic, significant market volatility in the global economy, timing and ability to collect payments from our customers and other risks detailed in Part II, Item 1A, “Risk Factors.”</w:t>
      </w:r>
    </w:p>
    <w:p>
      <w:pPr>
        <w:spacing w:after="0" w:line="30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Cash Flows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our cash flows:</w:t>
      </w:r>
    </w:p>
    <w:p>
      <w:pPr>
        <w:spacing w:after="0" w:line="188" w:lineRule="exact"/>
        <w:rPr>
          <w:sz w:val="20"/>
          <w:szCs w:val="20"/>
          <w:color w:val="auto"/>
        </w:rPr>
      </w:pPr>
    </w:p>
    <w:tbl>
      <w:tblPr>
        <w:tblLayout w:type="fixed"/>
        <w:tblInd w:w="1460" w:type="dxa"/>
        <w:tblCellMar>
          <w:top w:w="0" w:type="dxa"/>
          <w:left w:w="0" w:type="dxa"/>
          <w:bottom w:w="0" w:type="dxa"/>
          <w:right w:w="0" w:type="dxa"/>
        </w:tblCellMar>
      </w:tblPr>
      <w:tr>
        <w:trPr>
          <w:trHeight w:val="140"/>
        </w:trPr>
        <w:tc>
          <w:tcPr>
            <w:tcW w:w="5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Six Months Ended</w:t>
            </w:r>
          </w:p>
        </w:tc>
        <w:tc>
          <w:tcPr>
            <w:tcW w:w="780" w:type="dxa"/>
            <w:vAlign w:val="bottom"/>
          </w:tcPr>
          <w:p>
            <w:pPr>
              <w:spacing w:after="0"/>
              <w:rPr>
                <w:sz w:val="12"/>
                <w:szCs w:val="12"/>
                <w:color w:val="auto"/>
              </w:rPr>
            </w:pPr>
          </w:p>
        </w:tc>
      </w:tr>
      <w:tr>
        <w:trPr>
          <w:trHeight w:val="146"/>
        </w:trPr>
        <w:tc>
          <w:tcPr>
            <w:tcW w:w="57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1"/>
                <w:szCs w:val="11"/>
                <w:b w:val="1"/>
                <w:bCs w:val="1"/>
                <w:color w:val="auto"/>
                <w:w w:val="95"/>
              </w:rPr>
              <w:t>June 30,</w:t>
            </w:r>
          </w:p>
        </w:tc>
        <w:tc>
          <w:tcPr>
            <w:tcW w:w="780" w:type="dxa"/>
            <w:vAlign w:val="bottom"/>
            <w:tcBorders>
              <w:bottom w:val="single" w:sz="8" w:color="auto"/>
            </w:tcBorders>
          </w:tcPr>
          <w:p>
            <w:pPr>
              <w:spacing w:after="0"/>
              <w:rPr>
                <w:sz w:val="12"/>
                <w:szCs w:val="12"/>
                <w:color w:val="auto"/>
              </w:rPr>
            </w:pPr>
          </w:p>
        </w:tc>
      </w:tr>
      <w:tr>
        <w:trPr>
          <w:trHeight w:val="136"/>
        </w:trPr>
        <w:tc>
          <w:tcPr>
            <w:tcW w:w="57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2021</w:t>
            </w:r>
          </w:p>
        </w:tc>
      </w:tr>
      <w:tr>
        <w:trPr>
          <w:trHeight w:val="130"/>
        </w:trPr>
        <w:tc>
          <w:tcPr>
            <w:tcW w:w="5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1"/>
                <w:szCs w:val="11"/>
                <w:color w:val="auto"/>
              </w:rPr>
              <w:t>(In thousands)</w:t>
            </w:r>
          </w:p>
        </w:tc>
        <w:tc>
          <w:tcPr>
            <w:tcW w:w="780" w:type="dxa"/>
            <w:vAlign w:val="bottom"/>
          </w:tcPr>
          <w:p>
            <w:pPr>
              <w:spacing w:after="0"/>
              <w:rPr>
                <w:sz w:val="11"/>
                <w:szCs w:val="11"/>
                <w:color w:val="auto"/>
              </w:rPr>
            </w:pPr>
          </w:p>
        </w:tc>
      </w:tr>
      <w:tr>
        <w:trPr>
          <w:trHeight w:val="165"/>
        </w:trPr>
        <w:tc>
          <w:tcPr>
            <w:tcW w:w="57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Cash (used in) provided by operating activities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(80,141)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26,222</w:t>
            </w:r>
          </w:p>
        </w:tc>
      </w:tr>
      <w:tr>
        <w:trPr>
          <w:trHeight w:val="160"/>
        </w:trPr>
        <w:tc>
          <w:tcPr>
            <w:tcW w:w="5740" w:type="dxa"/>
            <w:vAlign w:val="bottom"/>
          </w:tcPr>
          <w:p>
            <w:pPr>
              <w:ind w:left="360"/>
              <w:spacing w:after="0"/>
              <w:rPr>
                <w:sz w:val="20"/>
                <w:szCs w:val="20"/>
                <w:color w:val="auto"/>
              </w:rPr>
            </w:pPr>
            <w:r>
              <w:rPr>
                <w:rFonts w:ascii="Arial" w:cs="Arial" w:eastAsia="Arial" w:hAnsi="Arial"/>
                <w:sz w:val="12"/>
                <w:szCs w:val="12"/>
                <w:color w:val="auto"/>
              </w:rPr>
              <w:t>Cash used in investing activities</w:t>
            </w:r>
          </w:p>
        </w:tc>
        <w:tc>
          <w:tcPr>
            <w:tcW w:w="6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(635,629)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(2,181,489)</w:t>
            </w:r>
          </w:p>
        </w:tc>
      </w:tr>
      <w:tr>
        <w:trPr>
          <w:trHeight w:val="165"/>
        </w:trPr>
        <w:tc>
          <w:tcPr>
            <w:tcW w:w="57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Cash provided by financing activities</w:t>
            </w: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34,402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3,024,856</w:t>
            </w:r>
          </w:p>
        </w:tc>
      </w:tr>
      <w:tr>
        <w:trPr>
          <w:trHeight w:val="160"/>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Effect of exchange rate changes on cash, cash equivalents and restricted cash</w:t>
            </w:r>
          </w:p>
        </w:tc>
        <w:tc>
          <w:tcPr>
            <w:tcW w:w="6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313</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w:t>
            </w:r>
          </w:p>
        </w:tc>
      </w:tr>
      <w:tr>
        <w:trPr>
          <w:trHeight w:val="175"/>
        </w:trPr>
        <w:tc>
          <w:tcPr>
            <w:tcW w:w="5740" w:type="dxa"/>
            <w:vAlign w:val="bottom"/>
            <w:shd w:val="clear" w:color="auto" w:fill="CCEEFF"/>
          </w:tcPr>
          <w:p>
            <w:pPr>
              <w:ind w:left="520"/>
              <w:spacing w:after="0"/>
              <w:rPr>
                <w:sz w:val="20"/>
                <w:szCs w:val="20"/>
                <w:color w:val="auto"/>
              </w:rPr>
            </w:pPr>
            <w:r>
              <w:rPr>
                <w:rFonts w:ascii="Arial" w:cs="Arial" w:eastAsia="Arial" w:hAnsi="Arial"/>
                <w:sz w:val="12"/>
                <w:szCs w:val="12"/>
                <w:color w:val="auto"/>
              </w:rPr>
              <w:t>Net (decrease) increase in cash, cash equivalents and restricted cash</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(681,055)</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869,446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Cash Flows from Operating Activities</w:t>
      </w:r>
    </w:p>
    <w:p>
      <w:pPr>
        <w:spacing w:after="0" w:line="164" w:lineRule="exact"/>
        <w:rPr>
          <w:sz w:val="20"/>
          <w:szCs w:val="20"/>
          <w:color w:val="auto"/>
        </w:rPr>
      </w:pPr>
    </w:p>
    <w:p>
      <w:pPr>
        <w:ind w:right="140" w:firstLine="365"/>
        <w:spacing w:after="0" w:line="294" w:lineRule="auto"/>
        <w:rPr>
          <w:sz w:val="20"/>
          <w:szCs w:val="20"/>
          <w:color w:val="auto"/>
        </w:rPr>
      </w:pPr>
      <w:r>
        <w:rPr>
          <w:rFonts w:ascii="Arial" w:cs="Arial" w:eastAsia="Arial" w:hAnsi="Arial"/>
          <w:sz w:val="12"/>
          <w:szCs w:val="12"/>
          <w:color w:val="auto"/>
        </w:rPr>
        <w:t>In the six months ended June 30, 2022, cash used in operating activities consisted primarily of our net loss of $544.4 million adjusted for non-cash items, including $397.4 million of stock-based compensation expense, $137.7 million of depreciation and amortization expense, $25.5 million of non-cash reduction to our operating right-of-use asset, $26.1 million amortization of deferred commissions and $160.0 million of cumulative changes in operating assets and liabilities. With respect to changes in operating assets and liabilities, accounts receivable and prepaid expenses increased $149.8 million primarily due to revenue growth, the timing of cash receipts and pre-payments of our cloud infrastructure fees and certain operating expenses. Accounts payable and other current liabilities increased $85.1 million primarily due to increases in transaction volumes. Operating lease liabilities decreased $31.1 million due to payments made against our operating lease obligations. Other long-term assets increased $52.5 million primarily due to an increase in the sales commissions balances related to the growth of our business.</w:t>
      </w:r>
    </w:p>
    <w:p>
      <w:pPr>
        <w:spacing w:after="0" w:line="122" w:lineRule="exact"/>
        <w:rPr>
          <w:sz w:val="20"/>
          <w:szCs w:val="20"/>
          <w:color w:val="auto"/>
        </w:rPr>
      </w:pPr>
    </w:p>
    <w:p>
      <w:pPr>
        <w:ind w:right="120" w:firstLine="365"/>
        <w:spacing w:after="0" w:line="292" w:lineRule="auto"/>
        <w:rPr>
          <w:sz w:val="20"/>
          <w:szCs w:val="20"/>
          <w:color w:val="auto"/>
        </w:rPr>
      </w:pPr>
      <w:r>
        <w:rPr>
          <w:rFonts w:ascii="Arial" w:cs="Arial" w:eastAsia="Arial" w:hAnsi="Arial"/>
          <w:sz w:val="12"/>
          <w:szCs w:val="12"/>
          <w:color w:val="auto"/>
        </w:rPr>
        <w:t>In the six months ended June 30, 2021, cash provided by operating activities consisted primarily of our net loss of $434.4 million adjusted for non-cash items, including $281.3 million of stock-based compensation expense, $119.4 million of depreciation and amortization expense, $16.2 million of donated common stock, $29.0 million loss on extinguishment of our convertible notes, $5.1 million amortization of the debt discount and issuance costs related primarily to our convertible notes, $23.2 million of non-cash reduction to our operating right-of-use asset, $12.4 million amortization of deferred commissions, and $48.1 million of cumulative changes in operating assets and liabilities. With respect to changes in operating assets and liabilities, accounts receivable and prepaid expenses increased $86.3 million primarily due to the timing of cash receipts from certain of our larger customers, pre-payments of our cloud infrastructure fees and certain operating expenses. Accounts payable and other current liabilities increased $93.0 million primarily due to increases in transaction volumes. Operating lease liabilities decreased $23.6 million due to payments made against our operating lease obligations. Other long-term assets increased $39.1 million primarily due to an increase in the sales commissions balances related to the growth of our business.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Cash Flows from Investing Activities</w:t>
      </w:r>
    </w:p>
    <w:p>
      <w:pPr>
        <w:spacing w:after="0" w:line="164" w:lineRule="exact"/>
        <w:rPr>
          <w:sz w:val="20"/>
          <w:szCs w:val="20"/>
          <w:color w:val="auto"/>
        </w:rPr>
      </w:pPr>
    </w:p>
    <w:p>
      <w:pPr>
        <w:ind w:right="60" w:firstLine="365"/>
        <w:spacing w:after="0" w:line="247" w:lineRule="auto"/>
        <w:rPr>
          <w:sz w:val="20"/>
          <w:szCs w:val="20"/>
          <w:color w:val="auto"/>
        </w:rPr>
      </w:pPr>
      <w:r>
        <w:rPr>
          <w:rFonts w:ascii="Arial" w:cs="Arial" w:eastAsia="Arial" w:hAnsi="Arial"/>
          <w:sz w:val="14"/>
          <w:szCs w:val="14"/>
          <w:color w:val="auto"/>
        </w:rPr>
        <w:t>In the six months ended June 30, 2022, cash used in investing activities was $635.6 million primarily consisting of $570.8 million of purchases of marketable securities and other investments, net of maturities and sales; $750.0 million paid to acquire our equity method investment in Syniverse, as described in Note 2(h) and Note 6 to our condensed consolidated financial statements included elsewhere in this Quarterly Report on Form 10-Q; $31.7 million of net cash paid to acquire other businesses, $22.4 million related to capitalized software development costs and $10.8 million related to purchases of long-lived assets.</w:t>
      </w:r>
    </w:p>
    <w:p>
      <w:pPr>
        <w:spacing w:after="0" w:line="149" w:lineRule="exact"/>
        <w:rPr>
          <w:sz w:val="20"/>
          <w:szCs w:val="20"/>
          <w:color w:val="auto"/>
        </w:rPr>
      </w:pPr>
    </w:p>
    <w:p>
      <w:pPr>
        <w:ind w:firstLine="365"/>
        <w:spacing w:after="0" w:line="342" w:lineRule="auto"/>
        <w:rPr>
          <w:sz w:val="20"/>
          <w:szCs w:val="20"/>
          <w:color w:val="auto"/>
        </w:rPr>
      </w:pPr>
      <w:r>
        <w:rPr>
          <w:rFonts w:ascii="Arial" w:cs="Arial" w:eastAsia="Arial" w:hAnsi="Arial"/>
          <w:sz w:val="12"/>
          <w:szCs w:val="12"/>
          <w:color w:val="auto"/>
        </w:rPr>
        <w:t>In the six months ended June 30, 2021, cash used in investing activities was $2.2 billion primarily consisting of $2.1 billion of purchases of marketable securities and other investments, net of maturities and sales, $94.2 million of net cash paid to acquire other businesses, $21.8 million related to capitalized software development costs and $12.1 million related to purchases of long-lived assets.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Cash Flows from Financing Activities</w:t>
      </w:r>
    </w:p>
    <w:p>
      <w:pPr>
        <w:spacing w:after="0" w:line="164" w:lineRule="exact"/>
        <w:rPr>
          <w:sz w:val="20"/>
          <w:szCs w:val="20"/>
          <w:color w:val="auto"/>
        </w:rPr>
      </w:pPr>
    </w:p>
    <w:p>
      <w:pPr>
        <w:ind w:right="240" w:firstLine="365"/>
        <w:spacing w:after="0" w:line="259" w:lineRule="auto"/>
        <w:rPr>
          <w:sz w:val="20"/>
          <w:szCs w:val="20"/>
          <w:color w:val="auto"/>
        </w:rPr>
      </w:pPr>
      <w:r>
        <w:rPr>
          <w:rFonts w:ascii="Arial" w:cs="Arial" w:eastAsia="Arial" w:hAnsi="Arial"/>
          <w:sz w:val="14"/>
          <w:szCs w:val="14"/>
          <w:color w:val="auto"/>
        </w:rPr>
        <w:t>In the six months ended June 30, 2022, cash provided by financing activities was $34.4 million primarily consisting of $41.7 million in proceeds from stock options exercised by our employees and shares issued under our employee stock purchase plan, offset by $6.2 million in principal payments on debt and finance leases.</w:t>
      </w:r>
    </w:p>
    <w:p>
      <w:pPr>
        <w:spacing w:after="0" w:line="140" w:lineRule="exact"/>
        <w:rPr>
          <w:sz w:val="20"/>
          <w:szCs w:val="20"/>
          <w:color w:val="auto"/>
        </w:rPr>
      </w:pPr>
    </w:p>
    <w:p>
      <w:pPr>
        <w:jc w:val="both"/>
        <w:ind w:right="160" w:firstLine="365"/>
        <w:spacing w:after="0" w:line="312" w:lineRule="auto"/>
        <w:rPr>
          <w:sz w:val="20"/>
          <w:szCs w:val="20"/>
          <w:color w:val="auto"/>
        </w:rPr>
      </w:pPr>
      <w:r>
        <w:rPr>
          <w:rFonts w:ascii="Arial" w:cs="Arial" w:eastAsia="Arial" w:hAnsi="Arial"/>
          <w:sz w:val="12"/>
          <w:szCs w:val="12"/>
          <w:color w:val="auto"/>
        </w:rPr>
        <w:t>In the six months ended June 30, 2021, cash provided by financing activities was $3.0 billion primarily consisting of $1.8 billion in net proceeds from our public equity offering, $986.1 million in net proceeds from the issuance of our 2029 Notes and 2031 Notes and $55.6 million in proceeds from stock options exercised by our employees and shares issued under our employee stock purchase plan. This was offset by $6.7 million in principal payments made on finance leases and $4.7 million related to the value of equity awards withheld to settle tax liabilities.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66" w:lineRule="exact"/>
        <w:rPr>
          <w:sz w:val="20"/>
          <w:szCs w:val="20"/>
          <w:color w:val="auto"/>
        </w:rPr>
      </w:pPr>
    </w:p>
    <w:p>
      <w:pPr>
        <w:ind w:firstLine="365"/>
        <w:spacing w:after="0" w:line="247" w:lineRule="auto"/>
        <w:rPr>
          <w:sz w:val="20"/>
          <w:szCs w:val="20"/>
          <w:color w:val="auto"/>
        </w:rPr>
      </w:pPr>
      <w:r>
        <w:rPr>
          <w:rFonts w:ascii="Arial" w:cs="Arial" w:eastAsia="Arial" w:hAnsi="Arial"/>
          <w:sz w:val="14"/>
          <w:szCs w:val="14"/>
          <w:color w:val="auto"/>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have been no changes to our critical accounting policies as described in our Annual Report on Form 10-K filed with the SEC on February 22, 2022.</w:t>
      </w:r>
    </w:p>
    <w:p>
      <w:pPr>
        <w:spacing w:after="0" w:line="162"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Recent Accounting Pronouncements Not Yet Adopted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are no material recent accounting pronouncements not yet adopted.</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66" w:lineRule="exact"/>
        <w:rPr>
          <w:sz w:val="20"/>
          <w:szCs w:val="20"/>
          <w:color w:val="auto"/>
        </w:rPr>
      </w:pPr>
    </w:p>
    <w:p>
      <w:pPr>
        <w:ind w:right="100" w:firstLine="365"/>
        <w:spacing w:after="0" w:line="247" w:lineRule="auto"/>
        <w:rPr>
          <w:sz w:val="20"/>
          <w:szCs w:val="20"/>
          <w:color w:val="auto"/>
        </w:rPr>
      </w:pPr>
      <w:r>
        <w:rPr>
          <w:rFonts w:ascii="Arial" w:cs="Arial" w:eastAsia="Arial" w:hAnsi="Arial"/>
          <w:sz w:val="14"/>
          <w:szCs w:val="14"/>
          <w:color w:val="auto"/>
        </w:rPr>
        <w:t>Our filings are available to be viewed and downloaded free of charge through our investor relations website after we file them with the Securities and Exchange Commission (“SEC”). Our filings include our Annual Report on Form 10-K, as amended, Quarterly Reports on Form 10-Q, our Proxy Statement for our annual meeting of stockholders, Current Reports on Form 8-K and other filings with the SEC. Our investor relations website is located at http://investors.twilio.com. The SEC also maintains an Internet website that contains periodic and current reports, proxy statements and other information about issuers, like us, that file electronically with the SEC. The address of that website is www.sec.gov.</w:t>
      </w:r>
    </w:p>
    <w:p>
      <w:pPr>
        <w:spacing w:after="0" w:line="149" w:lineRule="exact"/>
        <w:rPr>
          <w:sz w:val="20"/>
          <w:szCs w:val="20"/>
          <w:color w:val="auto"/>
        </w:rPr>
      </w:pPr>
    </w:p>
    <w:p>
      <w:pPr>
        <w:ind w:right="120" w:firstLine="365"/>
        <w:spacing w:after="0" w:line="246" w:lineRule="auto"/>
        <w:rPr>
          <w:sz w:val="20"/>
          <w:szCs w:val="20"/>
          <w:color w:val="auto"/>
        </w:rPr>
      </w:pPr>
      <w:r>
        <w:rPr>
          <w:rFonts w:ascii="Arial" w:cs="Arial" w:eastAsia="Arial" w:hAnsi="Arial"/>
          <w:sz w:val="14"/>
          <w:szCs w:val="14"/>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b w:val="1"/>
          <w:bCs w:val="1"/>
          <w:i w:val="1"/>
          <w:iCs w:val="1"/>
          <w:color w:val="auto"/>
        </w:rPr>
        <w:t>Quantitative and Qualitative Disclosures about Market Risk</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are exposed to certain market risks in the ordinary course of our business, including sensitivities as follows: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64" w:lineRule="exact"/>
        <w:rPr>
          <w:sz w:val="20"/>
          <w:szCs w:val="20"/>
          <w:color w:val="auto"/>
        </w:rPr>
      </w:pPr>
    </w:p>
    <w:p>
      <w:pPr>
        <w:ind w:right="60" w:firstLine="365"/>
        <w:spacing w:after="0" w:line="164" w:lineRule="exact"/>
        <w:rPr>
          <w:sz w:val="20"/>
          <w:szCs w:val="20"/>
          <w:color w:val="auto"/>
        </w:rPr>
      </w:pPr>
      <w:r>
        <w:rPr>
          <w:rFonts w:ascii="Arial" w:cs="Arial" w:eastAsia="Arial" w:hAnsi="Arial"/>
          <w:sz w:val="12"/>
          <w:szCs w:val="12"/>
          <w:color w:val="auto"/>
        </w:rPr>
        <w:t>We had cash, cash equivalents and restricted cash of $798.6 million and marketable securities of $3.6 billion as of June 30, 2022. Cash, cash equivalents and restricted cash consist of bank deposits, money market funds and commercial paper. Marketable securities consist primarily of U.S. treasury securities, non-U.S. government securities and high credit quality corporate debt securities. The cash and cash equivalents and marketable securities are held for working capital purposes. Such interest</w:t>
      </w:r>
      <w:r>
        <w:rPr>
          <w:rFonts w:ascii="MS PGothic" w:cs="MS PGothic" w:eastAsia="MS PGothic" w:hAnsi="MS PGothic"/>
          <w:sz w:val="12"/>
          <w:szCs w:val="12"/>
          <w:color w:val="auto"/>
        </w:rPr>
        <w:t>‑</w:t>
      </w:r>
      <w:r>
        <w:rPr>
          <w:rFonts w:ascii="Arial" w:cs="Arial" w:eastAsia="Arial" w:hAnsi="Arial"/>
          <w:sz w:val="12"/>
          <w:szCs w:val="12"/>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w:t>
      </w:r>
      <w:r>
        <w:rPr>
          <w:rFonts w:ascii="MS PGothic" w:cs="MS PGothic" w:eastAsia="MS PGothic" w:hAnsi="MS PGothic"/>
          <w:sz w:val="12"/>
          <w:szCs w:val="12"/>
          <w:color w:val="auto"/>
        </w:rPr>
        <w:t>‑</w:t>
      </w:r>
      <w:r>
        <w:rPr>
          <w:rFonts w:ascii="Arial" w:cs="Arial" w:eastAsia="Arial" w:hAnsi="Arial"/>
          <w:sz w:val="12"/>
          <w:szCs w:val="12"/>
          <w:color w:val="auto"/>
        </w:rPr>
        <w:t>term nature of our investments, we have not been exposed to, nor do we anticipate being exposed to, material risks due to changes in interest rates. A hypothetical 10% change in interest rates during any of the periods presented would not have had a material impact on our condensed consolidated financial statements.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March 2021, we issued $1.0 billion aggregate principal amount of our 2029 Notes and 2031 Notes carrying fixed interest rates of 3.625% and 3.875%, respectively.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Currency Exchange Risks</w:t>
      </w:r>
    </w:p>
    <w:p>
      <w:pPr>
        <w:spacing w:after="0" w:line="164" w:lineRule="exact"/>
        <w:rPr>
          <w:sz w:val="20"/>
          <w:szCs w:val="20"/>
          <w:color w:val="auto"/>
        </w:rPr>
      </w:pPr>
    </w:p>
    <w:p>
      <w:pPr>
        <w:ind w:right="40" w:firstLine="365"/>
        <w:spacing w:after="0" w:line="250" w:lineRule="auto"/>
        <w:rPr>
          <w:sz w:val="20"/>
          <w:szCs w:val="20"/>
          <w:color w:val="auto"/>
        </w:rPr>
      </w:pPr>
      <w:r>
        <w:rPr>
          <w:rFonts w:ascii="Arial" w:cs="Arial" w:eastAsia="Arial" w:hAnsi="Arial"/>
          <w:sz w:val="14"/>
          <w:szCs w:val="14"/>
          <w:color w:val="auto"/>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spacing w:after="0" w:line="146" w:lineRule="exact"/>
        <w:rPr>
          <w:sz w:val="20"/>
          <w:szCs w:val="20"/>
          <w:color w:val="auto"/>
        </w:rPr>
      </w:pPr>
    </w:p>
    <w:p>
      <w:pPr>
        <w:jc w:val="both"/>
        <w:ind w:right="60" w:firstLine="365"/>
        <w:spacing w:after="0" w:line="312" w:lineRule="auto"/>
        <w:rPr>
          <w:sz w:val="20"/>
          <w:szCs w:val="20"/>
          <w:color w:val="auto"/>
        </w:rPr>
      </w:pPr>
      <w:r>
        <w:rPr>
          <w:rFonts w:ascii="Arial" w:cs="Arial" w:eastAsia="Arial" w:hAnsi="Arial"/>
          <w:sz w:val="12"/>
          <w:szCs w:val="12"/>
          <w:color w:val="auto"/>
        </w:rPr>
        <w:t>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condensed consolidated statements of operations.</w:t>
      </w:r>
    </w:p>
    <w:p>
      <w:pPr>
        <w:spacing w:after="0" w:line="111" w:lineRule="exact"/>
        <w:rPr>
          <w:sz w:val="20"/>
          <w:szCs w:val="20"/>
          <w:color w:val="auto"/>
        </w:rPr>
      </w:pPr>
    </w:p>
    <w:p>
      <w:pPr>
        <w:ind w:firstLine="365"/>
        <w:spacing w:after="0" w:line="259" w:lineRule="auto"/>
        <w:rPr>
          <w:sz w:val="20"/>
          <w:szCs w:val="20"/>
          <w:color w:val="auto"/>
        </w:rPr>
      </w:pPr>
      <w:r>
        <w:rPr>
          <w:rFonts w:ascii="Arial" w:cs="Arial" w:eastAsia="Arial" w:hAnsi="Arial"/>
          <w:sz w:val="14"/>
          <w:szCs w:val="14"/>
          <w:color w:val="auto"/>
        </w:rPr>
        <w:t>We enter into foreign currency derivative hedging transactions to mitigate our exposure to market risks that may result from changes in foreign currency exchange rates. For further information, refer to Note 5 to our condensed consolidated financial statements included elsewhere in this Quarterly Report on Form 10-Q.</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 hypothetical 10% change in foreign exchange rates during any of the periods presented would not have had a material impact on our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b w:val="1"/>
          <w:bCs w:val="1"/>
          <w:i w:val="1"/>
          <w:iCs w:val="1"/>
          <w:color w:val="auto"/>
        </w:rPr>
        <w:t>Controls and Procedures</w:t>
      </w:r>
    </w:p>
    <w:p>
      <w:pPr>
        <w:spacing w:after="0" w:line="164" w:lineRule="exact"/>
        <w:rPr>
          <w:sz w:val="20"/>
          <w:szCs w:val="20"/>
          <w:color w:val="auto"/>
        </w:rPr>
      </w:pPr>
    </w:p>
    <w:p>
      <w:pPr>
        <w:ind w:left="660" w:hanging="293"/>
        <w:spacing w:after="0"/>
        <w:tabs>
          <w:tab w:leader="none" w:pos="66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Evaluation of Disclosure Controls and Procedures</w:t>
      </w:r>
    </w:p>
    <w:p>
      <w:pPr>
        <w:spacing w:after="0" w:line="166" w:lineRule="exact"/>
        <w:rPr>
          <w:sz w:val="20"/>
          <w:szCs w:val="20"/>
          <w:color w:val="auto"/>
        </w:rPr>
      </w:pPr>
    </w:p>
    <w:p>
      <w:pPr>
        <w:ind w:right="320" w:firstLine="365"/>
        <w:spacing w:after="0" w:line="259" w:lineRule="auto"/>
        <w:rPr>
          <w:sz w:val="20"/>
          <w:szCs w:val="20"/>
          <w:color w:val="auto"/>
        </w:rPr>
      </w:pPr>
      <w:r>
        <w:rPr>
          <w:rFonts w:ascii="Arial" w:cs="Arial" w:eastAsia="Arial" w:hAnsi="Arial"/>
          <w:sz w:val="14"/>
          <w:szCs w:val="14"/>
          <w:color w:val="auto"/>
        </w:rPr>
        <w:t>Our management, with the participation of our Chief Executive Officer and our Principal Financial Officer, has evaluated the effectiveness of our disclosure controls and procedures (as defined in Rules 13a-15(e) and 15d-15(e) under the Exchange Act), as of the end of the period covered by this Quarterly Report on Form 10-Q.</w:t>
      </w:r>
    </w:p>
    <w:p>
      <w:pPr>
        <w:spacing w:after="0" w:line="140" w:lineRule="exact"/>
        <w:rPr>
          <w:sz w:val="20"/>
          <w:szCs w:val="20"/>
          <w:color w:val="auto"/>
        </w:rPr>
      </w:pPr>
    </w:p>
    <w:p>
      <w:pPr>
        <w:ind w:right="20" w:firstLine="365"/>
        <w:spacing w:after="0" w:line="247" w:lineRule="auto"/>
        <w:rPr>
          <w:sz w:val="20"/>
          <w:szCs w:val="20"/>
          <w:color w:val="auto"/>
        </w:rPr>
      </w:pPr>
      <w:r>
        <w:rPr>
          <w:rFonts w:ascii="Arial" w:cs="Arial" w:eastAsia="Arial" w:hAnsi="Arial"/>
          <w:sz w:val="14"/>
          <w:szCs w:val="14"/>
          <w:color w:val="auto"/>
        </w:rPr>
        <w:t>Based on this evaluation, our Chief Executive Officer and our Principal Financial Officer concluded that, as of June 30, 2022,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Principal Financial Officer, as appropriate, to allow timely decisions regarding required disclosures.</w:t>
      </w:r>
    </w:p>
    <w:p>
      <w:pPr>
        <w:spacing w:after="0" w:line="147" w:lineRule="exact"/>
        <w:rPr>
          <w:sz w:val="20"/>
          <w:szCs w:val="20"/>
          <w:color w:val="auto"/>
        </w:rPr>
      </w:pPr>
    </w:p>
    <w:p>
      <w:pPr>
        <w:ind w:left="660" w:hanging="293"/>
        <w:spacing w:after="0"/>
        <w:tabs>
          <w:tab w:leader="none" w:pos="66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Changes in Internal Control</w:t>
      </w:r>
    </w:p>
    <w:p>
      <w:pPr>
        <w:spacing w:after="0" w:line="166" w:lineRule="exact"/>
        <w:rPr>
          <w:sz w:val="20"/>
          <w:szCs w:val="20"/>
          <w:color w:val="auto"/>
        </w:rPr>
      </w:pPr>
    </w:p>
    <w:p>
      <w:pPr>
        <w:ind w:right="20" w:firstLine="365"/>
        <w:spacing w:after="0" w:line="234" w:lineRule="auto"/>
        <w:rPr>
          <w:sz w:val="20"/>
          <w:szCs w:val="20"/>
          <w:color w:val="auto"/>
        </w:rPr>
      </w:pPr>
      <w:r>
        <w:rPr>
          <w:rFonts w:ascii="Arial" w:cs="Arial" w:eastAsia="Arial" w:hAnsi="Arial"/>
          <w:sz w:val="14"/>
          <w:szCs w:val="14"/>
          <w:color w:val="auto"/>
        </w:rPr>
        <w:t>In May 2022, we completed the implementation of our new enterprise resource planning (“ERP”) system and, consequently, modified the design of certain our internal controls over activities related to accumulation, recording and reporting of information in our financial statements. Other than these ERP system implementation changes, there were no changes in our internal control over financial reporting in connection with the evaluation required by Rule 13a-15 (d) and 15d-15 (d) of the Exchange Act that occurred during the quarter ended June 30, 2022, that materially affected, or are reasonably likely to materially affect, our internal control over financial reporting.</w:t>
      </w:r>
    </w:p>
    <w:p>
      <w:pPr>
        <w:spacing w:after="0" w:line="182" w:lineRule="exact"/>
        <w:rPr>
          <w:sz w:val="20"/>
          <w:szCs w:val="20"/>
          <w:color w:val="auto"/>
        </w:rPr>
      </w:pPr>
    </w:p>
    <w:p>
      <w:pPr>
        <w:ind w:left="660" w:hanging="293"/>
        <w:spacing w:after="0"/>
        <w:tabs>
          <w:tab w:leader="none" w:pos="66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Inherent Limitations on Effectiveness of Controls</w:t>
      </w:r>
    </w:p>
    <w:p>
      <w:pPr>
        <w:spacing w:after="0" w:line="196" w:lineRule="exact"/>
        <w:rPr>
          <w:sz w:val="20"/>
          <w:szCs w:val="20"/>
          <w:color w:val="auto"/>
        </w:rPr>
      </w:pPr>
    </w:p>
    <w:p>
      <w:pPr>
        <w:ind w:right="100" w:firstLine="365"/>
        <w:spacing w:after="0" w:line="164" w:lineRule="exact"/>
        <w:rPr>
          <w:sz w:val="20"/>
          <w:szCs w:val="20"/>
          <w:color w:val="auto"/>
        </w:rPr>
      </w:pPr>
      <w:r>
        <w:rPr>
          <w:rFonts w:ascii="Arial" w:cs="Arial" w:eastAsia="Arial" w:hAnsi="Arial"/>
          <w:sz w:val="12"/>
          <w:szCs w:val="12"/>
          <w:color w:val="auto"/>
        </w:rPr>
        <w:t>Our management, including our Chief Executive Officer and our Principal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2"/>
          <w:szCs w:val="12"/>
          <w:color w:val="auto"/>
        </w:rPr>
        <w:t>‑</w:t>
      </w:r>
      <w:r>
        <w:rPr>
          <w:rFonts w:ascii="Arial" w:cs="Arial" w:eastAsia="Arial" w:hAnsi="Arial"/>
          <w:sz w:val="12"/>
          <w:szCs w:val="12"/>
          <w:color w:val="auto"/>
        </w:rPr>
        <w:t>effective control system, misstatements due to error or fraud may occur and not be detected.</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4"/>
          <w:szCs w:val="14"/>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b w:val="1"/>
          <w:bCs w:val="1"/>
          <w:i w:val="1"/>
          <w:iCs w:val="1"/>
          <w:color w:val="auto"/>
        </w:rPr>
        <w:t>Legal Proceedings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Refer to Note 11(b) of our condensed consolidated financial statements included elsewhere in this Quarterly Report on Form 10-Q for a description of our current material legal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1A. </w:t>
      </w:r>
      <w:r>
        <w:rPr>
          <w:rFonts w:ascii="Arial" w:cs="Arial" w:eastAsia="Arial" w:hAnsi="Arial"/>
          <w:sz w:val="14"/>
          <w:szCs w:val="14"/>
          <w:b w:val="1"/>
          <w:bCs w:val="1"/>
          <w:i w:val="1"/>
          <w:iCs w:val="1"/>
          <w:color w:val="auto"/>
        </w:rPr>
        <w:t>Risk Factors</w:t>
      </w:r>
    </w:p>
    <w:p>
      <w:pPr>
        <w:spacing w:after="0" w:line="166" w:lineRule="exact"/>
        <w:rPr>
          <w:sz w:val="20"/>
          <w:szCs w:val="20"/>
          <w:color w:val="auto"/>
        </w:rPr>
      </w:pPr>
    </w:p>
    <w:p>
      <w:pPr>
        <w:ind w:right="160" w:firstLine="487"/>
        <w:spacing w:after="0" w:line="302" w:lineRule="auto"/>
        <w:rPr>
          <w:sz w:val="20"/>
          <w:szCs w:val="20"/>
          <w:color w:val="auto"/>
        </w:rPr>
      </w:pPr>
      <w:r>
        <w:rPr>
          <w:rFonts w:ascii="Arial" w:cs="Arial" w:eastAsia="Arial" w:hAnsi="Arial"/>
          <w:sz w:val="12"/>
          <w:szCs w:val="12"/>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Part I, Item 2,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Our Business and Our Industry</w:t>
      </w:r>
    </w:p>
    <w:p>
      <w:pPr>
        <w:spacing w:after="0" w:line="166" w:lineRule="exact"/>
        <w:rPr>
          <w:sz w:val="20"/>
          <w:szCs w:val="20"/>
          <w:color w:val="auto"/>
        </w:rPr>
      </w:pPr>
    </w:p>
    <w:p>
      <w:pPr>
        <w:ind w:right="280" w:firstLine="365"/>
        <w:spacing w:after="0" w:line="259" w:lineRule="auto"/>
        <w:rPr>
          <w:sz w:val="20"/>
          <w:szCs w:val="20"/>
          <w:color w:val="auto"/>
        </w:rPr>
      </w:pPr>
      <w:r>
        <w:rPr>
          <w:rFonts w:ascii="Arial" w:cs="Arial" w:eastAsia="Arial" w:hAnsi="Arial"/>
          <w:sz w:val="14"/>
          <w:szCs w:val="14"/>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40" w:lineRule="exact"/>
        <w:rPr>
          <w:sz w:val="20"/>
          <w:szCs w:val="20"/>
          <w:color w:val="auto"/>
        </w:rPr>
      </w:pPr>
    </w:p>
    <w:p>
      <w:pPr>
        <w:ind w:right="80" w:firstLine="365"/>
        <w:spacing w:after="0" w:line="297" w:lineRule="auto"/>
        <w:rPr>
          <w:sz w:val="20"/>
          <w:szCs w:val="20"/>
          <w:color w:val="auto"/>
        </w:rPr>
      </w:pPr>
      <w:r>
        <w:rPr>
          <w:rFonts w:ascii="Arial" w:cs="Arial" w:eastAsia="Arial" w:hAnsi="Arial"/>
          <w:sz w:val="12"/>
          <w:szCs w:val="12"/>
          <w:color w:val="auto"/>
        </w:rPr>
        <w:t>We have experienced substantial growth in our business since inception. For example, our headcount has grown from 6,334 employees on June 30, 2021 to 8,510 employees on June 30, 2022. We have moved to a virtual on-boarding process since the imposition of COVID-19 restrictions on certain business activities. In addition, we are rapidly expanding our international operations. Our international headcount grew from 2,250 employees as of June 30, 2021 to 3,481 employees as of June 30, 2022. We expect to continue to expand our international operations in the future. We have also experienced significant growth in the number of customers, usage and amount of data that our platform and associated infrastructure support. This growth has placed and may continue to place significant demands on our corporate culture, operational infrastructure and management, particularly in light of virtual on-boarding.</w:t>
      </w:r>
    </w:p>
    <w:p>
      <w:pPr>
        <w:spacing w:after="0" w:line="131" w:lineRule="exact"/>
        <w:rPr>
          <w:sz w:val="20"/>
          <w:szCs w:val="20"/>
          <w:color w:val="auto"/>
        </w:rPr>
      </w:pPr>
    </w:p>
    <w:p>
      <w:pPr>
        <w:ind w:firstLine="365"/>
        <w:spacing w:after="0" w:line="257" w:lineRule="auto"/>
        <w:rPr>
          <w:sz w:val="20"/>
          <w:szCs w:val="20"/>
          <w:color w:val="auto"/>
        </w:rPr>
      </w:pPr>
      <w:r>
        <w:rPr>
          <w:rFonts w:ascii="Arial" w:cs="Arial" w:eastAsia="Arial" w:hAnsi="Arial"/>
          <w:sz w:val="12"/>
          <w:szCs w:val="12"/>
          <w:color w:val="auto"/>
        </w:rPr>
        <w:t>We believe that our corporate culture has been a critical component of our success. We have invested substantial time and resources in building our team and nurturing our culture. In addition, the COVID-19 pandemic may have long-term effects on the nature of the office environment and remote working. Our employees generally continue to work from home as we continue a phased reopening of offices and, in February 2021, we announced a new Open Work hybrid work approach, under which most employees will have a choice about where and how they work. We face uncertainty as to whether Open Work, and any adjustments we may make to our model, will meet the needs and expectations of our workforce or have an adverse effect on workforce engagement, productivity and retention. Any failure to preserve the key aspects of our culture as we manage our anticipated growth and organizational changes could hurt our chance for future success, including our ability to recruit and retain employees, and effectively focus on and pursue our corporate objectives. In addition, Open Work may impose additional risks to our business, including unauthorized access to or dissemination of sensitive, proprietary or confidential information. This, in turn, could adversely affect our business, results of operations and financial condition.</w:t>
      </w:r>
    </w:p>
    <w:p>
      <w:pPr>
        <w:spacing w:after="0" w:line="133" w:lineRule="exact"/>
        <w:rPr>
          <w:sz w:val="20"/>
          <w:szCs w:val="20"/>
          <w:color w:val="auto"/>
        </w:rPr>
      </w:pPr>
    </w:p>
    <w:p>
      <w:pPr>
        <w:ind w:right="60" w:firstLine="365"/>
        <w:spacing w:after="0" w:line="247" w:lineRule="auto"/>
        <w:rPr>
          <w:sz w:val="20"/>
          <w:szCs w:val="20"/>
          <w:color w:val="auto"/>
        </w:rPr>
      </w:pPr>
      <w:r>
        <w:rPr>
          <w:rFonts w:ascii="Arial" w:cs="Arial" w:eastAsia="Arial" w:hAnsi="Arial"/>
          <w:sz w:val="14"/>
          <w:szCs w:val="14"/>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 Additionally, our focus on achieving our profitability goals may impact our revenue growth rate.</w:t>
      </w:r>
    </w:p>
    <w:p>
      <w:pPr>
        <w:spacing w:after="0" w:line="149" w:lineRule="exact"/>
        <w:rPr>
          <w:sz w:val="20"/>
          <w:szCs w:val="20"/>
          <w:color w:val="auto"/>
        </w:rPr>
      </w:pPr>
    </w:p>
    <w:p>
      <w:pPr>
        <w:ind w:right="20" w:firstLine="365"/>
        <w:spacing w:after="0" w:line="259" w:lineRule="auto"/>
        <w:rPr>
          <w:sz w:val="20"/>
          <w:szCs w:val="20"/>
          <w:color w:val="auto"/>
        </w:rPr>
      </w:pPr>
      <w:r>
        <w:rPr>
          <w:rFonts w:ascii="Arial" w:cs="Arial" w:eastAsia="Arial" w:hAnsi="Arial"/>
          <w:sz w:val="14"/>
          <w:szCs w:val="14"/>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7" w:name="page38"/>
    <w:bookmarkEnd w:id="37"/>
    <w:p>
      <w:pPr>
        <w:ind w:right="280" w:firstLine="365"/>
        <w:spacing w:after="0" w:line="259" w:lineRule="auto"/>
        <w:rPr>
          <w:sz w:val="20"/>
          <w:szCs w:val="20"/>
          <w:color w:val="auto"/>
        </w:rPr>
      </w:pPr>
      <w:r>
        <w:rPr>
          <w:rFonts w:ascii="Arial" w:cs="Arial" w:eastAsia="Arial" w:hAnsi="Arial"/>
          <w:sz w:val="14"/>
          <w:szCs w:val="14"/>
          <w:b w:val="1"/>
          <w:bCs w:val="1"/>
          <w:i w:val="1"/>
          <w:iCs w:val="1"/>
          <w:color w:val="auto"/>
        </w:rPr>
        <w:t>Our quarterly results may fluctuate, and if we fail to meet securities analysts’ and investors’ expectations, then the trading price of our Class A common stock and the value of your investment could decline substantially.</w:t>
      </w:r>
    </w:p>
    <w:p>
      <w:pPr>
        <w:spacing w:after="0" w:line="140" w:lineRule="exact"/>
        <w:rPr>
          <w:sz w:val="20"/>
          <w:szCs w:val="20"/>
          <w:color w:val="auto"/>
        </w:rPr>
      </w:pPr>
    </w:p>
    <w:p>
      <w:pPr>
        <w:ind w:right="240" w:firstLine="365"/>
        <w:spacing w:after="0" w:line="302" w:lineRule="auto"/>
        <w:rPr>
          <w:sz w:val="20"/>
          <w:szCs w:val="20"/>
          <w:color w:val="auto"/>
        </w:rPr>
      </w:pPr>
      <w:r>
        <w:rPr>
          <w:rFonts w:ascii="Arial" w:cs="Arial" w:eastAsia="Arial" w:hAnsi="Arial"/>
          <w:sz w:val="12"/>
          <w:szCs w:val="12"/>
          <w:color w:val="auto"/>
        </w:rPr>
        <w:t>Our results of operations, including the levels of our revenue, cost of revenue, gross margin and operating expenses, have fluctuated from quarter to quarter in the past and may continue to vary significantly in the future. These fluctuations are a result of a variety of factors, many of which are outside of our control, and may be difficult to predict and may or may not fully reflect the underlying performance of our business. If our quarterly results of operations or forward-looking quarterly and annual financial guidance fall below the expectations of investors or securities analysts, then the trading price of our Class A common stock could decline substantially. Some of the important factors that may cause our results of operations to fluctuate from quarter to quarter include:</w:t>
      </w:r>
    </w:p>
    <w:p>
      <w:pPr>
        <w:spacing w:after="0" w:line="117" w:lineRule="exact"/>
        <w:rPr>
          <w:sz w:val="20"/>
          <w:szCs w:val="20"/>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retain and increase revenue from existing customers and attract new customers;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fluctuations in the amount of revenue from our Active Customer Accounts;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attract and retain enterprises and international organizations as customers;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impact of COVID-19 and other global events and economic conditions on our customers, partners and service providers and the global economy in general;</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introduce new products and enhance existing products;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competition and the actions of our competitors, including pricing changes and the introduction of new products, services and geographies;</w:t>
      </w:r>
    </w:p>
    <w:p>
      <w:pPr>
        <w:spacing w:after="0" w:line="163" w:lineRule="exact"/>
        <w:rPr>
          <w:rFonts w:ascii="Arial" w:cs="Arial" w:eastAsia="Arial" w:hAnsi="Arial"/>
          <w:sz w:val="14"/>
          <w:szCs w:val="14"/>
          <w:color w:val="auto"/>
        </w:rPr>
      </w:pPr>
    </w:p>
    <w:p>
      <w:pPr>
        <w:ind w:left="740" w:hanging="252"/>
        <w:spacing w:after="0" w:line="247" w:lineRule="auto"/>
        <w:tabs>
          <w:tab w:leader="none" w:pos="736"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laws, industry standards, regulations or regulatory enforcement in the United States or internationally, such as the invalidation of the EU-U.S. Privacy Shield by the Court of Justice of the European Union, the implementation and enforcement of new global privacy laws, such as the General Data Protection Regulation (“GDPR”), the California Consumer Privacy Act of 2018 (“CCPA”) and Brazil's General Data Protection Law (Lei Geral de Proteção de Dados Pessoais) (Law No. 13,709/2018), and the adoption of SHAKEN/STIR and other robocalling prevention and anti-spam standards, all of which increase compliance costs;</w:t>
      </w:r>
    </w:p>
    <w:p>
      <w:pPr>
        <w:spacing w:after="0" w:line="149" w:lineRule="exact"/>
        <w:rPr>
          <w:rFonts w:ascii="Arial" w:cs="Arial" w:eastAsia="Arial" w:hAnsi="Arial"/>
          <w:sz w:val="14"/>
          <w:szCs w:val="14"/>
          <w:color w:val="auto"/>
        </w:rPr>
      </w:pPr>
    </w:p>
    <w:p>
      <w:pPr>
        <w:ind w:left="740" w:right="200" w:hanging="252"/>
        <w:spacing w:after="0" w:line="259" w:lineRule="auto"/>
        <w:tabs>
          <w:tab w:leader="none" w:pos="736"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to the policies or practices of third-party platforms, such as the Apple App Store and the Google Play Store, including with respect to Apple’s Identifier for Advertisers (IDFA), which helps advertisers assess the effectiveness of their advertising efforts, and with respect to transparency regarding data processing;</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number of new employee hires during a particular period;</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network service provider fees that we pay in connection with the delivery of communications on our platform;</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cloud infrastructure fees that we pay in connection with the operation of our platform;</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our pricing as a result of our optimization efforts or otherwise;</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reductions in pricing or maintaining current pricing despite inflationary pressure as a result of negotiations with our larger customers;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rate of expansion and productivity of our sales force, including our enterprise sales force, which has been a focus of our recent expansion efforts;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the size and complexity of our customer relationships;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length and complexity of the sales cycle for our services, especially for sales to larger enterprises, government and regulated organizations;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 in the mix of products that our customers use during a particular period;</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 in the revenue mix of U.S. and international products;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38" w:name="page39"/>
    <w:bookmarkEnd w:id="38"/>
    <w:p>
      <w:pPr>
        <w:ind w:left="740" w:hanging="252"/>
        <w:spacing w:after="0" w:line="259" w:lineRule="auto"/>
        <w:tabs>
          <w:tab w:leader="none" w:pos="73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 and timing of operating costs and capital expenditures related to the operations and expansion of our business, including investments in our international expansion, additional systems and processes and research and development of new products and services;</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significant security breaches of, technical difficulties with, or interruptions to, the delivery and use of our products on our platform;</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expenses in connection with mergers, acquisitions or other strategic transactions and the follow-on costs of integration;</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timing of customer payments and any difficulty in collecting accounts receivable from customers;</w:t>
      </w:r>
    </w:p>
    <w:p>
      <w:pPr>
        <w:spacing w:after="0" w:line="163" w:lineRule="exact"/>
        <w:rPr>
          <w:rFonts w:ascii="Arial" w:cs="Arial" w:eastAsia="Arial" w:hAnsi="Arial"/>
          <w:sz w:val="14"/>
          <w:szCs w:val="14"/>
          <w:color w:val="auto"/>
        </w:rPr>
      </w:pPr>
    </w:p>
    <w:p>
      <w:pPr>
        <w:ind w:left="740" w:right="260" w:hanging="252"/>
        <w:spacing w:after="0" w:line="342" w:lineRule="auto"/>
        <w:tabs>
          <w:tab w:leader="none" w:pos="736" w:val="left"/>
        </w:tabs>
        <w:numPr>
          <w:ilvl w:val="0"/>
          <w:numId w:val="30"/>
        </w:numPr>
        <w:rPr>
          <w:rFonts w:ascii="Arial" w:cs="Arial" w:eastAsia="Arial" w:hAnsi="Arial"/>
          <w:sz w:val="12"/>
          <w:szCs w:val="12"/>
          <w:color w:val="auto"/>
        </w:rPr>
      </w:pPr>
      <w:r>
        <w:rPr>
          <w:rFonts w:ascii="Arial" w:cs="Arial" w:eastAsia="Arial" w:hAnsi="Arial"/>
          <w:sz w:val="12"/>
          <w:szCs w:val="12"/>
          <w:color w:val="auto"/>
        </w:rPr>
        <w:t>general economic conditions, including a downturn or recession, rising inflation and rising interest rates, that may adversely affect a prospective customer’s ability or willingness to adopt our products, delay a prospective customer’s adoption decision, reduce the revenue that we generate from the use of our products or affect customer retention;</w:t>
      </w:r>
    </w:p>
    <w:p>
      <w:pPr>
        <w:spacing w:after="0" w:line="93" w:lineRule="exact"/>
        <w:rPr>
          <w:rFonts w:ascii="Arial" w:cs="Arial" w:eastAsia="Arial" w:hAnsi="Arial"/>
          <w:sz w:val="12"/>
          <w:szCs w:val="12"/>
          <w:color w:val="auto"/>
        </w:rPr>
      </w:pPr>
    </w:p>
    <w:p>
      <w:pPr>
        <w:ind w:left="720" w:hanging="232"/>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labor shortages, supply chain disruptions and rising inflation and our ability to control costs, including our operating expenses;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attract and retain qualified employees and key personnel;</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foreign currency exchange rates and our ability to effectively hedge our foreign currency exposure;</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extraordinary expenses such as litigation or other dispute-related settlement payments;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sales tax and other tax determinations by authorities in the jurisdictions in which we conduct business;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impact of new accounting pronouncements; and</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fluctuations in stock-based compensation expense.</w:t>
      </w:r>
    </w:p>
    <w:p>
      <w:pPr>
        <w:spacing w:after="0" w:line="164" w:lineRule="exact"/>
        <w:rPr>
          <w:sz w:val="20"/>
          <w:szCs w:val="20"/>
          <w:color w:val="auto"/>
        </w:rPr>
      </w:pPr>
    </w:p>
    <w:p>
      <w:pPr>
        <w:ind w:right="120" w:firstLine="365"/>
        <w:spacing w:after="0" w:line="302" w:lineRule="auto"/>
        <w:rPr>
          <w:sz w:val="20"/>
          <w:szCs w:val="20"/>
          <w:color w:val="auto"/>
        </w:rPr>
      </w:pPr>
      <w:r>
        <w:rPr>
          <w:rFonts w:ascii="Arial" w:cs="Arial" w:eastAsia="Arial" w:hAnsi="Arial"/>
          <w:sz w:val="12"/>
          <w:szCs w:val="12"/>
          <w:color w:val="auto"/>
        </w:rPr>
        <w:t>The occurrence of one or more of the foregoing and other factors may cause our results of operations to vary significantly. As such, we believe that quarter-to-quarter comparisons of our results of operations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income (loss) and margins in the short term. If we fail to meet or exceed the expectations of investors or securities analysts, then the trading price of our Class A common stock could fall substantially, and we could face costly lawsuits, including securities class action suits.</w:t>
      </w:r>
    </w:p>
    <w:p>
      <w:pPr>
        <w:spacing w:after="0" w:line="117" w:lineRule="exact"/>
        <w:rPr>
          <w:sz w:val="20"/>
          <w:szCs w:val="20"/>
          <w:color w:val="auto"/>
        </w:rPr>
      </w:pPr>
    </w:p>
    <w:p>
      <w:pPr>
        <w:ind w:right="20" w:firstLine="365"/>
        <w:spacing w:after="0" w:line="246" w:lineRule="auto"/>
        <w:rPr>
          <w:sz w:val="20"/>
          <w:szCs w:val="20"/>
          <w:color w:val="auto"/>
        </w:rPr>
      </w:pPr>
      <w:r>
        <w:rPr>
          <w:rFonts w:ascii="Arial" w:cs="Arial" w:eastAsia="Arial" w:hAnsi="Arial"/>
          <w:sz w:val="14"/>
          <w:szCs w:val="14"/>
          <w:color w:val="auto"/>
        </w:rPr>
        <w:t>Additionally, public heath epidemics or pandemics and geopolitical events such as the COVID-19 pandemic and the war in Ukraine, as well as certain large-scale events, such as major elections and sporting events, can significantly impact usage levels on our platform, which has, and could in the future, cause fluctuations in our results of operations. We expect that significantly increased usage of all communications platforms, including ours, during certain seasonal and one-time events could impact delivery and quality of our products during those events. We also tend to experience increased expenses in connection with the hosting of SIGNAL, which we plan to continue to host annually. Such annual and one-time events may cause fluctuations in our results of operations and may impact both our revenue and operating expenses.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An economic downturn, the global COVID-19 pandemic or significant volatility with certain markets could adversely impact our business, results of operations and financial condition.</w:t>
      </w:r>
    </w:p>
    <w:p>
      <w:pPr>
        <w:spacing w:after="0" w:line="187" w:lineRule="exact"/>
        <w:rPr>
          <w:sz w:val="20"/>
          <w:szCs w:val="20"/>
          <w:color w:val="auto"/>
        </w:rPr>
      </w:pPr>
    </w:p>
    <w:p>
      <w:pPr>
        <w:ind w:right="240" w:firstLine="365"/>
        <w:spacing w:after="0" w:line="246" w:lineRule="auto"/>
        <w:rPr>
          <w:sz w:val="20"/>
          <w:szCs w:val="20"/>
          <w:color w:val="auto"/>
        </w:rPr>
      </w:pPr>
      <w:r>
        <w:rPr>
          <w:rFonts w:ascii="Arial" w:cs="Arial" w:eastAsia="Arial" w:hAnsi="Arial"/>
          <w:sz w:val="14"/>
          <w:szCs w:val="14"/>
          <w:color w:val="auto"/>
        </w:rPr>
        <w:t>The global COVID-19 pandemic has in the past disrupted, and may continue to disrupt, our day-to-day operations and the operations of our customers, partners and service providers. The continued uncertainty regarding the trajectory of the pandemic and its impact on the global economy may result in differing levels of demand for our products as the priorities, resources, financial conditions and economic outlook of our customers, partners and service providers change, which could adversely affect or increase the volatility of our financial results. Certain industries were initially more negatively impacted by COVID-19, while others were positively impacted. It has been and may continue to be more difficult for us to forecast usage levels and predict revenue trends for the more adversely impacted industries. Any prolonged contractions in industries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39" w:name="page40"/>
    <w:bookmarkEnd w:id="39"/>
    <w:p>
      <w:pPr>
        <w:ind w:right="120"/>
        <w:spacing w:after="0" w:line="259" w:lineRule="auto"/>
        <w:rPr>
          <w:sz w:val="20"/>
          <w:szCs w:val="20"/>
          <w:color w:val="auto"/>
        </w:rPr>
      </w:pPr>
      <w:r>
        <w:rPr>
          <w:rFonts w:ascii="Arial" w:cs="Arial" w:eastAsia="Arial" w:hAnsi="Arial"/>
          <w:sz w:val="14"/>
          <w:szCs w:val="14"/>
          <w:color w:val="auto"/>
        </w:rPr>
        <w:t>historically impacted by COVID-19, along with any effects on supply chain or on other industries in which our customers, partners and service providers operate, could adversely impact our business, results of operations and financial condition.</w:t>
      </w:r>
    </w:p>
    <w:p>
      <w:pPr>
        <w:spacing w:after="0" w:line="150" w:lineRule="exact"/>
        <w:rPr>
          <w:sz w:val="20"/>
          <w:szCs w:val="20"/>
          <w:color w:val="auto"/>
        </w:rPr>
      </w:pPr>
    </w:p>
    <w:p>
      <w:pPr>
        <w:ind w:firstLine="365"/>
        <w:spacing w:after="0" w:line="251" w:lineRule="auto"/>
        <w:rPr>
          <w:sz w:val="20"/>
          <w:szCs w:val="20"/>
          <w:color w:val="auto"/>
        </w:rPr>
      </w:pPr>
      <w:r>
        <w:rPr>
          <w:rFonts w:ascii="Arial" w:cs="Arial" w:eastAsia="Arial" w:hAnsi="Arial"/>
          <w:sz w:val="12"/>
          <w:szCs w:val="12"/>
          <w:color w:val="auto"/>
        </w:rPr>
        <w:t>Additionally the COVID-19 pandemic has adversely affected global economic and market conditions, including at times contributing to labor shortages, supply chain disruptions and inflation, which are likely to continue for an extended period, and which could result in decreased business spending by our customers and prospective customers and business partners and third-party business partners, reduced demand for our solutions, lower renewal rates by our customers, longer or delayed sales cycles, including customers and prospective customers delaying contract signing or contract renewals, or reducing budgets or minimum commitments related to the product and services that we offer, all of which could have an adverse impact on our business operations and financial condition. Specifically, we often enter into annual or multi-year, minimum commitment arrangements with our customers. Certain industries may be more negatively impacted by adverse macroeconomic conditions, like retail, consumer packaged goods, direct-to-consumer and other industries dependent on consumer spending, and the concentration of our customer base within these industries could exacerbate the impacts of a global recession or market uncertainties on our business. Additionally, we generate a portion of our revenue from small and medium-sized businesses, which may be affected by economic downturns and other adverse macroeconomic conditions to a greater extent than larger enterprises, as they typically have more limited financial resources and capital borrowing capacity. Furthermore, we generate a portion of our revenue from certain sectors of the economy that have experienced recent softness, including cryptocurrencies, consumer on-demand and social media, as well as some instances of longer sales cycles. Additionally, if customers fail to pay us or reduce their spending with us, we may be adversely affected by an inability to collect amounts due, the cost of enforcing the terms of our contracts, including litigation, or a reduction in revenue. The continuing pandemic could also result in constrained supply or reduced customer demand and willingness to enter into or renew contracts with us, any of which could adversely impact our business, results of operations and overall financial performance in future periods. While we have developed and continue to develop plans to help mitigate the potential negative impact of the pandemic on our business, these efforts may not be effective, and a protracted economic downturn, including due to factors such as labor shortages, supply chain disruptions and inflation, may limit the effectiveness of our mitigation efforts.</w:t>
      </w:r>
    </w:p>
    <w:p>
      <w:pPr>
        <w:spacing w:after="0" w:line="286" w:lineRule="exact"/>
        <w:rPr>
          <w:sz w:val="20"/>
          <w:szCs w:val="20"/>
          <w:color w:val="auto"/>
        </w:rPr>
      </w:pPr>
    </w:p>
    <w:p>
      <w:pPr>
        <w:ind w:right="80" w:firstLine="365"/>
        <w:spacing w:after="0" w:line="291" w:lineRule="auto"/>
        <w:rPr>
          <w:sz w:val="20"/>
          <w:szCs w:val="20"/>
          <w:color w:val="auto"/>
        </w:rPr>
      </w:pPr>
      <w:r>
        <w:rPr>
          <w:rFonts w:ascii="Arial" w:cs="Arial" w:eastAsia="Arial" w:hAnsi="Arial"/>
          <w:sz w:val="12"/>
          <w:szCs w:val="12"/>
          <w:color w:val="auto"/>
        </w:rPr>
        <w:t>In addition, as companies continue to support a fully remote workforce, and begin to adapt to hybrid work environments, and as individuals increasingly utilize voice, video and messaging for their communication needs, there will be increased strain and demand for telecommunications infrastructure, including our voice, video and messaging products. Supporting increased demand will require us to make additional investments to increase network capacity, the availability of which may be limited. For example, if the data centers that we rely on for our cloud infrastructure and the network service providers that we interconnect with are unable to keep up with capacity needs or if governmental or regulatory authorities determine to limit our bandwidth, customers may experience delays, interruptions or outages in service. From time to time, including during the COVID-19 pandemic, our data center suppliers and our network service providers have had some outages which resulted in disruptions to service for some of our customers. Such traffic management measures could result in customers experiencing delays, interruptions or outages in services. Any of these events could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To the extent that the COVID-19 pandemic harms our business, results of operations and financial condition, many of the other risks described in this “Risk Factors” section will be exacerbated.</w:t>
      </w:r>
    </w:p>
    <w:p>
      <w:pPr>
        <w:spacing w:after="0" w:line="187" w:lineRule="exact"/>
        <w:rPr>
          <w:sz w:val="20"/>
          <w:szCs w:val="20"/>
          <w:color w:val="auto"/>
        </w:rPr>
      </w:pPr>
    </w:p>
    <w:p>
      <w:pPr>
        <w:ind w:right="620" w:firstLine="365"/>
        <w:spacing w:after="0" w:line="259" w:lineRule="auto"/>
        <w:rPr>
          <w:sz w:val="20"/>
          <w:szCs w:val="20"/>
          <w:color w:val="auto"/>
        </w:rPr>
      </w:pPr>
      <w:r>
        <w:rPr>
          <w:rFonts w:ascii="Arial" w:cs="Arial" w:eastAsia="Arial" w:hAnsi="Arial"/>
          <w:sz w:val="14"/>
          <w:szCs w:val="14"/>
          <w:b w:val="1"/>
          <w:bCs w:val="1"/>
          <w:i w:val="1"/>
          <w:iCs w:val="1"/>
          <w:color w:val="auto"/>
        </w:rPr>
        <w:t>We depend largely on the continued services of our senior management and other key employees, the loss or incapacitation of any of whom could adversely affect our business, results of operations and financial condition.</w:t>
      </w:r>
    </w:p>
    <w:p>
      <w:pPr>
        <w:spacing w:after="0" w:line="140" w:lineRule="exact"/>
        <w:rPr>
          <w:sz w:val="20"/>
          <w:szCs w:val="20"/>
          <w:color w:val="auto"/>
        </w:rPr>
      </w:pPr>
    </w:p>
    <w:p>
      <w:pPr>
        <w:ind w:right="100" w:firstLine="365"/>
        <w:spacing w:after="0" w:line="164" w:lineRule="exact"/>
        <w:rPr>
          <w:sz w:val="20"/>
          <w:szCs w:val="20"/>
          <w:color w:val="auto"/>
        </w:rPr>
      </w:pPr>
      <w:r>
        <w:rPr>
          <w:rFonts w:ascii="Arial" w:cs="Arial" w:eastAsia="Arial" w:hAnsi="Arial"/>
          <w:sz w:val="12"/>
          <w:szCs w:val="12"/>
          <w:color w:val="auto"/>
        </w:rPr>
        <w:t>Our future performance depends on the continued services and contributions of our senior management and other key employees to execute on our business plan, to develop our products and platform, to deliver our products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w:t>
      </w:r>
      <w:r>
        <w:rPr>
          <w:rFonts w:ascii="MS PGothic" w:cs="MS PGothic" w:eastAsia="MS PGothic" w:hAnsi="MS PGothic"/>
          <w:sz w:val="12"/>
          <w:szCs w:val="12"/>
          <w:color w:val="auto"/>
        </w:rPr>
        <w:t>‑</w:t>
      </w:r>
      <w:r>
        <w:rPr>
          <w:rFonts w:ascii="Arial" w:cs="Arial" w:eastAsia="Arial" w:hAnsi="Arial"/>
          <w:sz w:val="12"/>
          <w:szCs w:val="12"/>
          <w:color w:val="auto"/>
        </w:rPr>
        <w:t>founder and Chief Executive Officer, Jeff Lawson. None of our executive officers or other senior management are bound by a written employment agreement and any of them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such loss could significantly delay or prevent the achievement of our business objectives. The loss of the services of any of our senior management or other key employees for any reason could adversely affect our business, results of operations and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40" w:name="page41"/>
    <w:bookmarkEnd w:id="40"/>
    <w:p>
      <w:pPr>
        <w:ind w:left="360"/>
        <w:spacing w:after="0"/>
        <w:rPr>
          <w:sz w:val="20"/>
          <w:szCs w:val="20"/>
          <w:color w:val="auto"/>
        </w:rPr>
      </w:pPr>
      <w:r>
        <w:rPr>
          <w:rFonts w:ascii="Arial" w:cs="Arial" w:eastAsia="Arial" w:hAnsi="Arial"/>
          <w:sz w:val="14"/>
          <w:szCs w:val="14"/>
          <w:b w:val="1"/>
          <w:bCs w:val="1"/>
          <w:i w:val="1"/>
          <w:iCs w:val="1"/>
          <w:color w:val="auto"/>
        </w:rPr>
        <w:t>If we are unable to hire, retain and motivate qualified employees, our business will suffer.</w:t>
      </w:r>
    </w:p>
    <w:p>
      <w:pPr>
        <w:spacing w:after="0" w:line="164" w:lineRule="exact"/>
        <w:rPr>
          <w:sz w:val="20"/>
          <w:szCs w:val="20"/>
          <w:color w:val="auto"/>
        </w:rPr>
      </w:pPr>
    </w:p>
    <w:p>
      <w:pPr>
        <w:ind w:right="120" w:firstLine="365"/>
        <w:spacing w:after="0" w:line="291" w:lineRule="auto"/>
        <w:rPr>
          <w:sz w:val="20"/>
          <w:szCs w:val="20"/>
          <w:color w:val="auto"/>
        </w:rPr>
      </w:pPr>
      <w:r>
        <w:rPr>
          <w:rFonts w:ascii="Arial" w:cs="Arial" w:eastAsia="Arial" w:hAnsi="Arial"/>
          <w:sz w:val="12"/>
          <w:szCs w:val="12"/>
          <w:color w:val="auto"/>
        </w:rPr>
        <w:t>Our future success depends, in part, on our ability to continue to attract and retain highly skilled employees. We believe that there is, and will continue to be, intense competition for highly skilled management, technical, sales and other employees with experience in our industry. In addition, we have experienced and may continue to experience employee turnover as a result of the ongoing “great resignation” occurring throughout the U.S. economy. New employees require training, take time before they achieve full productivity, and may not become as productive as we expect, and we may be unable to hire or retain sufficient numbers of qualified individuals. Additionally, we have focused our hiring efforts on areas such as Segment, Engage and Flex, and we’ve frozen the vast majority of new hires and backfills outside of these core areas. In addition, our new Open Work hybrid approach to work, announced in February 2021, may not meet the expectations of our workforce. Further, labor is subject to external factors that are beyond our control, including our industry’s highly competitive market for skilled workers and leaders, cost inflation, the COVID-19 pandemic and workforce participation rates. We</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must provide competitive compensation packages and a high-quality work environment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To the extent we hire employees from competitors, we also may be subject to allegations that they have been improperly solicited or divulged proprietary or other confidential information. Volatility in, or the actual or perceived lack of performance of, our stock price may also affect our ability to attract and retain key employees. If we are unable to retain our employees, our business, results of operations and financial condition could be adversely affected.</w:t>
      </w:r>
    </w:p>
    <w:p>
      <w:pPr>
        <w:spacing w:after="0" w:line="149" w:lineRule="exact"/>
        <w:rPr>
          <w:sz w:val="20"/>
          <w:szCs w:val="20"/>
          <w:color w:val="auto"/>
        </w:rPr>
      </w:pPr>
    </w:p>
    <w:p>
      <w:pPr>
        <w:ind w:right="200" w:firstLine="365"/>
        <w:spacing w:after="0" w:line="259" w:lineRule="auto"/>
        <w:rPr>
          <w:sz w:val="20"/>
          <w:szCs w:val="20"/>
          <w:color w:val="auto"/>
        </w:rPr>
      </w:pPr>
      <w:r>
        <w:rPr>
          <w:rFonts w:ascii="Arial" w:cs="Arial" w:eastAsia="Arial" w:hAnsi="Arial"/>
          <w:sz w:val="14"/>
          <w:szCs w:val="14"/>
          <w:b w:val="1"/>
          <w:bCs w:val="1"/>
          <w:i w:val="1"/>
          <w:iCs w:val="1"/>
          <w:color w:val="auto"/>
        </w:rPr>
        <w:t>Our business depends on customers increasing their use of our products, and a loss of customers or decline in their use of our products could adversely affect our business, results of operations and financial condition.</w:t>
      </w:r>
    </w:p>
    <w:p>
      <w:pPr>
        <w:spacing w:after="0" w:line="150" w:lineRule="exact"/>
        <w:rPr>
          <w:sz w:val="20"/>
          <w:szCs w:val="20"/>
          <w:color w:val="auto"/>
        </w:rPr>
      </w:pPr>
    </w:p>
    <w:p>
      <w:pPr>
        <w:ind w:right="60" w:firstLine="365"/>
        <w:spacing w:after="0" w:line="255" w:lineRule="auto"/>
        <w:rPr>
          <w:sz w:val="20"/>
          <w:szCs w:val="20"/>
          <w:color w:val="auto"/>
        </w:rPr>
      </w:pPr>
      <w:r>
        <w:rPr>
          <w:rFonts w:ascii="Arial" w:cs="Arial" w:eastAsia="Arial" w:hAnsi="Arial"/>
          <w:sz w:val="12"/>
          <w:szCs w:val="12"/>
          <w:color w:val="auto"/>
        </w:rPr>
        <w:t>Our ability to grow and generate incremental revenue depends, in part, on our ability to maintain and grow our relationships with existing customers (including any customers acquired in connection with our acquisitions) and to have them increase their usage of our platform. If our customers do not increase their use of our products, then our revenue may decline, and our results of operations may be harmed. Customers are charged based on the usage of our products. Most of our customers do not have long-term contractual financial commitments to us and, therefore, most of our customers may reduce or cease their use of our products at any time without penalty or termination charges. Customers may terminate or reduce their use of our products for any number of reasons, including if they are not satisfied with our products, the value proposition of our products or our ability to meet their needs and expectations, or due to their use of competitors’ products. For example, there have been instances in which technical reliability issues have caused service disruptions with one or more products in our cloud communications platform that have impacted our customers’ ability to use such products for up to several hours. These issues have caused us to incur certain costs associated with offering credits to our affected customers and have had an adverse impact on customer satisfaction. A loss of customers or reduced utilization of our products by customers resulting from service disruptions could adversely affect our business, results of operations and financial condition.</w:t>
      </w:r>
    </w:p>
    <w:p>
      <w:pPr>
        <w:spacing w:after="0" w:line="126" w:lineRule="exact"/>
        <w:rPr>
          <w:sz w:val="20"/>
          <w:szCs w:val="20"/>
          <w:color w:val="auto"/>
        </w:rPr>
      </w:pPr>
    </w:p>
    <w:p>
      <w:pPr>
        <w:ind w:firstLine="365"/>
        <w:spacing w:after="0" w:line="220" w:lineRule="auto"/>
        <w:rPr>
          <w:sz w:val="20"/>
          <w:szCs w:val="20"/>
          <w:color w:val="auto"/>
        </w:rPr>
      </w:pPr>
      <w:r>
        <w:rPr>
          <w:rFonts w:ascii="Arial" w:cs="Arial" w:eastAsia="Arial" w:hAnsi="Arial"/>
          <w:sz w:val="14"/>
          <w:szCs w:val="14"/>
          <w:color w:val="auto"/>
        </w:rPr>
        <w:t>We cannot accurately predict customers’ usage levels, and the loss of customers or reductions in their usage levels of our products may each have a negative impact on our business, results of operations and financial condition and may cause our Dollar-Based Net Expansion Rate to decline in the future if customers are not satisfied with our products, the value proposition of our products or our ability to meet their needs and expectations. If a significant number of customers cease using, or reduce their usage of our products,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145" w:lineRule="exact"/>
        <w:rPr>
          <w:sz w:val="20"/>
          <w:szCs w:val="20"/>
          <w:color w:val="auto"/>
        </w:rPr>
      </w:pPr>
    </w:p>
    <w:p>
      <w:pPr>
        <w:ind w:right="440" w:firstLine="365"/>
        <w:spacing w:after="0" w:line="259" w:lineRule="auto"/>
        <w:rPr>
          <w:sz w:val="20"/>
          <w:szCs w:val="20"/>
          <w:color w:val="auto"/>
        </w:rPr>
      </w:pPr>
      <w:r>
        <w:rPr>
          <w:rFonts w:ascii="Arial" w:cs="Arial" w:eastAsia="Arial" w:hAnsi="Arial"/>
          <w:sz w:val="14"/>
          <w:szCs w:val="14"/>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40" w:lineRule="exact"/>
        <w:rPr>
          <w:sz w:val="20"/>
          <w:szCs w:val="20"/>
          <w:color w:val="auto"/>
        </w:rPr>
      </w:pPr>
    </w:p>
    <w:p>
      <w:pPr>
        <w:ind w:right="20" w:firstLine="365"/>
        <w:spacing w:after="0" w:line="245" w:lineRule="auto"/>
        <w:rPr>
          <w:sz w:val="20"/>
          <w:szCs w:val="20"/>
          <w:color w:val="auto"/>
        </w:rPr>
      </w:pPr>
      <w:r>
        <w:rPr>
          <w:rFonts w:ascii="Arial" w:cs="Arial" w:eastAsia="Arial" w:hAnsi="Arial"/>
          <w:sz w:val="14"/>
          <w:szCs w:val="14"/>
          <w:color w:val="auto"/>
        </w:rPr>
        <w:t>We believe that maintaining and enhancing the “Twilio” brand identity and increasing market awareness of our company and products, particularly among developers,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51" w:lineRule="exact"/>
        <w:rPr>
          <w:sz w:val="20"/>
          <w:szCs w:val="20"/>
          <w:color w:val="auto"/>
        </w:rPr>
      </w:pPr>
    </w:p>
    <w:p>
      <w:pPr>
        <w:ind w:right="180" w:firstLine="365"/>
        <w:spacing w:after="0" w:line="259" w:lineRule="auto"/>
        <w:rPr>
          <w:sz w:val="20"/>
          <w:szCs w:val="20"/>
          <w:color w:val="auto"/>
        </w:rPr>
      </w:pPr>
      <w:r>
        <w:rPr>
          <w:rFonts w:ascii="Arial" w:cs="Arial" w:eastAsia="Arial" w:hAnsi="Arial"/>
          <w:sz w:val="14"/>
          <w:szCs w:val="14"/>
          <w:color w:val="auto"/>
        </w:rPr>
        <w:t>From time to time, our customers have complained about our products, such as complaints about our pricing, the technical reliability of our products and platform, and our customer support. If we do not handle customer complaints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41" w:name="page42"/>
    <w:bookmarkEnd w:id="41"/>
    <w:p>
      <w:pPr>
        <w:ind w:right="120"/>
        <w:spacing w:after="0" w:line="297" w:lineRule="auto"/>
        <w:rPr>
          <w:sz w:val="20"/>
          <w:szCs w:val="20"/>
          <w:color w:val="auto"/>
        </w:rPr>
      </w:pPr>
      <w:r>
        <w:rPr>
          <w:rFonts w:ascii="Arial" w:cs="Arial" w:eastAsia="Arial" w:hAnsi="Arial"/>
          <w:sz w:val="12"/>
          <w:szCs w:val="12"/>
          <w:color w:val="auto"/>
        </w:rPr>
        <w:t>effectively, then our brand and reputation may suffer, our customers may lose confidence in us and they may reduce or cease their use of our products. In addition, many of our customers post and discuss on social media about Internet-based products and services, including our products and platform. Our success depends, in part, on our ability to generate positive customer feedback and minimize negative feedback on social media channels where existing and potential customers seek and share information. If actions we take or changes we make to our products or platform upset these customers, then their online commentary could negatively affect our brand, reputation and customer trust. Complaints or negative publicity about us, our products or our platform could adversely impact our ability to attract and retain customers, and otherwise harm our business, results of operations and financial condition.</w:t>
      </w:r>
    </w:p>
    <w:p>
      <w:pPr>
        <w:spacing w:after="0" w:line="120" w:lineRule="exact"/>
        <w:rPr>
          <w:sz w:val="20"/>
          <w:szCs w:val="20"/>
          <w:color w:val="auto"/>
        </w:rPr>
      </w:pPr>
    </w:p>
    <w:p>
      <w:pPr>
        <w:jc w:val="both"/>
        <w:ind w:right="160" w:firstLine="365"/>
        <w:spacing w:after="0" w:line="250" w:lineRule="auto"/>
        <w:rPr>
          <w:sz w:val="20"/>
          <w:szCs w:val="20"/>
          <w:color w:val="auto"/>
        </w:rPr>
      </w:pPr>
      <w:r>
        <w:rPr>
          <w:rFonts w:ascii="Arial" w:cs="Arial" w:eastAsia="Arial" w:hAnsi="Arial"/>
          <w:sz w:val="14"/>
          <w:szCs w:val="14"/>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including, but not limited to, as a result of recent inflationary pressures.</w:t>
      </w:r>
    </w:p>
    <w:p>
      <w:pPr>
        <w:spacing w:after="0" w:line="146" w:lineRule="exact"/>
        <w:rPr>
          <w:sz w:val="20"/>
          <w:szCs w:val="20"/>
          <w:color w:val="auto"/>
        </w:rPr>
      </w:pPr>
    </w:p>
    <w:p>
      <w:pPr>
        <w:ind w:right="80" w:firstLine="365"/>
        <w:spacing w:after="0" w:line="259" w:lineRule="auto"/>
        <w:rPr>
          <w:sz w:val="20"/>
          <w:szCs w:val="20"/>
          <w:color w:val="auto"/>
        </w:rPr>
      </w:pPr>
      <w:r>
        <w:rPr>
          <w:rFonts w:ascii="Arial" w:cs="Arial" w:eastAsia="Arial" w:hAnsi="Arial"/>
          <w:sz w:val="14"/>
          <w:szCs w:val="14"/>
          <w:b w:val="1"/>
          <w:bCs w:val="1"/>
          <w:i w:val="1"/>
          <w:iCs w:val="1"/>
          <w:color w:val="auto"/>
        </w:rPr>
        <w:t>The market for our products and platform continues to evolve, and may decline or experience limited growth, and is dependent in part on developers continuing to adopt our platform and use our products.</w:t>
      </w:r>
    </w:p>
    <w:p>
      <w:pPr>
        <w:spacing w:after="0" w:line="140" w:lineRule="exact"/>
        <w:rPr>
          <w:sz w:val="20"/>
          <w:szCs w:val="20"/>
          <w:color w:val="auto"/>
        </w:rPr>
      </w:pPr>
    </w:p>
    <w:p>
      <w:pPr>
        <w:ind w:firstLine="365"/>
        <w:spacing w:after="0" w:line="166" w:lineRule="exact"/>
        <w:rPr>
          <w:sz w:val="20"/>
          <w:szCs w:val="20"/>
          <w:color w:val="auto"/>
        </w:rPr>
      </w:pPr>
      <w:r>
        <w:rPr>
          <w:rFonts w:ascii="Arial" w:cs="Arial" w:eastAsia="Arial" w:hAnsi="Arial"/>
          <w:sz w:val="12"/>
          <w:szCs w:val="12"/>
          <w:color w:val="auto"/>
        </w:rPr>
        <w:t>We were founded in 2008, and we have been developing and providing a cloud</w:t>
      </w:r>
      <w:r>
        <w:rPr>
          <w:rFonts w:ascii="MS PGothic" w:cs="MS PGothic" w:eastAsia="MS PGothic" w:hAnsi="MS PGothic"/>
          <w:sz w:val="12"/>
          <w:szCs w:val="12"/>
          <w:color w:val="auto"/>
        </w:rPr>
        <w:t>‑</w:t>
      </w:r>
      <w:r>
        <w:rPr>
          <w:rFonts w:ascii="Arial" w:cs="Arial" w:eastAsia="Arial" w:hAnsi="Arial"/>
          <w:sz w:val="12"/>
          <w:szCs w:val="12"/>
          <w:color w:val="auto"/>
        </w:rPr>
        <w:t>based platform that enables developers and organizations to integrate voice, messaging, video and email communications capabilities into their software applications. This market continues to evolve and is subject to a number of risks and uncertainties. We believe that our revenue currently constitutes a significant portion of the total revenue in this market, and therefore, we believe that our future success will depend in large part on the growth, if any, and evolution of this market. If developers and organizations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the functionality of our products and bringing new technologies to market to increase market acceptance and use of our platform. Additionally, we will continue to prioritize accelerating software sales, which could have an impact on our results of operations. Our ability to expand the market that our products and platform address depends upon a number of factors, including the cost, performance and perceived value associated with such products and platform. The market for our products and platform could fail to grow significantly or there could be a reduction in demand for our products as a result of a lack of developer acceptance, technological challenges, competing products and services, decreases in spending by current and prospective customers, weakening economic conditions, including due to labor shortages, supply chain disruptions and inflationary pressures, and other causes. If our market does not experience significant growth or demand for our products decreases, then our business, results of operations and financial condition could be adversely affected.</w:t>
      </w:r>
    </w:p>
    <w:p>
      <w:pPr>
        <w:spacing w:after="0" w:line="293" w:lineRule="exact"/>
        <w:rPr>
          <w:sz w:val="20"/>
          <w:szCs w:val="20"/>
          <w:color w:val="auto"/>
        </w:rPr>
      </w:pPr>
    </w:p>
    <w:p>
      <w:pPr>
        <w:ind w:right="60" w:firstLine="365"/>
        <w:spacing w:after="0" w:line="259" w:lineRule="auto"/>
        <w:rPr>
          <w:sz w:val="20"/>
          <w:szCs w:val="20"/>
          <w:color w:val="auto"/>
        </w:rPr>
      </w:pPr>
      <w:r>
        <w:rPr>
          <w:rFonts w:ascii="Arial" w:cs="Arial" w:eastAsia="Arial" w:hAnsi="Arial"/>
          <w:sz w:val="14"/>
          <w:szCs w:val="14"/>
          <w:b w:val="1"/>
          <w:bCs w:val="1"/>
          <w:i w:val="1"/>
          <w:iCs w:val="1"/>
          <w:color w:val="auto"/>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spacing w:after="0" w:line="140" w:lineRule="exact"/>
        <w:rPr>
          <w:sz w:val="20"/>
          <w:szCs w:val="20"/>
          <w:color w:val="auto"/>
        </w:rPr>
      </w:pPr>
    </w:p>
    <w:p>
      <w:pPr>
        <w:ind w:firstLine="365"/>
        <w:spacing w:after="0" w:line="312" w:lineRule="auto"/>
        <w:rPr>
          <w:sz w:val="20"/>
          <w:szCs w:val="20"/>
          <w:color w:val="auto"/>
        </w:rPr>
      </w:pPr>
      <w:r>
        <w:rPr>
          <w:rFonts w:ascii="Arial" w:cs="Arial" w:eastAsia="Arial" w:hAnsi="Arial"/>
          <w:sz w:val="12"/>
          <w:szCs w:val="12"/>
          <w:color w:val="auto"/>
        </w:rPr>
        <w:t>We and our customers are subject to numerous domestic (for example, CCPA in California) and foreign (for example, the GDPR in the EU) privacy, data protection and data security laws and regulations that restrict the collection, use, disclosure and processing of personal information, including financial and health data. These laws and regulations are evolving, are being tested in courts, may result in increasing regulatory and public scrutiny of our practices relating to personal information and may increase our exposure to regulatory enforcement action, sanctions and litigation.</w:t>
      </w:r>
    </w:p>
    <w:p>
      <w:pPr>
        <w:spacing w:after="0" w:line="111" w:lineRule="exact"/>
        <w:rPr>
          <w:sz w:val="20"/>
          <w:szCs w:val="20"/>
          <w:color w:val="auto"/>
        </w:rPr>
      </w:pPr>
    </w:p>
    <w:p>
      <w:pPr>
        <w:ind w:right="40" w:firstLine="365"/>
        <w:spacing w:after="0" w:line="297" w:lineRule="auto"/>
        <w:rPr>
          <w:sz w:val="20"/>
          <w:szCs w:val="20"/>
          <w:color w:val="auto"/>
        </w:rPr>
      </w:pPr>
      <w:r>
        <w:rPr>
          <w:rFonts w:ascii="Arial" w:cs="Arial" w:eastAsia="Arial" w:hAnsi="Arial"/>
          <w:sz w:val="12"/>
          <w:szCs w:val="12"/>
          <w:color w:val="auto"/>
        </w:rPr>
        <w:t>The CCPA imposes obligations on businesses to which it applies. These obligations include, but are not limited to, providing specific disclosures in privacy notices and affording California residents certain rights related to their personal information. The CCPA allows for statutory fines for noncompliance. In addition, the California Privacy Rights Act of 2020 (“CPRA”), enforceable from January 1, 2023, will expand the CCPA. Similar laws have been enacted or been proposed at the state and federal levels. For example, Connecticut, Utah, Virginia and Colorado have each passed laws similar to but different from the CPRA that take effect in 2023.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870" w:right="339" w:bottom="1440" w:gutter="0" w:footer="0" w:header="0"/>
        </w:sectPr>
      </w:pPr>
    </w:p>
    <w:bookmarkStart w:id="42" w:name="page43"/>
    <w:bookmarkEnd w:id="42"/>
    <w:p>
      <w:pPr>
        <w:ind w:right="20" w:firstLine="365"/>
        <w:spacing w:after="0" w:line="297" w:lineRule="auto"/>
        <w:rPr>
          <w:sz w:val="20"/>
          <w:szCs w:val="20"/>
          <w:color w:val="auto"/>
        </w:rPr>
      </w:pPr>
      <w:r>
        <w:rPr>
          <w:rFonts w:ascii="Arial" w:cs="Arial" w:eastAsia="Arial" w:hAnsi="Arial"/>
          <w:sz w:val="12"/>
          <w:szCs w:val="12"/>
          <w:color w:val="auto"/>
        </w:rPr>
        <w:t>Outside the United States, an increasing number of laws, regulations, and industry standards apply to privacy, data protection and data security. For example, the GDPR and the United Kingdom’s GDPR (“UK GDPR”) impose strict requirements for processing the personal information of individuals located, respectively within the European Economic Area (“EEA”) and the United Kingdom (“UK”). For example, under the GDPR, government regulators may impose temporary or definitive bans on data processing, as well as fines. Further, individuals may initiate litigation related to our processing of their personal information. As another example, the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w:t>
      </w:r>
    </w:p>
    <w:p>
      <w:pPr>
        <w:spacing w:after="0" w:line="120" w:lineRule="exact"/>
        <w:rPr>
          <w:sz w:val="20"/>
          <w:szCs w:val="20"/>
          <w:color w:val="auto"/>
        </w:rPr>
      </w:pPr>
    </w:p>
    <w:p>
      <w:pPr>
        <w:jc w:val="both"/>
        <w:ind w:right="380" w:firstLine="365"/>
        <w:spacing w:after="0" w:line="250" w:lineRule="auto"/>
        <w:rPr>
          <w:sz w:val="20"/>
          <w:szCs w:val="20"/>
          <w:color w:val="auto"/>
        </w:rPr>
      </w:pPr>
      <w:r>
        <w:rPr>
          <w:rFonts w:ascii="Arial" w:cs="Arial" w:eastAsia="Arial" w:hAnsi="Arial"/>
          <w:sz w:val="14"/>
          <w:szCs w:val="14"/>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w:t>
      </w:r>
    </w:p>
    <w:p>
      <w:pPr>
        <w:spacing w:after="0" w:line="157" w:lineRule="exact"/>
        <w:rPr>
          <w:sz w:val="20"/>
          <w:szCs w:val="20"/>
          <w:color w:val="auto"/>
        </w:rPr>
      </w:pPr>
    </w:p>
    <w:p>
      <w:pPr>
        <w:ind w:right="40" w:firstLine="365"/>
        <w:spacing w:after="0" w:line="226" w:lineRule="auto"/>
        <w:rPr>
          <w:sz w:val="20"/>
          <w:szCs w:val="20"/>
          <w:color w:val="auto"/>
        </w:rPr>
      </w:pPr>
      <w:r>
        <w:rPr>
          <w:rFonts w:ascii="Arial" w:cs="Arial" w:eastAsia="Arial" w:hAnsi="Arial"/>
          <w:sz w:val="14"/>
          <w:szCs w:val="14"/>
          <w:color w:val="auto"/>
        </w:rPr>
        <w:t>Similarly, with our registration as an interconnected VoIP provider with the Federal Communications Commission (“FCC”), we also must comply with privacy laws associated with customer proprietary network information (“CPNI”) rules in the U.S. If we fail to maintain compliance with these requirements, we could be subject to regulatory audits, civil and criminal penalties, fines and breach of contract claims, as well as reputational damage, which could impact the willingness of customers to do business with us.</w:t>
      </w:r>
    </w:p>
    <w:p>
      <w:pPr>
        <w:spacing w:after="0" w:line="144" w:lineRule="exact"/>
        <w:rPr>
          <w:sz w:val="20"/>
          <w:szCs w:val="20"/>
          <w:color w:val="auto"/>
        </w:rPr>
      </w:pPr>
    </w:p>
    <w:p>
      <w:pPr>
        <w:ind w:firstLine="365"/>
        <w:spacing w:after="0" w:line="246" w:lineRule="auto"/>
        <w:rPr>
          <w:sz w:val="20"/>
          <w:szCs w:val="20"/>
          <w:color w:val="auto"/>
        </w:rPr>
      </w:pPr>
      <w:r>
        <w:rPr>
          <w:rFonts w:ascii="Arial" w:cs="Arial" w:eastAsia="Arial" w:hAnsi="Arial"/>
          <w:sz w:val="14"/>
          <w:szCs w:val="14"/>
          <w:color w:val="auto"/>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have begun to support customer workloads that involve the processing of protected health information and are required to sign business associate agreements (“BAAs”) with customers that subject us to the requirements under the U.S. Health Insurance Portability and Accountability Act of 1996 and the U.S. Health Information Technology for Economic and Clinical Health Act as well as state laws that govern health information.</w:t>
      </w:r>
    </w:p>
    <w:p>
      <w:pPr>
        <w:spacing w:after="0" w:line="149" w:lineRule="exact"/>
        <w:rPr>
          <w:sz w:val="20"/>
          <w:szCs w:val="20"/>
          <w:color w:val="auto"/>
        </w:rPr>
      </w:pPr>
    </w:p>
    <w:p>
      <w:pPr>
        <w:ind w:right="320" w:firstLine="365"/>
        <w:spacing w:after="0" w:line="259" w:lineRule="auto"/>
        <w:rPr>
          <w:sz w:val="20"/>
          <w:szCs w:val="20"/>
          <w:color w:val="auto"/>
        </w:rPr>
      </w:pPr>
      <w:r>
        <w:rPr>
          <w:rFonts w:ascii="Arial" w:cs="Arial" w:eastAsia="Arial" w:hAnsi="Arial"/>
          <w:sz w:val="14"/>
          <w:szCs w:val="14"/>
          <w:color w:val="auto"/>
        </w:rPr>
        <w:t>Our actual or perceived failure to comply with laws, regulations or contractual commitments regarding privacy, data protection and data security could lead to costly legal action, adverse publicity, significant liability, and decreased demand for our services, which could adversely affect our business, results of operations and financial condition.</w:t>
      </w:r>
    </w:p>
    <w:p>
      <w:pPr>
        <w:spacing w:after="0" w:line="140" w:lineRule="exact"/>
        <w:rPr>
          <w:sz w:val="20"/>
          <w:szCs w:val="20"/>
          <w:color w:val="auto"/>
        </w:rPr>
      </w:pPr>
    </w:p>
    <w:p>
      <w:pPr>
        <w:ind w:right="140" w:firstLine="365"/>
        <w:spacing w:after="0" w:line="291" w:lineRule="auto"/>
        <w:rPr>
          <w:sz w:val="20"/>
          <w:szCs w:val="20"/>
          <w:color w:val="auto"/>
        </w:rPr>
      </w:pPr>
      <w:r>
        <w:rPr>
          <w:rFonts w:ascii="Arial" w:cs="Arial" w:eastAsia="Arial" w:hAnsi="Arial"/>
          <w:sz w:val="12"/>
          <w:szCs w:val="12"/>
          <w:color w:val="auto"/>
        </w:rPr>
        <w:t>As a cumulative example of these risks, because our primary data processing facilities are currently in the U.S., we have experienced hesitancy, reluctance, or refusal by European or multinational customers to continue to use our services due to the potential risk posed to such customers as a result of the Court of Justice July 2020 ruling in the “Schrems II” case, as well as related guidance from the European Data Protection Board. For example, absent appropriate safeguards or other circumstances, the GDPR and laws in Switzerland and the UK generally restrict the transfer of personal information to countries outside of the EEA, such as the United States, that the European Commission does not consider as providing an adequate level of privacy, data protection and data security. On March 25, 2022, the U.S. and EU announced an “agreement in principle” to replace the EU-U.S. Privacy Shield framework with a valid transfer mechanism, but this mechanism has not yet been established. If we cannot implement a valid mechanism for cross-border data transfers, we may face increased exposure to regulatory actions, substantial fines, and injunctions against processing or transferring personal information</w:t>
      </w:r>
    </w:p>
    <w:p>
      <w:pPr>
        <w:spacing w:after="0" w:line="1" w:lineRule="exact"/>
        <w:rPr>
          <w:sz w:val="20"/>
          <w:szCs w:val="20"/>
          <w:color w:val="auto"/>
        </w:rPr>
      </w:pPr>
    </w:p>
    <w:p>
      <w:pPr>
        <w:ind w:right="140"/>
        <w:spacing w:after="0" w:line="294" w:lineRule="auto"/>
        <w:rPr>
          <w:sz w:val="20"/>
          <w:szCs w:val="20"/>
          <w:color w:val="auto"/>
        </w:rPr>
      </w:pPr>
      <w:r>
        <w:rPr>
          <w:rFonts w:ascii="Arial" w:cs="Arial" w:eastAsia="Arial" w:hAnsi="Arial"/>
          <w:sz w:val="12"/>
          <w:szCs w:val="12"/>
          <w:color w:val="auto"/>
        </w:rPr>
        <w:t>from Europe or elsewhere. The inability to import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We and our customers are at risk of enforcement actions taken by an EU data protection authority during such time Twilio continues to require data transfers from the EEA for the provision of our services. If we are unable to increase our data processing capabilities in Europe and other countries to limit or eliminate the need for data transfers out of the EEA quickly enough, and other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from Europe.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43" w:name="page44"/>
    <w:bookmarkEnd w:id="43"/>
    <w:p>
      <w:pPr>
        <w:ind w:left="360"/>
        <w:spacing w:after="0" w:line="161" w:lineRule="exact"/>
        <w:rPr>
          <w:sz w:val="20"/>
          <w:szCs w:val="20"/>
          <w:color w:val="auto"/>
        </w:rPr>
      </w:pPr>
      <w:r>
        <w:rPr>
          <w:rFonts w:ascii="Arial" w:cs="Arial" w:eastAsia="Arial" w:hAnsi="Arial"/>
          <w:sz w:val="14"/>
          <w:szCs w:val="14"/>
          <w:b w:val="1"/>
          <w:bCs w:val="1"/>
          <w:i w:val="1"/>
          <w:iCs w:val="1"/>
          <w:color w:val="auto"/>
        </w:rPr>
        <w:t>If we are unable to attract new customers in a cost</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effective manner, then our business, results of operations and financial condition would be adversely affected.</w:t>
      </w:r>
    </w:p>
    <w:p>
      <w:pPr>
        <w:spacing w:after="0" w:line="164" w:lineRule="exact"/>
        <w:rPr>
          <w:sz w:val="20"/>
          <w:szCs w:val="20"/>
          <w:color w:val="auto"/>
        </w:rPr>
      </w:pPr>
    </w:p>
    <w:p>
      <w:pPr>
        <w:ind w:firstLine="365"/>
        <w:spacing w:after="0" w:line="291" w:lineRule="auto"/>
        <w:rPr>
          <w:sz w:val="20"/>
          <w:szCs w:val="20"/>
          <w:color w:val="auto"/>
        </w:rPr>
      </w:pPr>
      <w:r>
        <w:rPr>
          <w:rFonts w:ascii="Arial" w:cs="Arial" w:eastAsia="Arial" w:hAnsi="Arial"/>
          <w:sz w:val="12"/>
          <w:szCs w:val="12"/>
          <w:color w:val="auto"/>
        </w:rPr>
        <w:t>In order to grow our business, we must continue to attract new customers in a cost-effective manner. We use a variety of marketing channels to promote our products and platform, such as developer events and developer evangelism, as well as search engine marketing and optimization. We periodically adjust the mix of our other marketing programs such as regional customer events, email campaigns, billboard advertising and public relations initiatives.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and we cannot guarantee that any such investments will lead to the cost-effective acquisition of additional customers. If we are unable to maintain effective marketing programs, then our ability to attract new customers could be adversely affected, our advertising and marketing expenses could increase substantially, and our results of operations may suffer.</w:t>
      </w:r>
    </w:p>
    <w:p>
      <w:pPr>
        <w:spacing w:after="0" w:line="123" w:lineRule="exact"/>
        <w:rPr>
          <w:sz w:val="20"/>
          <w:szCs w:val="20"/>
          <w:color w:val="auto"/>
        </w:rPr>
      </w:pPr>
    </w:p>
    <w:p>
      <w:pPr>
        <w:ind w:right="320" w:firstLine="365"/>
        <w:spacing w:after="0" w:line="259" w:lineRule="auto"/>
        <w:rPr>
          <w:sz w:val="20"/>
          <w:szCs w:val="20"/>
          <w:color w:val="auto"/>
        </w:rPr>
      </w:pPr>
      <w:r>
        <w:rPr>
          <w:rFonts w:ascii="Arial" w:cs="Arial" w:eastAsia="Arial" w:hAnsi="Arial"/>
          <w:sz w:val="14"/>
          <w:szCs w:val="14"/>
          <w:b w:val="1"/>
          <w:bCs w:val="1"/>
          <w:i w:val="1"/>
          <w:iCs w:val="1"/>
          <w:color w:val="auto"/>
        </w:rPr>
        <w:t>If we do not develop enhancements to our products and introduce new products that achieve market acceptance, our business, results of operations and financial condition could be adversely affected.</w:t>
      </w:r>
    </w:p>
    <w:p>
      <w:pPr>
        <w:spacing w:after="0" w:line="140" w:lineRule="exact"/>
        <w:rPr>
          <w:sz w:val="20"/>
          <w:szCs w:val="20"/>
          <w:color w:val="auto"/>
        </w:rPr>
      </w:pPr>
    </w:p>
    <w:p>
      <w:pPr>
        <w:ind w:right="20" w:firstLine="365"/>
        <w:spacing w:after="0" w:line="287" w:lineRule="auto"/>
        <w:rPr>
          <w:sz w:val="20"/>
          <w:szCs w:val="20"/>
          <w:color w:val="auto"/>
        </w:rPr>
      </w:pPr>
      <w:r>
        <w:rPr>
          <w:rFonts w:ascii="Arial" w:cs="Arial" w:eastAsia="Arial" w:hAnsi="Arial"/>
          <w:sz w:val="12"/>
          <w:szCs w:val="12"/>
          <w:color w:val="auto"/>
        </w:rPr>
        <w:t>Our ability to attract new customers, increase revenue from existing customers, and increase gross margins depends in part on our ability to enhance and improve our existing products, increase adoption and usage of our products, and introduce new products, particularly products with higher gross margins. The success of any enhancements or new products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margins. Furthermore, our ability to increase the usage of our products depends, in part, on the development of new use cases for our products, which is typically driven by our developer community and may be outside of our control. We also have invested, and may continue to invest, in the acquisition of complementary businesses, technologies, services, products and other assets that expand the products that we can offer our customers. We may make these investments without being certain that they will result in products or enhancements that will be accepted by existing or prospective customers. Our ability to generate usage of additional products by our customers may also require increasingly sophisticated and more costly sales efforts and result in a longer sales cycle. In addition, adoption of new products or enhancements may put additional strain on our customer support team, which could require us to make additional expenditures related to further hiring and training. If we are unable to successfully enhance our existing products to meet evolving customer requirements, increase adoption and usage of our products, develop and drive adoption of new products, and increase our gross margins, or if our efforts to increase the usage of our products are more expensive than we expect, then our business, results of operations and financial condition would be adversely affected.</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The market in which we participate is intensely competitive, and if we do not compete effectively, our business, results of operations and financial condition could be harmed.</w:t>
      </w:r>
    </w:p>
    <w:p>
      <w:pPr>
        <w:spacing w:after="0" w:line="187" w:lineRule="exact"/>
        <w:rPr>
          <w:sz w:val="20"/>
          <w:szCs w:val="20"/>
          <w:color w:val="auto"/>
        </w:rPr>
      </w:pPr>
    </w:p>
    <w:p>
      <w:pPr>
        <w:ind w:right="100" w:firstLine="365"/>
        <w:spacing w:after="0" w:line="247" w:lineRule="auto"/>
        <w:rPr>
          <w:sz w:val="20"/>
          <w:szCs w:val="20"/>
          <w:color w:val="auto"/>
        </w:rPr>
      </w:pPr>
      <w:r>
        <w:rPr>
          <w:rFonts w:ascii="Arial" w:cs="Arial" w:eastAsia="Arial" w:hAnsi="Arial"/>
          <w:sz w:val="14"/>
          <w:szCs w:val="14"/>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products. Our competitors fall into four primary categories:</w:t>
      </w:r>
    </w:p>
    <w:p>
      <w:pPr>
        <w:spacing w:after="0" w:line="149" w:lineRule="exact"/>
        <w:rPr>
          <w:sz w:val="20"/>
          <w:szCs w:val="20"/>
          <w:color w:val="auto"/>
        </w:rPr>
      </w:pPr>
    </w:p>
    <w:p>
      <w:pPr>
        <w:ind w:left="720" w:hanging="232"/>
        <w:spacing w:after="0"/>
        <w:tabs>
          <w:tab w:leader="none" w:pos="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legacy on-premises vendors;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regional network service providers that offer limited developer functionality on top of their own physical infrastructure;</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smaller software companies that compete with portions of our product line; and</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software-as a-service (“SaaS”) companies and cloud platform vendors that offer prepackaged applications and platforms.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870" w:right="339" w:bottom="1440" w:gutter="0" w:footer="0" w:header="0"/>
        </w:sectPr>
      </w:pPr>
    </w:p>
    <w:bookmarkStart w:id="44" w:name="page45"/>
    <w:bookmarkEnd w:id="44"/>
    <w:p>
      <w:pPr>
        <w:ind w:right="40" w:firstLine="365"/>
        <w:spacing w:after="0" w:line="253" w:lineRule="auto"/>
        <w:rPr>
          <w:sz w:val="20"/>
          <w:szCs w:val="20"/>
          <w:color w:val="auto"/>
        </w:rPr>
      </w:pPr>
      <w:r>
        <w:rPr>
          <w:rFonts w:ascii="Arial" w:cs="Arial" w:eastAsia="Arial" w:hAnsi="Arial"/>
          <w:sz w:val="12"/>
          <w:szCs w:val="12"/>
          <w:color w:val="auto"/>
        </w:rPr>
        <w:t>Some of our competitors and potential competitors are larger and have greater name recognition, longer operating histories, more established customer relationships, larger budgets, lower operating costs, and significantly greater resources than we do. In addition, they have the operating flexibility to bundle competing products and services at little or no perceived incremental cost, including offering them at a lower price as part of a larger sales transaction. As a result, our competitors may be able to respond more quickly and effectively than we can to new or changing opportunities, technologies, standards, customer requirements or changing economic conditions, like inflation or a downturn or a recession. In addition, some competitors may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Customers utilize our products in many ways and use varying levels of functionality that our products offer or are capable of supporting or enabling within their applications. Customers that use many of the features of our products or use our products to support or enable core functionality for their applications may have difficulty or find it impractical to replace our products with a competitor’s products or services, while customers that use only limited functionality may be able to replace our products more easily with competitive offerings. Our customers also may choose to build some of the functionality our products provide or establish direct connectivity with network service providers, which may limit or eliminate their demand for our products.</w:t>
      </w:r>
    </w:p>
    <w:p>
      <w:pPr>
        <w:spacing w:after="0" w:line="284" w:lineRule="exact"/>
        <w:rPr>
          <w:sz w:val="20"/>
          <w:szCs w:val="20"/>
          <w:color w:val="auto"/>
        </w:rPr>
      </w:pPr>
    </w:p>
    <w:p>
      <w:pPr>
        <w:ind w:firstLine="365"/>
        <w:spacing w:after="0" w:line="342" w:lineRule="auto"/>
        <w:rPr>
          <w:sz w:val="20"/>
          <w:szCs w:val="20"/>
          <w:color w:val="auto"/>
        </w:rPr>
      </w:pPr>
      <w:r>
        <w:rPr>
          <w:rFonts w:ascii="Arial" w:cs="Arial" w:eastAsia="Arial" w:hAnsi="Arial"/>
          <w:sz w:val="12"/>
          <w:szCs w:val="12"/>
          <w:color w:val="auto"/>
        </w:rPr>
        <w:t>With the introduction of new products and services and new market entrants, we expect competition to intensify in the future. In addition, some of our customers may choose to use our products and our competitors’ products at the same time. Further, customers and consumers may choose to adopt other forms of electronic communications or alternative communication platforms.</w:t>
      </w:r>
    </w:p>
    <w:p>
      <w:pPr>
        <w:spacing w:after="0" w:line="104" w:lineRule="exact"/>
        <w:rPr>
          <w:sz w:val="20"/>
          <w:szCs w:val="20"/>
          <w:color w:val="auto"/>
        </w:rPr>
      </w:pPr>
    </w:p>
    <w:p>
      <w:pPr>
        <w:ind w:firstLine="365"/>
        <w:spacing w:after="0" w:line="273" w:lineRule="auto"/>
        <w:rPr>
          <w:sz w:val="20"/>
          <w:szCs w:val="20"/>
          <w:color w:val="auto"/>
        </w:rPr>
      </w:pPr>
      <w:r>
        <w:rPr>
          <w:rFonts w:ascii="Arial" w:cs="Arial" w:eastAsia="Arial" w:hAnsi="Arial"/>
          <w:sz w:val="12"/>
          <w:szCs w:val="12"/>
          <w:color w:val="auto"/>
        </w:rPr>
        <w:t>Moreover,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w:t>
      </w:r>
    </w:p>
    <w:p>
      <w:pPr>
        <w:spacing w:after="0" w:line="1"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adversely affect our ability to compete effectively. For example, certain of our competitors have engaged in acquisition activity in 2021 and may continue to do so in the future. In addition, some of our competitors have lower list prices than us, which may be attractive to certain customers even if those products have different or lesser functionality. If we are unable to maintain our current pricing due to competitive pressures, including within an inflationary environment, our margins will be reduced and our business, results of operations and financial condition would be adversely affected. In addition,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have a history of losses and may not achieve or sustain profitability in the future.</w:t>
      </w:r>
    </w:p>
    <w:p>
      <w:pPr>
        <w:spacing w:after="0" w:line="164" w:lineRule="exact"/>
        <w:rPr>
          <w:sz w:val="20"/>
          <w:szCs w:val="20"/>
          <w:color w:val="auto"/>
        </w:rPr>
      </w:pPr>
    </w:p>
    <w:p>
      <w:pPr>
        <w:jc w:val="both"/>
        <w:ind w:right="380" w:firstLine="365"/>
        <w:spacing w:after="0" w:line="247" w:lineRule="auto"/>
        <w:rPr>
          <w:sz w:val="20"/>
          <w:szCs w:val="20"/>
          <w:color w:val="auto"/>
        </w:rPr>
      </w:pPr>
      <w:r>
        <w:rPr>
          <w:rFonts w:ascii="Arial" w:cs="Arial" w:eastAsia="Arial" w:hAnsi="Arial"/>
          <w:sz w:val="14"/>
          <w:szCs w:val="14"/>
          <w:color w:val="auto"/>
        </w:rPr>
        <w:t>We have incurred net losses in each year since our inception, including net losses of $544.4 million, $949.9 million and $491.0 million in the six months ended June 30, 2022 and the years ended December 31, 2021 and 2020, respectively. We had an accumulated deficit of $2.7 billion as of June 30, 2022. We will need to generate and sustain increased revenue levels, and manage our operating expenses, in future periods to become profitable and, even if we do, we may not be able to maintain or increase our level of profitability. We expect to continue to expend substantial financial and other resources on, among other things:</w:t>
      </w:r>
    </w:p>
    <w:p>
      <w:pPr>
        <w:spacing w:after="0" w:line="149" w:lineRule="exact"/>
        <w:rPr>
          <w:sz w:val="20"/>
          <w:szCs w:val="20"/>
          <w:color w:val="auto"/>
        </w:rPr>
      </w:pPr>
    </w:p>
    <w:p>
      <w:pPr>
        <w:ind w:left="720" w:hanging="232"/>
        <w:spacing w:after="0"/>
        <w:tabs>
          <w:tab w:leader="none" w:pos="7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investments in our engineering team, improvements in security and data protection, the development of new products, features and functionality and enhancements to our platform;</w:t>
      </w:r>
    </w:p>
    <w:p>
      <w:pPr>
        <w:spacing w:after="0" w:line="186" w:lineRule="exact"/>
        <w:rPr>
          <w:rFonts w:ascii="Arial" w:cs="Arial" w:eastAsia="Arial" w:hAnsi="Arial"/>
          <w:sz w:val="12"/>
          <w:szCs w:val="12"/>
          <w:color w:val="auto"/>
        </w:rPr>
      </w:pPr>
    </w:p>
    <w:p>
      <w:pPr>
        <w:ind w:left="740" w:right="80" w:hanging="252"/>
        <w:spacing w:after="0" w:line="259" w:lineRule="auto"/>
        <w:tabs>
          <w:tab w:leader="none" w:pos="736" w:val="left"/>
        </w:tabs>
        <w:numPr>
          <w:ilvl w:val="0"/>
          <w:numId w:val="32"/>
        </w:numPr>
        <w:rPr>
          <w:rFonts w:ascii="Arial" w:cs="Arial" w:eastAsia="Arial" w:hAnsi="Arial"/>
          <w:sz w:val="14"/>
          <w:szCs w:val="14"/>
          <w:color w:val="auto"/>
        </w:rPr>
      </w:pPr>
      <w:r>
        <w:rPr>
          <w:rFonts w:ascii="Arial" w:cs="Arial" w:eastAsia="Arial" w:hAnsi="Arial"/>
          <w:sz w:val="14"/>
          <w:szCs w:val="14"/>
          <w:color w:val="auto"/>
        </w:rPr>
        <w:t>sales and marketing, including the continued expansion of our direct sales organization and marketing programs, especially for enterprises and for organizations outside of the United States, and expanding our programs directed at increasing our brand awareness among current and new developers;</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expansion of our operations and infrastructure, both domestically and internationally; and</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general administration, including legal, accounting and other expenses related to being a public company.</w:t>
      </w:r>
    </w:p>
    <w:p>
      <w:pPr>
        <w:spacing w:after="0" w:line="164" w:lineRule="exact"/>
        <w:rPr>
          <w:sz w:val="20"/>
          <w:szCs w:val="20"/>
          <w:color w:val="auto"/>
        </w:rPr>
      </w:pPr>
    </w:p>
    <w:p>
      <w:pPr>
        <w:ind w:firstLine="365"/>
        <w:spacing w:after="0" w:line="250" w:lineRule="auto"/>
        <w:rPr>
          <w:sz w:val="20"/>
          <w:szCs w:val="20"/>
          <w:color w:val="auto"/>
        </w:rPr>
      </w:pPr>
      <w:r>
        <w:rPr>
          <w:rFonts w:ascii="Arial" w:cs="Arial" w:eastAsia="Arial" w:hAnsi="Arial"/>
          <w:sz w:val="14"/>
          <w:szCs w:val="14"/>
          <w:color w:val="auto"/>
        </w:rPr>
        <w:t>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achieve and sustain profitability, the value of our business and Class A common stock may significantly decrease.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697" w:right="339" w:bottom="1440" w:gutter="0" w:footer="0" w:header="0"/>
        </w:sectPr>
      </w:pPr>
    </w:p>
    <w:bookmarkStart w:id="45" w:name="page46"/>
    <w:bookmarkEnd w:id="45"/>
    <w:p>
      <w:pPr>
        <w:ind w:left="360"/>
        <w:spacing w:after="0"/>
        <w:rPr>
          <w:sz w:val="20"/>
          <w:szCs w:val="20"/>
          <w:color w:val="auto"/>
        </w:rPr>
      </w:pPr>
      <w:r>
        <w:rPr>
          <w:rFonts w:ascii="Arial" w:cs="Arial" w:eastAsia="Arial" w:hAnsi="Arial"/>
          <w:sz w:val="14"/>
          <w:szCs w:val="14"/>
          <w:b w:val="1"/>
          <w:bCs w:val="1"/>
          <w:i w:val="1"/>
          <w:iCs w:val="1"/>
          <w:color w:val="auto"/>
        </w:rPr>
        <w:t>If we are unable to increase adoption of our products by enterprises, our business, results of operations and financial condition may be adversely affected.</w:t>
      </w:r>
    </w:p>
    <w:p>
      <w:pPr>
        <w:spacing w:after="0" w:line="164" w:lineRule="exact"/>
        <w:rPr>
          <w:sz w:val="20"/>
          <w:szCs w:val="20"/>
          <w:color w:val="auto"/>
        </w:rPr>
      </w:pPr>
    </w:p>
    <w:p>
      <w:pPr>
        <w:ind w:right="200" w:firstLine="365"/>
        <w:spacing w:after="0" w:line="342" w:lineRule="auto"/>
        <w:rPr>
          <w:sz w:val="20"/>
          <w:szCs w:val="20"/>
          <w:color w:val="auto"/>
        </w:rPr>
      </w:pPr>
      <w:r>
        <w:rPr>
          <w:rFonts w:ascii="Arial" w:cs="Arial" w:eastAsia="Arial" w:hAnsi="Arial"/>
          <w:sz w:val="12"/>
          <w:szCs w:val="12"/>
          <w:color w:val="auto"/>
        </w:rPr>
        <w:t>Historically, we have relied on the adoption of our products by software developers through our self-service model for a majority of our revenue. Our ability to increase our customer base, especially among enterprises, and achieve broader market acceptance of our products will depend, in part, on our ability to effectively organize, focus and train our sales and marketing employees.</w:t>
      </w:r>
    </w:p>
    <w:p>
      <w:pPr>
        <w:spacing w:after="0" w:line="94" w:lineRule="exact"/>
        <w:rPr>
          <w:sz w:val="20"/>
          <w:szCs w:val="20"/>
          <w:color w:val="auto"/>
        </w:rPr>
      </w:pPr>
    </w:p>
    <w:p>
      <w:pPr>
        <w:ind w:firstLine="365"/>
        <w:spacing w:after="0" w:line="292" w:lineRule="auto"/>
        <w:rPr>
          <w:sz w:val="20"/>
          <w:szCs w:val="20"/>
          <w:color w:val="auto"/>
        </w:rPr>
      </w:pPr>
      <w:r>
        <w:rPr>
          <w:rFonts w:ascii="Arial" w:cs="Arial" w:eastAsia="Arial" w:hAnsi="Arial"/>
          <w:sz w:val="12"/>
          <w:szCs w:val="12"/>
          <w:color w:val="auto"/>
        </w:rPr>
        <w:t>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spacing w:after="0" w:line="124" w:lineRule="exact"/>
        <w:rPr>
          <w:sz w:val="20"/>
          <w:szCs w:val="20"/>
          <w:color w:val="auto"/>
        </w:rPr>
      </w:pPr>
    </w:p>
    <w:p>
      <w:pPr>
        <w:ind w:firstLine="365"/>
        <w:spacing w:after="0" w:line="289" w:lineRule="auto"/>
        <w:rPr>
          <w:sz w:val="20"/>
          <w:szCs w:val="20"/>
          <w:color w:val="auto"/>
        </w:rPr>
      </w:pPr>
      <w:r>
        <w:rPr>
          <w:rFonts w:ascii="Arial" w:cs="Arial" w:eastAsia="Arial" w:hAnsi="Arial"/>
          <w:sz w:val="12"/>
          <w:szCs w:val="12"/>
          <w:color w:val="auto"/>
        </w:rPr>
        <w:t>As we seek to increase the adoption of our products by enterprises, including products like Flex, which is primarily aimed at complex contact center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IT. In addition, while enterprise customers may quickly deploy our products on a limited basis, before they will commit to deploying our products at scale, they often require extensive education about our products and significant customer support time, engage in protracted pricing negotiations, which may not address changing inflationary pressure and reduced information technology budgets, and seek to secure readily available development resources. In addition, sales cycles for enterprises are inherently more complex and less predictable than the sales through our self-service model, and some enterprise customers may not use our products enough to generate revenue that justifies the cost to obtain such customers. In addition, these complex and resource intensive sales efforts could place additional strain on our product and engineering resources. Further, enterprises, including some of our customers, may choose to develop their own solutions that do not include our products. They also may demand reductions in pricing as their usage of our products increases, notwithstanding increased costs incurred by us to provide such products, which could have an adverse impact on our gross margin.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125" w:lineRule="exact"/>
        <w:rPr>
          <w:sz w:val="20"/>
          <w:szCs w:val="20"/>
          <w:color w:val="auto"/>
        </w:rPr>
      </w:pPr>
    </w:p>
    <w:p>
      <w:pPr>
        <w:ind w:right="260" w:firstLine="365"/>
        <w:spacing w:after="0" w:line="259" w:lineRule="auto"/>
        <w:rPr>
          <w:sz w:val="20"/>
          <w:szCs w:val="20"/>
          <w:color w:val="auto"/>
        </w:rPr>
      </w:pPr>
      <w:r>
        <w:rPr>
          <w:rFonts w:ascii="Arial" w:cs="Arial" w:eastAsia="Arial" w:hAnsi="Arial"/>
          <w:sz w:val="14"/>
          <w:szCs w:val="14"/>
          <w:b w:val="1"/>
          <w:bCs w:val="1"/>
          <w:i w:val="1"/>
          <w:iCs w:val="1"/>
          <w:color w:val="auto"/>
        </w:rPr>
        <w:t>If we are unable to expand our relationships with existing technology partner customers and add new technology partner customers, our business, results of operations and financial condition could be adversely affected.</w:t>
      </w:r>
    </w:p>
    <w:p>
      <w:pPr>
        <w:spacing w:after="0" w:line="140" w:lineRule="exact"/>
        <w:rPr>
          <w:sz w:val="20"/>
          <w:szCs w:val="20"/>
          <w:color w:val="auto"/>
        </w:rPr>
      </w:pPr>
    </w:p>
    <w:p>
      <w:pPr>
        <w:ind w:right="100" w:firstLine="365"/>
        <w:spacing w:after="0" w:line="302" w:lineRule="auto"/>
        <w:rPr>
          <w:sz w:val="20"/>
          <w:szCs w:val="20"/>
          <w:color w:val="auto"/>
        </w:rPr>
      </w:pPr>
      <w:r>
        <w:rPr>
          <w:rFonts w:ascii="Arial" w:cs="Arial" w:eastAsia="Arial" w:hAnsi="Arial"/>
          <w:sz w:val="12"/>
          <w:szCs w:val="12"/>
          <w:color w:val="auto"/>
        </w:rPr>
        <w:t>We believe that the continued growth of our business depends in part upon developing and expanding strategic relationships with technology partner customers. Technology partner customers embed our software products in their solutions, such as software applications for contact centers and sales force and marketing automation, and then sell such solutions to other businesses. When potential customers do not have the available developer resources to build their own applications, we refer them to either our technology partners who embed our products in the solutions that they sell to other businesses or our consulting partners who provide consulting and development services for organizations that have limited software development expertise to build our platform into their software applications.</w:t>
      </w:r>
    </w:p>
    <w:p>
      <w:pPr>
        <w:spacing w:after="0" w:line="117" w:lineRule="exact"/>
        <w:rPr>
          <w:sz w:val="20"/>
          <w:szCs w:val="20"/>
          <w:color w:val="auto"/>
        </w:rPr>
      </w:pPr>
    </w:p>
    <w:p>
      <w:pPr>
        <w:ind w:right="40" w:firstLine="365"/>
        <w:spacing w:after="0" w:line="247" w:lineRule="auto"/>
        <w:rPr>
          <w:sz w:val="20"/>
          <w:szCs w:val="20"/>
          <w:color w:val="auto"/>
        </w:rPr>
      </w:pPr>
      <w:r>
        <w:rPr>
          <w:rFonts w:ascii="Arial" w:cs="Arial" w:eastAsia="Arial" w:hAnsi="Arial"/>
          <w:sz w:val="14"/>
          <w:szCs w:val="14"/>
          <w:color w:val="auto"/>
        </w:rPr>
        <w:t>As part of our growth strategy, we intend to expand our relationships with existing technology partner customers and add new technology partner customers. If we fail to expand our relationships with existing technology partner customers or establish relationships with new technology partner customers in a timely and cost-effective manner, or at all, then our business, results of operations and financial condition could be adversely affected. Additionally, even if we are successful at building these relationships but there are problems or issues with integrating our products into the solutions of these customers, our reputation and ability to grow our business may be harmed.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46" w:name="page47"/>
    <w:bookmarkEnd w:id="46"/>
    <w:p>
      <w:pPr>
        <w:ind w:right="80" w:firstLine="365"/>
        <w:spacing w:after="0" w:line="250" w:lineRule="auto"/>
        <w:rPr>
          <w:sz w:val="20"/>
          <w:szCs w:val="20"/>
          <w:color w:val="auto"/>
        </w:rPr>
      </w:pPr>
      <w:r>
        <w:rPr>
          <w:rFonts w:ascii="Arial" w:cs="Arial" w:eastAsia="Arial" w:hAnsi="Arial"/>
          <w:sz w:val="14"/>
          <w:szCs w:val="14"/>
          <w:b w:val="1"/>
          <w:bCs w:val="1"/>
          <w:i w:val="1"/>
          <w:iCs w:val="1"/>
          <w:color w:val="auto"/>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spacing w:after="0" w:line="146" w:lineRule="exact"/>
        <w:rPr>
          <w:sz w:val="20"/>
          <w:szCs w:val="20"/>
          <w:color w:val="auto"/>
        </w:rPr>
      </w:pPr>
    </w:p>
    <w:p>
      <w:pPr>
        <w:ind w:right="140" w:firstLine="365"/>
        <w:spacing w:after="0" w:line="302" w:lineRule="auto"/>
        <w:rPr>
          <w:sz w:val="20"/>
          <w:szCs w:val="20"/>
          <w:color w:val="auto"/>
        </w:rPr>
      </w:pPr>
      <w:r>
        <w:rPr>
          <w:rFonts w:ascii="Arial" w:cs="Arial" w:eastAsia="Arial" w:hAnsi="Arial"/>
          <w:sz w:val="12"/>
          <w:szCs w:val="12"/>
          <w:color w:val="auto"/>
        </w:rPr>
        <w:t>We currently interconnect with network service providers around the world to enable the use by our customers of our products over their networks. Although we are in the process of acquiring authorization in many countries for direct access to phone numbers and for the provision of voice services on the networks of network service providers, we expect that we will continue to rely on network service providers for these services. Where we don't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while we do not typically change our customers’ pricing as rapidly.</w:t>
      </w:r>
    </w:p>
    <w:p>
      <w:pPr>
        <w:spacing w:after="0" w:line="117" w:lineRule="exact"/>
        <w:rPr>
          <w:sz w:val="20"/>
          <w:szCs w:val="20"/>
          <w:color w:val="auto"/>
        </w:rPr>
      </w:pPr>
    </w:p>
    <w:p>
      <w:pPr>
        <w:ind w:firstLine="365"/>
        <w:spacing w:after="0" w:line="291" w:lineRule="auto"/>
        <w:rPr>
          <w:sz w:val="20"/>
          <w:szCs w:val="20"/>
          <w:color w:val="auto"/>
        </w:rPr>
      </w:pPr>
      <w:r>
        <w:rPr>
          <w:rFonts w:ascii="Arial" w:cs="Arial" w:eastAsia="Arial" w:hAnsi="Arial"/>
          <w:sz w:val="12"/>
          <w:szCs w:val="12"/>
          <w:color w:val="auto"/>
        </w:rPr>
        <w:t>At times, network service providers have instituted additional fees due to regulatory, competitive or other industry related changes that increase our network costs. For example, in early 2020, a major U.S. mobile carrier introduced a new Application to Person ("A2P") SMS service offering that adds a new fee for A2P SMS messages delivered to its subscribers, and other U.S. mobile carriers have added or are in the process of adding similar fees. While we have historically responded to these types of fee increases through a combination of further negotiating efforts with our network service providers, absorbing the increased costs or changing our prices to customers, there is no guarantee that we will continue to be able to do so in the future without a material negative impact to our business. In the case of these new carriers A2P SMS fees, after a short phase-in period where we absorbed the fees, we began on May 1, 2021 to pass these fees directly through to our customers who are sending SMS messages to these carriers' subscribers. We expect that this will increase our revenue and cost of revenue, but will not impact the gross profit dollars received for sending these messages. However, mathematically this will have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spacing w:after="0" w:line="123" w:lineRule="exact"/>
        <w:rPr>
          <w:sz w:val="20"/>
          <w:szCs w:val="20"/>
          <w:color w:val="auto"/>
        </w:rPr>
      </w:pPr>
    </w:p>
    <w:p>
      <w:pPr>
        <w:ind w:firstLine="365"/>
        <w:spacing w:after="0" w:line="294" w:lineRule="auto"/>
        <w:rPr>
          <w:sz w:val="20"/>
          <w:szCs w:val="20"/>
          <w:color w:val="auto"/>
        </w:rPr>
      </w:pPr>
      <w:r>
        <w:rPr>
          <w:rFonts w:ascii="Arial" w:cs="Arial" w:eastAsia="Arial" w:hAnsi="Arial"/>
          <w:sz w:val="12"/>
          <w:szCs w:val="12"/>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or poor-quality communications with our products, and we could encounter difficulty identifying the source of the problem. The occurrence of errors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22" w:lineRule="exact"/>
        <w:rPr>
          <w:sz w:val="20"/>
          <w:szCs w:val="20"/>
          <w:color w:val="auto"/>
        </w:rPr>
      </w:pPr>
    </w:p>
    <w:p>
      <w:pPr>
        <w:ind w:right="80" w:firstLine="365"/>
        <w:spacing w:after="0" w:line="247" w:lineRule="auto"/>
        <w:rPr>
          <w:sz w:val="20"/>
          <w:szCs w:val="20"/>
          <w:color w:val="auto"/>
        </w:rPr>
      </w:pPr>
      <w:r>
        <w:rPr>
          <w:rFonts w:ascii="Arial" w:cs="Arial" w:eastAsia="Arial" w:hAnsi="Arial"/>
          <w:sz w:val="14"/>
          <w:szCs w:val="14"/>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49" w:lineRule="exact"/>
        <w:rPr>
          <w:sz w:val="20"/>
          <w:szCs w:val="20"/>
          <w:color w:val="auto"/>
        </w:rPr>
      </w:pPr>
    </w:p>
    <w:p>
      <w:pPr>
        <w:ind w:right="60" w:firstLine="365"/>
        <w:spacing w:after="0" w:line="302" w:lineRule="auto"/>
        <w:rPr>
          <w:sz w:val="20"/>
          <w:szCs w:val="20"/>
          <w:color w:val="auto"/>
        </w:rPr>
      </w:pPr>
      <w:r>
        <w:rPr>
          <w:rFonts w:ascii="Arial" w:cs="Arial" w:eastAsia="Arial" w:hAnsi="Arial"/>
          <w:sz w:val="12"/>
          <w:szCs w:val="12"/>
          <w:color w:val="auto"/>
        </w:rPr>
        <w:t>We also interconnect with internet service providers around the world to enable the use of our email products by our customers, and we expect that we will continue to rely on internet service providers for network connectivity going forward. Our reliance on internet service providers reduces our control over quality of service and exposes us to potential service outages and rate fluctuations.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47" w:name="page48"/>
    <w:bookmarkEnd w:id="47"/>
    <w:p>
      <w:pPr>
        <w:ind w:left="360"/>
        <w:spacing w:after="0"/>
        <w:rPr>
          <w:sz w:val="20"/>
          <w:szCs w:val="20"/>
          <w:color w:val="auto"/>
        </w:rPr>
      </w:pPr>
      <w:r>
        <w:rPr>
          <w:rFonts w:ascii="Arial" w:cs="Arial" w:eastAsia="Arial" w:hAnsi="Arial"/>
          <w:sz w:val="14"/>
          <w:szCs w:val="14"/>
          <w:b w:val="1"/>
          <w:bCs w:val="1"/>
          <w:i w:val="1"/>
          <w:iCs w:val="1"/>
          <w:color w:val="auto"/>
        </w:rPr>
        <w:t>Our future success depends in part on our ability to drive the adoption of our products by international customers.</w:t>
      </w:r>
    </w:p>
    <w:p>
      <w:pPr>
        <w:spacing w:after="0" w:line="164" w:lineRule="exact"/>
        <w:rPr>
          <w:sz w:val="20"/>
          <w:szCs w:val="20"/>
          <w:color w:val="auto"/>
        </w:rPr>
      </w:pPr>
    </w:p>
    <w:p>
      <w:pPr>
        <w:ind w:right="120" w:firstLine="365"/>
        <w:spacing w:after="0" w:line="297" w:lineRule="auto"/>
        <w:rPr>
          <w:sz w:val="20"/>
          <w:szCs w:val="20"/>
          <w:color w:val="auto"/>
        </w:rPr>
      </w:pPr>
      <w:r>
        <w:rPr>
          <w:rFonts w:ascii="Arial" w:cs="Arial" w:eastAsia="Arial" w:hAnsi="Arial"/>
          <w:sz w:val="12"/>
          <w:szCs w:val="12"/>
          <w:color w:val="auto"/>
        </w:rPr>
        <w:t>In the six months ended June 30, 2022, and the years ended December 31, 2021 and 2020, we derived 35%, 34% and 27% of our revenue, respectively, from customer accounts located outside the United States. The future success of our business will depend, in part, on our ability to expand our customer base worldwide. While we have been rapidly expanding our sales efforts internationally, our experience in selling our products outside of the United States is, and our ability to conduct business in local currencies in certain jurisdictions may be or is, limited. Furthermore, our developer-first business model may not be successful or have the same traction outside the United States. As a result, our investment in marketing our products to these potential customers may not be successful. If we are unable to increase the revenue that we derive from international customers, then our business, results of operations and financial condition may be adversely affected.</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are continuing to expand our international operations, which exposes us to significant risks.</w:t>
      </w:r>
    </w:p>
    <w:p>
      <w:pPr>
        <w:spacing w:after="0" w:line="164" w:lineRule="exact"/>
        <w:rPr>
          <w:sz w:val="20"/>
          <w:szCs w:val="20"/>
          <w:color w:val="auto"/>
        </w:rPr>
      </w:pPr>
    </w:p>
    <w:p>
      <w:pPr>
        <w:ind w:right="20" w:firstLine="365"/>
        <w:spacing w:after="0" w:line="246" w:lineRule="auto"/>
        <w:rPr>
          <w:sz w:val="20"/>
          <w:szCs w:val="20"/>
          <w:color w:val="auto"/>
        </w:rPr>
      </w:pPr>
      <w:r>
        <w:rPr>
          <w:rFonts w:ascii="Arial" w:cs="Arial" w:eastAsia="Arial" w:hAnsi="Arial"/>
          <w:sz w:val="14"/>
          <w:szCs w:val="14"/>
          <w:color w:val="auto"/>
        </w:rPr>
        <w:t>We are continuing to expand our international operations to increase our revenue from customers outside of the United States as part of our growth strategy. Between June 30, 2021 and June 30, 2022, our international headcount grew from 2,250 employees to 3,481 employees. We expect to open additional international offices and hire employees to work at these offices in order to reach new customers and gain access to additional technical talent. Operating in international markets requires significant resources and management attention and will subject us to regulatory, economic and political risks in addition to those we already face in the United States. Because of our limited experience with international operations or with developing and managing sales in international markets, our international expansion efforts may not be successful.</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addition, we will face risks in doing business internationally that could adversely affect our business, including:</w:t>
      </w:r>
    </w:p>
    <w:p>
      <w:pPr>
        <w:spacing w:after="0" w:line="164" w:lineRule="exact"/>
        <w:rPr>
          <w:sz w:val="20"/>
          <w:szCs w:val="20"/>
          <w:color w:val="auto"/>
        </w:rPr>
      </w:pPr>
    </w:p>
    <w:p>
      <w:pPr>
        <w:ind w:left="720" w:hanging="232"/>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inflation and actions taken by central banks to counter inflation;</w:t>
      </w:r>
    </w:p>
    <w:p>
      <w:pPr>
        <w:spacing w:after="0" w:line="163" w:lineRule="exact"/>
        <w:rPr>
          <w:rFonts w:ascii="Arial" w:cs="Arial" w:eastAsia="Arial" w:hAnsi="Arial"/>
          <w:sz w:val="14"/>
          <w:szCs w:val="14"/>
          <w:color w:val="auto"/>
        </w:rPr>
      </w:pPr>
    </w:p>
    <w:p>
      <w:pPr>
        <w:ind w:left="740" w:hanging="252"/>
        <w:spacing w:after="0" w:line="259" w:lineRule="auto"/>
        <w:tabs>
          <w:tab w:leader="none" w:pos="73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difficulty of managing and staffing international operations and the increased operations, travel, infrastructure and legal compliance costs associated with servicing international customers and operating numerous international locations;</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effectively price our products in competitive international markets;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new and different sources of competition or other changes to our current competitive landscape;</w:t>
      </w:r>
    </w:p>
    <w:p>
      <w:pPr>
        <w:spacing w:after="0" w:line="163" w:lineRule="exact"/>
        <w:rPr>
          <w:rFonts w:ascii="Arial" w:cs="Arial" w:eastAsia="Arial" w:hAnsi="Arial"/>
          <w:sz w:val="14"/>
          <w:szCs w:val="14"/>
          <w:color w:val="auto"/>
        </w:rPr>
      </w:pPr>
    </w:p>
    <w:p>
      <w:pPr>
        <w:ind w:left="740" w:right="580" w:hanging="252"/>
        <w:spacing w:after="0" w:line="259" w:lineRule="auto"/>
        <w:tabs>
          <w:tab w:leader="none" w:pos="736"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understanding, reconciling, and implementing technical controls to address, different technical standards, data privacy and telecommunications regulations, registration and certification requirements outside the United States, which could prevent customers from deploying our products or limit their usage;</w:t>
      </w:r>
    </w:p>
    <w:p>
      <w:pPr>
        <w:spacing w:after="0" w:line="139" w:lineRule="exact"/>
        <w:rPr>
          <w:rFonts w:ascii="Arial" w:cs="Arial" w:eastAsia="Arial" w:hAnsi="Arial"/>
          <w:sz w:val="14"/>
          <w:szCs w:val="14"/>
          <w:color w:val="auto"/>
        </w:rPr>
      </w:pPr>
    </w:p>
    <w:p>
      <w:pPr>
        <w:ind w:left="740" w:right="140" w:hanging="252"/>
        <w:spacing w:after="0" w:line="342" w:lineRule="auto"/>
        <w:tabs>
          <w:tab w:leader="none" w:pos="736" w:val="left"/>
        </w:tabs>
        <w:numPr>
          <w:ilvl w:val="0"/>
          <w:numId w:val="33"/>
        </w:numPr>
        <w:rPr>
          <w:rFonts w:ascii="Arial" w:cs="Arial" w:eastAsia="Arial" w:hAnsi="Arial"/>
          <w:sz w:val="12"/>
          <w:szCs w:val="12"/>
          <w:color w:val="auto"/>
        </w:rPr>
      </w:pPr>
      <w:r>
        <w:rPr>
          <w:rFonts w:ascii="Arial" w:cs="Arial" w:eastAsia="Arial" w:hAnsi="Arial"/>
          <w:sz w:val="12"/>
          <w:szCs w:val="12"/>
          <w:color w:val="auto"/>
        </w:rPr>
        <w:t>our ability to comply with the GDPR and Brazil's General Data Protection Law (Lei Geral de Proteção de Dados Pessoais) (Law No. 13,709/2018), and laws, regulations and industry standards relating to data privacy, data protection, data localization and data security enacted in countries and other regions in which we operate or do business;</w:t>
      </w:r>
    </w:p>
    <w:p>
      <w:pPr>
        <w:spacing w:after="0" w:line="93" w:lineRule="exact"/>
        <w:rPr>
          <w:rFonts w:ascii="Arial" w:cs="Arial" w:eastAsia="Arial" w:hAnsi="Arial"/>
          <w:sz w:val="12"/>
          <w:szCs w:val="12"/>
          <w:color w:val="auto"/>
        </w:rPr>
      </w:pPr>
    </w:p>
    <w:p>
      <w:pPr>
        <w:ind w:left="720" w:hanging="232"/>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potentially greater difficulty collecting accounts receivable and longer payment cycles;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higher or more variable network service provider fees outside of the United States;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need to adapt and localize our products for specific countries;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need to offer customer support in various languages;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difficulties in understanding and complying with local laws, regulations and customs in non-U.S. jurisdictions;</w:t>
      </w:r>
    </w:p>
    <w:p>
      <w:pPr>
        <w:spacing w:after="0" w:line="163" w:lineRule="exact"/>
        <w:rPr>
          <w:rFonts w:ascii="Arial" w:cs="Arial" w:eastAsia="Arial" w:hAnsi="Arial"/>
          <w:sz w:val="14"/>
          <w:szCs w:val="14"/>
          <w:color w:val="auto"/>
        </w:rPr>
      </w:pPr>
    </w:p>
    <w:p>
      <w:pPr>
        <w:ind w:left="740" w:right="220" w:hanging="252"/>
        <w:spacing w:after="0" w:line="259" w:lineRule="auto"/>
        <w:tabs>
          <w:tab w:leader="none" w:pos="736"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compliance with export controls and economic sanctions regulations administered by the Department of Commerce's Bureau of Industry and Security and the Treasury Department’s Office of Foreign Assets Control;</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compliance with various anti-bribery and anti-corruption laws such as the Foreign Corrupt Practices Act and United Kingdom Bribery Act of 2010;</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international trade policies, tariffs and other non-tariff barriers, such as quotas and local content rules;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48" w:name="page49"/>
    <w:bookmarkEnd w:id="48"/>
    <w:p>
      <w:pPr>
        <w:ind w:left="720" w:hanging="232"/>
        <w:spacing w:after="0"/>
        <w:tabs>
          <w:tab w:leader="none" w:pos="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more limited protection for intellectual property rights in some countries;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adverse tax consequences;</w:t>
      </w:r>
    </w:p>
    <w:p>
      <w:pPr>
        <w:spacing w:after="0" w:line="163" w:lineRule="exact"/>
        <w:rPr>
          <w:rFonts w:ascii="Arial" w:cs="Arial" w:eastAsia="Arial" w:hAnsi="Arial"/>
          <w:sz w:val="14"/>
          <w:szCs w:val="14"/>
          <w:color w:val="auto"/>
        </w:rPr>
      </w:pPr>
    </w:p>
    <w:p>
      <w:pPr>
        <w:ind w:left="740" w:right="40" w:hanging="252"/>
        <w:spacing w:after="0" w:line="259" w:lineRule="auto"/>
        <w:tabs>
          <w:tab w:leader="none" w:pos="736" w:val="left"/>
        </w:tabs>
        <w:numPr>
          <w:ilvl w:val="0"/>
          <w:numId w:val="34"/>
        </w:numPr>
        <w:rPr>
          <w:rFonts w:ascii="Arial" w:cs="Arial" w:eastAsia="Arial" w:hAnsi="Arial"/>
          <w:sz w:val="14"/>
          <w:szCs w:val="14"/>
          <w:color w:val="auto"/>
        </w:rPr>
      </w:pPr>
      <w:r>
        <w:rPr>
          <w:rFonts w:ascii="Arial" w:cs="Arial" w:eastAsia="Arial" w:hAnsi="Arial"/>
          <w:sz w:val="14"/>
          <w:szCs w:val="14"/>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currency control regulations, which might restrict or prohibit our conversion of other currencies into U.S. dollars;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restrictions on the transfer of funds;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deterioration of political relations between the United States and other countries;</w:t>
      </w:r>
    </w:p>
    <w:p>
      <w:pPr>
        <w:spacing w:after="0" w:line="163" w:lineRule="exact"/>
        <w:rPr>
          <w:rFonts w:ascii="Arial" w:cs="Arial" w:eastAsia="Arial" w:hAnsi="Arial"/>
          <w:sz w:val="14"/>
          <w:szCs w:val="14"/>
          <w:color w:val="auto"/>
        </w:rPr>
      </w:pPr>
    </w:p>
    <w:p>
      <w:pPr>
        <w:ind w:left="740" w:right="60" w:hanging="252"/>
        <w:spacing w:after="0" w:line="259" w:lineRule="auto"/>
        <w:tabs>
          <w:tab w:leader="none" w:pos="73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spacing w:after="0" w:line="139" w:lineRule="exact"/>
        <w:rPr>
          <w:rFonts w:ascii="Arial" w:cs="Arial" w:eastAsia="Arial" w:hAnsi="Arial"/>
          <w:sz w:val="14"/>
          <w:szCs w:val="14"/>
          <w:color w:val="auto"/>
        </w:rPr>
      </w:pPr>
    </w:p>
    <w:p>
      <w:pPr>
        <w:ind w:left="740" w:right="340" w:hanging="252"/>
        <w:spacing w:after="0" w:line="342" w:lineRule="auto"/>
        <w:tabs>
          <w:tab w:leader="none" w:pos="736" w:val="left"/>
        </w:tabs>
        <w:numPr>
          <w:ilvl w:val="0"/>
          <w:numId w:val="34"/>
        </w:numPr>
        <w:rPr>
          <w:rFonts w:ascii="Arial" w:cs="Arial" w:eastAsia="Arial" w:hAnsi="Arial"/>
          <w:sz w:val="12"/>
          <w:szCs w:val="12"/>
          <w:color w:val="auto"/>
        </w:rPr>
      </w:pPr>
      <w:r>
        <w:rPr>
          <w:rFonts w:ascii="Arial" w:cs="Arial" w:eastAsia="Arial" w:hAnsi="Arial"/>
          <w:sz w:val="12"/>
          <w:szCs w:val="12"/>
          <w:color w:val="auto"/>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spacing w:after="0" w:line="94" w:lineRule="exact"/>
        <w:rPr>
          <w:sz w:val="20"/>
          <w:szCs w:val="20"/>
          <w:color w:val="auto"/>
        </w:rPr>
      </w:pPr>
    </w:p>
    <w:p>
      <w:pPr>
        <w:jc w:val="both"/>
        <w:ind w:right="580" w:firstLine="365"/>
        <w:spacing w:after="0" w:line="250" w:lineRule="auto"/>
        <w:rPr>
          <w:sz w:val="20"/>
          <w:szCs w:val="20"/>
          <w:color w:val="auto"/>
        </w:rPr>
      </w:pPr>
      <w:r>
        <w:rPr>
          <w:rFonts w:ascii="Arial" w:cs="Arial" w:eastAsia="Arial" w:hAnsi="Arial"/>
          <w:sz w:val="14"/>
          <w:szCs w:val="14"/>
          <w:color w:val="auto"/>
        </w:rPr>
        <w:t>Also, due to costs from our international expansion efforts and network service provider fees outside of the United States, which generally are higher than domestic rates, our gross margin for international customers is typically lower than our gross margin for domestic customers. As a result, our gross margin may be impacted and fluctuate as we expand our operations and customer base worldwide.</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failure to manage any of these risks successfully could harm our international operations, and adversely affect our business, results of operations and financial condition.</w:t>
      </w:r>
    </w:p>
    <w:p>
      <w:pPr>
        <w:spacing w:after="0" w:line="164" w:lineRule="exact"/>
        <w:rPr>
          <w:sz w:val="20"/>
          <w:szCs w:val="20"/>
          <w:color w:val="auto"/>
        </w:rPr>
      </w:pPr>
    </w:p>
    <w:p>
      <w:pPr>
        <w:ind w:right="140" w:firstLine="365"/>
        <w:spacing w:after="0" w:line="168" w:lineRule="exact"/>
        <w:rPr>
          <w:sz w:val="20"/>
          <w:szCs w:val="20"/>
          <w:color w:val="auto"/>
        </w:rPr>
      </w:pPr>
      <w:r>
        <w:rPr>
          <w:rFonts w:ascii="Arial" w:cs="Arial" w:eastAsia="Arial" w:hAnsi="Arial"/>
          <w:sz w:val="14"/>
          <w:szCs w:val="14"/>
          <w:b w:val="1"/>
          <w:bCs w:val="1"/>
          <w:i w:val="1"/>
          <w:iCs w:val="1"/>
          <w:color w:val="auto"/>
        </w:rPr>
        <w:t>Certain of our products are subject to telecommunications</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related regulations, and future legislative or regulatory actions could adversely affect our business, results of operations and financial condition.</w:t>
      </w:r>
    </w:p>
    <w:p>
      <w:pPr>
        <w:spacing w:after="0" w:line="153" w:lineRule="exact"/>
        <w:rPr>
          <w:sz w:val="20"/>
          <w:szCs w:val="20"/>
          <w:color w:val="auto"/>
        </w:rPr>
      </w:pPr>
    </w:p>
    <w:p>
      <w:pPr>
        <w:ind w:firstLine="365"/>
        <w:spacing w:after="0" w:line="292" w:lineRule="auto"/>
        <w:rPr>
          <w:sz w:val="20"/>
          <w:szCs w:val="20"/>
          <w:color w:val="auto"/>
        </w:rPr>
      </w:pPr>
      <w:r>
        <w:rPr>
          <w:rFonts w:ascii="Arial" w:cs="Arial" w:eastAsia="Arial" w:hAnsi="Arial"/>
          <w:sz w:val="12"/>
          <w:szCs w:val="12"/>
          <w:color w:val="auto"/>
        </w:rPr>
        <w:t>As a provider of communications products, we are subject to existing or potential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Any enforcement action by the FCC, which may be a public process, would hurt our reputation in the industry, could erode customer trust, possibly impair our ability to sell our VoIP products to customers and could adversely affect our business, results of operations and financial condition.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Certain of our products are subject to a number of FCC regulations and laws that are administered by the FCC. Among others, we must comply (in whole or in part) with:</w:t>
      </w:r>
    </w:p>
    <w:p>
      <w:pPr>
        <w:spacing w:after="0" w:line="164" w:lineRule="exact"/>
        <w:rPr>
          <w:sz w:val="20"/>
          <w:szCs w:val="20"/>
          <w:color w:val="auto"/>
        </w:rPr>
      </w:pPr>
    </w:p>
    <w:p>
      <w:pPr>
        <w:ind w:left="720" w:hanging="232"/>
        <w:spacing w:after="0"/>
        <w:tabs>
          <w:tab w:leader="none" w:pos="7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Communications Act of 1934, as amended, which regulates communications services and the provision of such services;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Telephone Consumer Protection Act, which limits the use of automatic dialing systems for calls and texts, artificial or prerecorded voice messages and fax machines;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Communications Assistance for Law Enforcement Act, which requires covered entities to assist law enforcement in undertaking electronic surveillance;</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requirements to safeguard the privacy of certain customer information;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870" w:right="339" w:bottom="1440" w:gutter="0" w:footer="0" w:header="0"/>
        </w:sectPr>
      </w:pPr>
    </w:p>
    <w:bookmarkStart w:id="49" w:name="page50"/>
    <w:bookmarkEnd w:id="49"/>
    <w:p>
      <w:pPr>
        <w:ind w:left="720" w:hanging="232"/>
        <w:spacing w:after="0"/>
        <w:tabs>
          <w:tab w:leader="none" w:pos="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payment of annual FCC regulatory fees and contributions to FCC-administered funds based on our interstate and international revenues; and</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rules pertaining to access to our services by people with disabilities and contributions to the Telecommunications Relay Services fund.</w:t>
      </w:r>
    </w:p>
    <w:p>
      <w:pPr>
        <w:spacing w:after="0" w:line="164" w:lineRule="exact"/>
        <w:rPr>
          <w:sz w:val="20"/>
          <w:szCs w:val="20"/>
          <w:color w:val="auto"/>
        </w:rPr>
      </w:pPr>
    </w:p>
    <w:p>
      <w:pPr>
        <w:ind w:right="660" w:firstLine="365"/>
        <w:spacing w:after="0" w:line="259" w:lineRule="auto"/>
        <w:rPr>
          <w:sz w:val="20"/>
          <w:szCs w:val="20"/>
          <w:color w:val="auto"/>
        </w:rPr>
      </w:pPr>
      <w:r>
        <w:rPr>
          <w:rFonts w:ascii="Arial" w:cs="Arial" w:eastAsia="Arial" w:hAnsi="Arial"/>
          <w:sz w:val="14"/>
          <w:szCs w:val="14"/>
          <w:color w:val="auto"/>
        </w:rPr>
        <w:t>In addition, Congress and the FCC are attempting to mitigate the scourge of robocalls by requiring participation in a technical standard called SHAKEN/STIR, which allows voice carriers to authenticate caller ID, prohibiting malicious spoofing.</w:t>
      </w:r>
    </w:p>
    <w:p>
      <w:pPr>
        <w:spacing w:after="0" w:line="140" w:lineRule="exact"/>
        <w:rPr>
          <w:sz w:val="20"/>
          <w:szCs w:val="20"/>
          <w:color w:val="auto"/>
        </w:rPr>
      </w:pPr>
    </w:p>
    <w:p>
      <w:pPr>
        <w:ind w:right="40" w:firstLine="365"/>
        <w:spacing w:after="0" w:line="291" w:lineRule="auto"/>
        <w:rPr>
          <w:sz w:val="20"/>
          <w:szCs w:val="20"/>
          <w:color w:val="auto"/>
        </w:rPr>
      </w:pPr>
      <w:r>
        <w:rPr>
          <w:rFonts w:ascii="Arial" w:cs="Arial" w:eastAsia="Arial" w:hAnsi="Arial"/>
          <w:sz w:val="12"/>
          <w:szCs w:val="12"/>
          <w:color w:val="auto"/>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National Institute of Standards and Technology issued a Secure Software Development Framework (SSDF) on September 30, 2021 and Software Supply Chain Security Guidance (incorporating the SSDF), on February 4, 2022, and on March 7, 2022, the Office of Management and Budget directed federal agencies to incorporate both documents into their software lifecycle and acquisitions practices. The Executive Order also may lead to the development of additional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23" w:lineRule="exact"/>
        <w:rPr>
          <w:sz w:val="20"/>
          <w:szCs w:val="20"/>
          <w:color w:val="auto"/>
        </w:rPr>
      </w:pPr>
    </w:p>
    <w:p>
      <w:pPr>
        <w:ind w:right="40" w:firstLine="365"/>
        <w:spacing w:after="0" w:line="250" w:lineRule="auto"/>
        <w:rPr>
          <w:sz w:val="20"/>
          <w:szCs w:val="20"/>
          <w:color w:val="auto"/>
        </w:rPr>
      </w:pPr>
      <w:r>
        <w:rPr>
          <w:rFonts w:ascii="Arial" w:cs="Arial" w:eastAsia="Arial" w:hAnsi="Arial"/>
          <w:sz w:val="14"/>
          <w:szCs w:val="14"/>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146" w:lineRule="exact"/>
        <w:rPr>
          <w:sz w:val="20"/>
          <w:szCs w:val="20"/>
          <w:color w:val="auto"/>
        </w:rPr>
      </w:pPr>
    </w:p>
    <w:p>
      <w:pPr>
        <w:ind w:right="140" w:firstLine="365"/>
        <w:spacing w:after="0" w:line="259" w:lineRule="auto"/>
        <w:rPr>
          <w:sz w:val="20"/>
          <w:szCs w:val="20"/>
          <w:color w:val="auto"/>
        </w:rPr>
      </w:pPr>
      <w:r>
        <w:rPr>
          <w:rFonts w:ascii="Arial" w:cs="Arial" w:eastAsia="Arial" w:hAnsi="Arial"/>
          <w:sz w:val="14"/>
          <w:szCs w:val="14"/>
          <w:color w:val="auto"/>
        </w:rPr>
        <w:t>As we continue to expand internationally, we have become subject to telecommunications laws and regulations in the foreign countries where we offer our products. Internationally, we currently offer our products across 180 countries.</w:t>
      </w:r>
    </w:p>
    <w:p>
      <w:pPr>
        <w:spacing w:after="0" w:line="140" w:lineRule="exact"/>
        <w:rPr>
          <w:sz w:val="20"/>
          <w:szCs w:val="20"/>
          <w:color w:val="auto"/>
        </w:rPr>
      </w:pPr>
    </w:p>
    <w:p>
      <w:pPr>
        <w:ind w:firstLine="365"/>
        <w:spacing w:after="0" w:line="288" w:lineRule="auto"/>
        <w:rPr>
          <w:sz w:val="20"/>
          <w:szCs w:val="20"/>
          <w:color w:val="auto"/>
        </w:rPr>
      </w:pPr>
      <w:r>
        <w:rPr>
          <w:rFonts w:ascii="Arial" w:cs="Arial" w:eastAsia="Arial" w:hAnsi="Arial"/>
          <w:sz w:val="12"/>
          <w:szCs w:val="12"/>
          <w:color w:val="auto"/>
        </w:rPr>
        <w:t>Our international operations are subject to country-specific governmental regulation and related actions that have increased and will continue to increase our compliance costs or impact our products and platform or prevent us from offering or providing our products in certain countries. Moreover, the regulation of communications platform-as-a-service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Specifically, the Australian Communications and Media Authority in 2019 issued a formal finding against several companies, including our Company, for failure to upload data into a centralized database for emergency services and, in the future, regulatory authorities in other jurisdictions in which we operate may also determine that we are a telecommunications company subject to similar regulations.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50" w:name="page51"/>
    <w:bookmarkEnd w:id="50"/>
    <w:p>
      <w:pPr>
        <w:ind w:firstLine="365"/>
        <w:spacing w:after="0" w:line="294" w:lineRule="auto"/>
        <w:rPr>
          <w:sz w:val="20"/>
          <w:szCs w:val="20"/>
          <w:color w:val="auto"/>
        </w:rPr>
      </w:pPr>
      <w:r>
        <w:rPr>
          <w:rFonts w:ascii="Arial" w:cs="Arial" w:eastAsia="Arial" w:hAnsi="Arial"/>
          <w:sz w:val="12"/>
          <w:szCs w:val="12"/>
          <w:color w:val="auto"/>
        </w:rPr>
        <w:t>Moreover,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122" w:lineRule="exact"/>
        <w:rPr>
          <w:sz w:val="20"/>
          <w:szCs w:val="20"/>
          <w:color w:val="auto"/>
        </w:rPr>
      </w:pPr>
    </w:p>
    <w:p>
      <w:pPr>
        <w:ind w:right="660" w:firstLine="365"/>
        <w:spacing w:after="0" w:line="168" w:lineRule="exact"/>
        <w:rPr>
          <w:sz w:val="20"/>
          <w:szCs w:val="20"/>
          <w:color w:val="auto"/>
        </w:rPr>
      </w:pPr>
      <w:r>
        <w:rPr>
          <w:rFonts w:ascii="Arial" w:cs="Arial" w:eastAsia="Arial" w:hAnsi="Arial"/>
          <w:sz w:val="14"/>
          <w:szCs w:val="14"/>
          <w:b w:val="1"/>
          <w:bCs w:val="1"/>
          <w:i w:val="1"/>
          <w:iCs w:val="1"/>
          <w:color w:val="auto"/>
        </w:rPr>
        <w:t>If we are unable to obtain or retain geographical, mobile, regional, local or toll</w:t>
      </w:r>
      <w:r>
        <w:rPr>
          <w:rFonts w:ascii="MS PGothic" w:cs="MS PGothic" w:eastAsia="MS PGothic" w:hAnsi="MS PGothic"/>
          <w:sz w:val="14"/>
          <w:szCs w:val="14"/>
          <w:color w:val="auto"/>
        </w:rPr>
        <w:t>‑</w:t>
      </w:r>
      <w:r>
        <w:rPr>
          <w:rFonts w:ascii="Arial" w:cs="Arial" w:eastAsia="Arial" w:hAnsi="Arial"/>
          <w:sz w:val="14"/>
          <w:szCs w:val="14"/>
          <w:b w:val="1"/>
          <w:bCs w:val="1"/>
          <w:i w:val="1"/>
          <w:iCs w:val="1"/>
          <w:color w:val="auto"/>
        </w:rPr>
        <w:t>free numbers, or to effectively process requests to port such numbers in a timely manner due to industry regulations, our business and results of operations may be adversely affected.</w:t>
      </w:r>
    </w:p>
    <w:p>
      <w:pPr>
        <w:spacing w:after="0" w:line="153" w:lineRule="exact"/>
        <w:rPr>
          <w:sz w:val="20"/>
          <w:szCs w:val="20"/>
          <w:color w:val="auto"/>
        </w:rPr>
      </w:pPr>
    </w:p>
    <w:p>
      <w:pPr>
        <w:ind w:right="40" w:firstLine="365"/>
        <w:spacing w:after="0" w:line="297" w:lineRule="auto"/>
        <w:rPr>
          <w:sz w:val="20"/>
          <w:szCs w:val="20"/>
          <w:color w:val="auto"/>
        </w:rPr>
      </w:pPr>
      <w:r>
        <w:rPr>
          <w:rFonts w:ascii="Arial" w:cs="Arial" w:eastAsia="Arial" w:hAnsi="Arial"/>
          <w:sz w:val="12"/>
          <w:szCs w:val="12"/>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20" w:lineRule="exact"/>
        <w:rPr>
          <w:sz w:val="20"/>
          <w:szCs w:val="20"/>
          <w:color w:val="auto"/>
        </w:rPr>
      </w:pPr>
    </w:p>
    <w:p>
      <w:pPr>
        <w:ind w:right="40" w:firstLine="365"/>
        <w:spacing w:after="0" w:line="289" w:lineRule="auto"/>
        <w:rPr>
          <w:sz w:val="20"/>
          <w:szCs w:val="20"/>
          <w:color w:val="auto"/>
        </w:rPr>
      </w:pPr>
      <w:r>
        <w:rPr>
          <w:rFonts w:ascii="Arial" w:cs="Arial" w:eastAsia="Arial" w:hAnsi="Arial"/>
          <w:sz w:val="12"/>
          <w:szCs w:val="12"/>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25" w:lineRule="exact"/>
        <w:rPr>
          <w:sz w:val="20"/>
          <w:szCs w:val="20"/>
          <w:color w:val="auto"/>
        </w:rPr>
      </w:pPr>
    </w:p>
    <w:p>
      <w:pPr>
        <w:ind w:right="100" w:firstLine="365"/>
        <w:spacing w:after="0" w:line="297" w:lineRule="auto"/>
        <w:rPr>
          <w:sz w:val="20"/>
          <w:szCs w:val="20"/>
          <w:color w:val="auto"/>
        </w:rPr>
      </w:pPr>
      <w:r>
        <w:rPr>
          <w:rFonts w:ascii="Arial" w:cs="Arial" w:eastAsia="Arial" w:hAnsi="Arial"/>
          <w:sz w:val="12"/>
          <w:szCs w:val="12"/>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120" w:lineRule="exact"/>
        <w:rPr>
          <w:sz w:val="20"/>
          <w:szCs w:val="20"/>
          <w:color w:val="auto"/>
        </w:rPr>
      </w:pPr>
    </w:p>
    <w:p>
      <w:pPr>
        <w:ind w:right="60" w:firstLine="365"/>
        <w:spacing w:after="0" w:line="246" w:lineRule="auto"/>
        <w:rPr>
          <w:sz w:val="20"/>
          <w:szCs w:val="20"/>
          <w:color w:val="auto"/>
        </w:rPr>
      </w:pPr>
      <w:r>
        <w:rPr>
          <w:rFonts w:ascii="Arial" w:cs="Arial" w:eastAsia="Arial" w:hAnsi="Arial"/>
          <w:sz w:val="14"/>
          <w:szCs w:val="14"/>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Any of the foregoing factors could adversely affect our business, results of operations and financial condition.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870" w:right="339" w:bottom="1440" w:gutter="0" w:footer="0" w:header="0"/>
        </w:sectPr>
      </w:pPr>
    </w:p>
    <w:bookmarkStart w:id="51" w:name="page52"/>
    <w:bookmarkEnd w:id="51"/>
    <w:p>
      <w:pPr>
        <w:ind w:right="360" w:firstLine="365"/>
        <w:spacing w:after="0" w:line="259" w:lineRule="auto"/>
        <w:rPr>
          <w:sz w:val="20"/>
          <w:szCs w:val="20"/>
          <w:color w:val="auto"/>
        </w:rPr>
      </w:pPr>
      <w:r>
        <w:rPr>
          <w:rFonts w:ascii="Arial" w:cs="Arial" w:eastAsia="Arial" w:hAnsi="Arial"/>
          <w:sz w:val="14"/>
          <w:szCs w:val="14"/>
          <w:b w:val="1"/>
          <w:bCs w:val="1"/>
          <w:i w:val="1"/>
          <w:iCs w:val="1"/>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140" w:lineRule="exact"/>
        <w:rPr>
          <w:sz w:val="20"/>
          <w:szCs w:val="20"/>
          <w:color w:val="auto"/>
        </w:rPr>
      </w:pPr>
    </w:p>
    <w:p>
      <w:pPr>
        <w:ind w:right="160" w:firstLine="365"/>
        <w:spacing w:after="0" w:line="297" w:lineRule="auto"/>
        <w:rPr>
          <w:sz w:val="20"/>
          <w:szCs w:val="20"/>
          <w:color w:val="auto"/>
        </w:rPr>
      </w:pPr>
      <w:r>
        <w:rPr>
          <w:rFonts w:ascii="Arial" w:cs="Arial" w:eastAsia="Arial" w:hAnsi="Arial"/>
          <w:sz w:val="12"/>
          <w:szCs w:val="12"/>
          <w:color w:val="auto"/>
        </w:rPr>
        <w:t>The market for communications in general, and cloud communications in particular, is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including but not limited to SHAKEN/STIR and applicable industry standards,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20" w:lineRule="exact"/>
        <w:rPr>
          <w:sz w:val="20"/>
          <w:szCs w:val="20"/>
          <w:color w:val="auto"/>
        </w:rPr>
      </w:pPr>
    </w:p>
    <w:p>
      <w:pPr>
        <w:ind w:right="40" w:firstLine="365"/>
        <w:spacing w:after="0" w:line="290" w:lineRule="auto"/>
        <w:rPr>
          <w:sz w:val="20"/>
          <w:szCs w:val="20"/>
          <w:color w:val="auto"/>
        </w:rPr>
      </w:pPr>
      <w:r>
        <w:rPr>
          <w:rFonts w:ascii="Arial" w:cs="Arial" w:eastAsia="Arial" w:hAnsi="Arial"/>
          <w:sz w:val="12"/>
          <w:szCs w:val="12"/>
          <w:color w:val="auto"/>
        </w:rPr>
        <w:t>Our platform must integrate with a variety of network, hardware, mobile and software platforms and technologies, and we need to continuously modify and enhance our products and platform to adapt to changes and innovation in these technologies. For example, Apple, Google and other cell-phone operating system providers or inbox service providers have developed and, may in the future develop, new applications or functions intended to filter spam and unwanted phone calls, messages or emails. Third party platforms may also implement changes to their privacy policies or practices that may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290" w:lineRule="exact"/>
        <w:rPr>
          <w:sz w:val="20"/>
          <w:szCs w:val="20"/>
          <w:color w:val="auto"/>
        </w:rPr>
      </w:pPr>
    </w:p>
    <w:p>
      <w:pPr>
        <w:ind w:firstLine="365"/>
        <w:spacing w:after="0" w:line="259" w:lineRule="auto"/>
        <w:rPr>
          <w:sz w:val="20"/>
          <w:szCs w:val="20"/>
          <w:color w:val="auto"/>
        </w:rPr>
      </w:pPr>
      <w:r>
        <w:rPr>
          <w:rFonts w:ascii="Arial" w:cs="Arial" w:eastAsia="Arial" w:hAnsi="Arial"/>
          <w:sz w:val="14"/>
          <w:szCs w:val="14"/>
          <w:b w:val="1"/>
          <w:bCs w:val="1"/>
          <w:i w:val="1"/>
          <w:iCs w:val="1"/>
          <w:color w:val="auto"/>
        </w:rPr>
        <w:t>We substantially rely upon Amazon Web Services to operate our platform, and any disruption of or interference with our use of Amazon Web Services would adversely affect our business, results of operations and financial condition.</w:t>
      </w:r>
    </w:p>
    <w:p>
      <w:pPr>
        <w:spacing w:after="0" w:line="140" w:lineRule="exact"/>
        <w:rPr>
          <w:sz w:val="20"/>
          <w:szCs w:val="20"/>
          <w:color w:val="auto"/>
        </w:rPr>
      </w:pPr>
    </w:p>
    <w:p>
      <w:pPr>
        <w:ind w:firstLine="365"/>
        <w:spacing w:after="0" w:line="289" w:lineRule="auto"/>
        <w:rPr>
          <w:sz w:val="20"/>
          <w:szCs w:val="20"/>
          <w:color w:val="auto"/>
        </w:rPr>
      </w:pPr>
      <w:r>
        <w:rPr>
          <w:rFonts w:ascii="Arial" w:cs="Arial" w:eastAsia="Arial" w:hAnsi="Arial"/>
          <w:sz w:val="12"/>
          <w:szCs w:val="12"/>
          <w:color w:val="auto"/>
        </w:rPr>
        <w:t>We outsource a substantial majority of our cloud infrastructure to Amazon Web Services (“AWS”), which hosts our products and platform.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Capacity constraints could be due to a number of potential causes, including technical failures, natural disasters, public health epidemics or pandemics such as COVID-19, fraud or security attacks. In addition, if our security, or that of AWS, is compromised, or our products or platform are unavailable or our users are unable to use our products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products become more complex and the usage of our products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 result in negative publicity which could harm our reputation and brand and may adversely affect the usage of our platform.</w:t>
      </w:r>
    </w:p>
    <w:p>
      <w:pPr>
        <w:spacing w:after="0" w:line="125" w:lineRule="exact"/>
        <w:rPr>
          <w:sz w:val="20"/>
          <w:szCs w:val="20"/>
          <w:color w:val="auto"/>
        </w:rPr>
      </w:pPr>
    </w:p>
    <w:p>
      <w:pPr>
        <w:ind w:right="140" w:firstLine="365"/>
        <w:spacing w:after="0" w:line="245" w:lineRule="auto"/>
        <w:rPr>
          <w:sz w:val="20"/>
          <w:szCs w:val="20"/>
          <w:color w:val="auto"/>
        </w:rPr>
      </w:pPr>
      <w:r>
        <w:rPr>
          <w:rFonts w:ascii="Arial" w:cs="Arial" w:eastAsia="Arial" w:hAnsi="Arial"/>
          <w:sz w:val="14"/>
          <w:szCs w:val="14"/>
          <w:color w:val="auto"/>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AWS provides us with computing and storage capacity pursuant to an agreement that continues until terminated by either party. AWS may terminate the agreement for cause upon notice and upon our failure to cure a breach within 30 days from the date of such notification and may, in some cases, suspend the agreement immediately for cause upon notice. Although we expect that we could receive similar services from other third parties, if any of our arrangements with AWS are terminated, we could experience interruptions on our platform and in our ability to make our products available to customers, as well as delays and additional expenses in arranging alternative cloud infrastructure services.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52" w:name="page53"/>
    <w:bookmarkEnd w:id="52"/>
    <w:p>
      <w:pPr>
        <w:ind w:right="120" w:firstLine="365"/>
        <w:spacing w:after="0" w:line="342" w:lineRule="auto"/>
        <w:rPr>
          <w:sz w:val="20"/>
          <w:szCs w:val="20"/>
          <w:color w:val="auto"/>
        </w:rPr>
      </w:pPr>
      <w:r>
        <w:rPr>
          <w:rFonts w:ascii="Arial" w:cs="Arial" w:eastAsia="Arial" w:hAnsi="Arial"/>
          <w:sz w:val="12"/>
          <w:szCs w:val="12"/>
          <w:color w:val="auto"/>
        </w:rPr>
        <w:t>Any of the above circumstances or events may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94" w:lineRule="exact"/>
        <w:rPr>
          <w:sz w:val="20"/>
          <w:szCs w:val="20"/>
          <w:color w:val="auto"/>
        </w:rPr>
      </w:pPr>
    </w:p>
    <w:p>
      <w:pPr>
        <w:ind w:right="520" w:firstLine="365"/>
        <w:spacing w:after="0" w:line="259" w:lineRule="auto"/>
        <w:rPr>
          <w:sz w:val="20"/>
          <w:szCs w:val="20"/>
          <w:color w:val="auto"/>
        </w:rPr>
      </w:pPr>
      <w:r>
        <w:rPr>
          <w:rFonts w:ascii="Arial" w:cs="Arial" w:eastAsia="Arial" w:hAnsi="Arial"/>
          <w:sz w:val="14"/>
          <w:szCs w:val="14"/>
          <w:b w:val="1"/>
          <w:bCs w:val="1"/>
          <w:i w:val="1"/>
          <w:iCs w:val="1"/>
          <w:color w:val="auto"/>
        </w:rPr>
        <w:t>We typically provide monthly uptime service level commitments of a minimum of 99.95% under our agreements with customers. If we fail to meet these contractual commitments, then our business, results of operations and financial condition could be adversely affected.</w:t>
      </w:r>
    </w:p>
    <w:p>
      <w:pPr>
        <w:spacing w:after="0" w:line="140" w:lineRule="exact"/>
        <w:rPr>
          <w:sz w:val="20"/>
          <w:szCs w:val="20"/>
          <w:color w:val="auto"/>
        </w:rPr>
      </w:pPr>
    </w:p>
    <w:p>
      <w:pPr>
        <w:ind w:right="20" w:firstLine="365"/>
        <w:spacing w:after="0" w:line="294" w:lineRule="auto"/>
        <w:rPr>
          <w:sz w:val="20"/>
          <w:szCs w:val="20"/>
          <w:color w:val="auto"/>
        </w:rPr>
      </w:pPr>
      <w:r>
        <w:rPr>
          <w:rFonts w:ascii="Arial" w:cs="Arial" w:eastAsia="Arial" w:hAnsi="Arial"/>
          <w:sz w:val="12"/>
          <w:szCs w:val="12"/>
          <w:color w:val="auto"/>
        </w:rPr>
        <w:t>Our agreements with customers typically provide for service level commitments. If we suffer extended periods of downtime for our products or platform and we are unable to meet these commitments, then we are contractually obligated to provide a service credit, which is typically 10% of the customer’s amounts due for the month in question. For example, there have been instances in which technical reliability issues have caused service disruptions with one or more products in our cloud communications platform that have impacted our customers’ ability to use such products for up to several hours. These issues have caused us to incur certain costs associated with offering credits to our affected customers and have had an adverse impact on customer satisfaction. In addition, the performance and availability of AWS or other service providers that provide our cloud infrastructures is outside of our control and, therefore, we are not in full control of whether we meet our service level commitments. A loss of customers or reduced utilization of our products by customers resulting from unscheduled downtime or service disruptions could adversely affect our business, results of operations and financial condition.</w:t>
      </w:r>
    </w:p>
    <w:p>
      <w:pPr>
        <w:spacing w:after="0" w:line="122" w:lineRule="exact"/>
        <w:rPr>
          <w:sz w:val="20"/>
          <w:szCs w:val="20"/>
          <w:color w:val="auto"/>
        </w:rPr>
      </w:pPr>
    </w:p>
    <w:p>
      <w:pPr>
        <w:ind w:right="160" w:firstLine="365"/>
        <w:spacing w:after="0" w:line="250" w:lineRule="auto"/>
        <w:rPr>
          <w:sz w:val="20"/>
          <w:szCs w:val="20"/>
          <w:color w:val="auto"/>
        </w:rPr>
      </w:pPr>
      <w:r>
        <w:rPr>
          <w:rFonts w:ascii="Arial" w:cs="Arial" w:eastAsia="Arial" w:hAnsi="Arial"/>
          <w:sz w:val="14"/>
          <w:szCs w:val="14"/>
          <w:b w:val="1"/>
          <w:bCs w:val="1"/>
          <w:i w:val="1"/>
          <w:iCs w:val="1"/>
          <w:color w:val="auto"/>
        </w:rPr>
        <w:t>Breaches of our networks or systems, or those of AWS or our service providers, could degrade our ability to conduct our business, compromise the integrity of our products, platform and data,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46" w:lineRule="exact"/>
        <w:rPr>
          <w:sz w:val="20"/>
          <w:szCs w:val="20"/>
          <w:color w:val="auto"/>
        </w:rPr>
      </w:pPr>
    </w:p>
    <w:p>
      <w:pPr>
        <w:ind w:firstLine="365"/>
        <w:spacing w:after="0" w:line="297" w:lineRule="auto"/>
        <w:rPr>
          <w:sz w:val="20"/>
          <w:szCs w:val="20"/>
          <w:color w:val="auto"/>
        </w:rPr>
      </w:pPr>
      <w:r>
        <w:rPr>
          <w:rFonts w:ascii="Arial" w:cs="Arial" w:eastAsia="Arial" w:hAnsi="Arial"/>
          <w:sz w:val="12"/>
          <w:szCs w:val="12"/>
          <w:color w:val="auto"/>
        </w:rPr>
        <w:t>We depend upon our IT systems to conduct virtually all of our business operations, ranging from our internal operations and research and development activities to our marketing and sales efforts and communications with our customers and business partners. We have in the past and may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31" w:lineRule="exact"/>
        <w:rPr>
          <w:sz w:val="20"/>
          <w:szCs w:val="20"/>
          <w:color w:val="auto"/>
        </w:rPr>
      </w:pPr>
    </w:p>
    <w:p>
      <w:pPr>
        <w:ind w:right="60" w:firstLine="487"/>
        <w:spacing w:after="0" w:line="254" w:lineRule="auto"/>
        <w:rPr>
          <w:sz w:val="20"/>
          <w:szCs w:val="20"/>
          <w:color w:val="auto"/>
        </w:rPr>
      </w:pPr>
      <w:r>
        <w:rPr>
          <w:rFonts w:ascii="Arial" w:cs="Arial" w:eastAsia="Arial" w:hAnsi="Arial"/>
          <w:sz w:val="12"/>
          <w:szCs w:val="12"/>
          <w:color w:val="auto"/>
        </w:rPr>
        <w:t>Individuals or entities may attempt to penetrate our network security, or that of our platform,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software vulnerabilities, supply chain attacks and vulnerabilities through our third-party partners, employees theft or misuse, password spraying, phishing,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w:t>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reputational harm, and diversion of funds. Extortion payments may alleviate or reduce the negative impact of a ransomware attack, but we may be unwilling or unable to make such payments due to, for example, applicable laws or regulations prohibiting such payments. Because the techniques used by such individuals or entities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to deploy our IT resources in a safe and secure manner that does not expose our network systems to security breaches or the loss of data. We have been and expect to be subject to cybersecurity threats and incidents, including denial-of-service attacks, employee errors or individual attempts to gain unauthorized access to information systems. Any data security incidents, including internal malfeasance or inadvertent disclosures by our employees or a third party's fraudulent inducement of our employees to disclose information, unauthorized access or usage, virus or similar breach or disruption of us or our service providers, such as AWS, could result in loss of confidential information, damage to our reputation, erosion of customer trust, loss of customers, litigation, regulatory investigations, fines, penalties and other liabilities.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53" w:name="page54"/>
    <w:bookmarkEnd w:id="53"/>
    <w:p>
      <w:pPr>
        <w:spacing w:after="0" w:line="234" w:lineRule="auto"/>
        <w:rPr>
          <w:sz w:val="20"/>
          <w:szCs w:val="20"/>
          <w:color w:val="auto"/>
        </w:rPr>
      </w:pPr>
      <w:r>
        <w:rPr>
          <w:rFonts w:ascii="Arial" w:cs="Arial" w:eastAsia="Arial" w:hAnsi="Arial"/>
          <w:sz w:val="14"/>
          <w:szCs w:val="14"/>
          <w:color w:val="auto"/>
        </w:rPr>
        <w:t>For example, in 2020, SolarWinds Inc., one of our third-party software service providers, was subject to a data security incident. We have completed our investigations of this incident and concluded that there was no adverse impact to us.</w:t>
      </w:r>
    </w:p>
    <w:p>
      <w:pPr>
        <w:spacing w:after="0" w:line="143" w:lineRule="exact"/>
        <w:rPr>
          <w:sz w:val="20"/>
          <w:szCs w:val="20"/>
          <w:color w:val="auto"/>
        </w:rPr>
      </w:pPr>
    </w:p>
    <w:p>
      <w:pPr>
        <w:ind w:right="80" w:firstLine="365"/>
        <w:spacing w:after="0" w:line="289" w:lineRule="auto"/>
        <w:rPr>
          <w:sz w:val="20"/>
          <w:szCs w:val="20"/>
          <w:color w:val="auto"/>
        </w:rPr>
      </w:pPr>
      <w:r>
        <w:rPr>
          <w:rFonts w:ascii="Arial" w:cs="Arial" w:eastAsia="Arial" w:hAnsi="Arial"/>
          <w:sz w:val="12"/>
          <w:szCs w:val="12"/>
          <w:color w:val="auto"/>
        </w:rPr>
        <w:t>Furthermore, we are required to comply with laws and regulations that require us to maintain the security of personal information and we may have contractual and other legal obligations to notify customers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could lead to negative publicity, may cause our customers to lose confidence in the effectiveness of our security measures and require us to expend significant capital and other resources to respond to and/or mitigate the security breach. Accordingly, if our cybersecurity measures or those of AWS or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w:t>
      </w:r>
    </w:p>
    <w:p>
      <w:pPr>
        <w:spacing w:after="0" w:line="128" w:lineRule="exact"/>
        <w:rPr>
          <w:sz w:val="20"/>
          <w:szCs w:val="20"/>
          <w:color w:val="auto"/>
        </w:rPr>
      </w:pPr>
    </w:p>
    <w:p>
      <w:pPr>
        <w:ind w:right="120" w:firstLine="365"/>
        <w:spacing w:after="0" w:line="250" w:lineRule="auto"/>
        <w:rPr>
          <w:sz w:val="20"/>
          <w:szCs w:val="20"/>
          <w:color w:val="auto"/>
        </w:rPr>
      </w:pPr>
      <w:r>
        <w:rPr>
          <w:rFonts w:ascii="Arial" w:cs="Arial" w:eastAsia="Arial" w:hAnsi="Arial"/>
          <w:sz w:val="14"/>
          <w:szCs w:val="14"/>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Defects or errors in our products could diminish demand for our products, harm our business and results of operations and subject us to liability.</w:t>
      </w:r>
    </w:p>
    <w:p>
      <w:pPr>
        <w:spacing w:after="0" w:line="164" w:lineRule="exact"/>
        <w:rPr>
          <w:sz w:val="20"/>
          <w:szCs w:val="20"/>
          <w:color w:val="auto"/>
        </w:rPr>
      </w:pPr>
    </w:p>
    <w:p>
      <w:pPr>
        <w:ind w:right="20" w:firstLine="365"/>
        <w:spacing w:after="0" w:line="294" w:lineRule="auto"/>
        <w:rPr>
          <w:sz w:val="20"/>
          <w:szCs w:val="20"/>
          <w:color w:val="auto"/>
        </w:rPr>
      </w:pPr>
      <w:r>
        <w:rPr>
          <w:rFonts w:ascii="Arial" w:cs="Arial" w:eastAsia="Arial" w:hAnsi="Arial"/>
          <w:sz w:val="12"/>
          <w:szCs w:val="12"/>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and erode customer trust.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22" w:lineRule="exact"/>
        <w:rPr>
          <w:sz w:val="20"/>
          <w:szCs w:val="20"/>
          <w:color w:val="auto"/>
        </w:rPr>
      </w:pPr>
    </w:p>
    <w:p>
      <w:pPr>
        <w:ind w:right="80" w:firstLine="365"/>
        <w:spacing w:after="0" w:line="259" w:lineRule="auto"/>
        <w:rPr>
          <w:sz w:val="20"/>
          <w:szCs w:val="20"/>
          <w:color w:val="auto"/>
        </w:rPr>
      </w:pPr>
      <w:r>
        <w:rPr>
          <w:rFonts w:ascii="Arial" w:cs="Arial" w:eastAsia="Arial" w:hAnsi="Arial"/>
          <w:sz w:val="14"/>
          <w:szCs w:val="14"/>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40" w:lineRule="exact"/>
        <w:rPr>
          <w:sz w:val="20"/>
          <w:szCs w:val="20"/>
          <w:color w:val="auto"/>
        </w:rPr>
      </w:pPr>
    </w:p>
    <w:p>
      <w:pPr>
        <w:ind w:right="100" w:firstLine="365"/>
        <w:spacing w:after="0" w:line="302" w:lineRule="auto"/>
        <w:rPr>
          <w:sz w:val="20"/>
          <w:szCs w:val="20"/>
          <w:color w:val="auto"/>
        </w:rPr>
      </w:pPr>
      <w:r>
        <w:rPr>
          <w:rFonts w:ascii="Arial" w:cs="Arial" w:eastAsia="Arial" w:hAnsi="Arial"/>
          <w:sz w:val="12"/>
          <w:szCs w:val="12"/>
          <w:color w:val="auto"/>
        </w:rPr>
        <w:t>In the six months ended June 30, 2022 and the years ended December 31, 2021 and 2020, our 10 largest Active Customer Accounts generated an aggregate of 12%, 11% and 14% of our revenue, respectively. In the event that any of our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If we are unable to develop and maintain successful relationships with consulting partners, our business, results of operations and financial condition could be adversely affected.</w:t>
      </w:r>
    </w:p>
    <w:p>
      <w:pPr>
        <w:spacing w:after="0" w:line="187" w:lineRule="exact"/>
        <w:rPr>
          <w:sz w:val="20"/>
          <w:szCs w:val="20"/>
          <w:color w:val="auto"/>
        </w:rPr>
      </w:pPr>
    </w:p>
    <w:p>
      <w:pPr>
        <w:ind w:firstLine="365"/>
        <w:spacing w:after="0" w:line="165" w:lineRule="exact"/>
        <w:rPr>
          <w:sz w:val="20"/>
          <w:szCs w:val="20"/>
          <w:color w:val="auto"/>
        </w:rPr>
      </w:pPr>
      <w:r>
        <w:rPr>
          <w:rFonts w:ascii="Arial" w:cs="Arial" w:eastAsia="Arial" w:hAnsi="Arial"/>
          <w:sz w:val="12"/>
          <w:szCs w:val="12"/>
          <w:color w:val="auto"/>
        </w:rPr>
        <w:t>We believe that continued growth of our business depends in part upon identifying, developing and maintaining strategic relationships with consulting partners. As part of our growth strategy, we intend to further develop partnerships and specific solution areas with consulting partners. If we fail to establish these relationships in a timely and cost</w:t>
      </w:r>
      <w:r>
        <w:rPr>
          <w:rFonts w:ascii="MS PGothic" w:cs="MS PGothic" w:eastAsia="MS PGothic" w:hAnsi="MS PGothic"/>
          <w:sz w:val="12"/>
          <w:szCs w:val="12"/>
          <w:color w:val="auto"/>
        </w:rPr>
        <w:t>‑</w:t>
      </w:r>
      <w:r>
        <w:rPr>
          <w:rFonts w:ascii="Arial" w:cs="Arial" w:eastAsia="Arial" w:hAnsi="Arial"/>
          <w:sz w:val="12"/>
          <w:szCs w:val="12"/>
          <w:color w:val="auto"/>
        </w:rPr>
        <w:t>effective manner, or at all, then our business, results of operations and financial condition could be adversely affected. Additionally, even if we are successful at developing these relationships but there are problems or issues with the integrations or enterprises are not willing to purchase through consulting partners, our reputation and ability to grow our business may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697" w:right="339" w:bottom="1440" w:gutter="0" w:footer="0" w:header="0"/>
        </w:sectPr>
      </w:pPr>
    </w:p>
    <w:bookmarkStart w:id="54" w:name="page55"/>
    <w:bookmarkEnd w:id="54"/>
    <w:p>
      <w:pPr>
        <w:ind w:firstLine="365"/>
        <w:spacing w:after="0" w:line="259" w:lineRule="auto"/>
        <w:rPr>
          <w:sz w:val="20"/>
          <w:szCs w:val="20"/>
          <w:color w:val="auto"/>
        </w:rPr>
      </w:pPr>
      <w:r>
        <w:rPr>
          <w:rFonts w:ascii="Arial" w:cs="Arial" w:eastAsia="Arial" w:hAnsi="Arial"/>
          <w:sz w:val="14"/>
          <w:szCs w:val="14"/>
          <w:b w:val="1"/>
          <w:bCs w:val="1"/>
          <w:i w:val="1"/>
          <w:iCs w:val="1"/>
          <w:color w:val="auto"/>
        </w:rPr>
        <w:t>Any failure to offer high-quality customer support may adversely affect our relationships with our customers and prospective customers, and adversely affect our business, results of operations and financial condition.</w:t>
      </w:r>
    </w:p>
    <w:p>
      <w:pPr>
        <w:spacing w:after="0" w:line="140" w:lineRule="exact"/>
        <w:rPr>
          <w:sz w:val="20"/>
          <w:szCs w:val="20"/>
          <w:color w:val="auto"/>
        </w:rPr>
      </w:pPr>
    </w:p>
    <w:p>
      <w:pPr>
        <w:ind w:firstLine="365"/>
        <w:spacing w:after="0" w:line="164" w:lineRule="exact"/>
        <w:rPr>
          <w:sz w:val="20"/>
          <w:szCs w:val="20"/>
          <w:color w:val="auto"/>
        </w:rPr>
      </w:pPr>
      <w:r>
        <w:rPr>
          <w:rFonts w:ascii="Arial" w:cs="Arial" w:eastAsia="Arial" w:hAnsi="Arial"/>
          <w:sz w:val="12"/>
          <w:szCs w:val="12"/>
          <w:color w:val="auto"/>
        </w:rPr>
        <w:t>Many of our customers depend on our customer support team to assist them in deploying our products effectively to help them to resolve post</w:t>
      </w:r>
      <w:r>
        <w:rPr>
          <w:rFonts w:ascii="MS PGothic" w:cs="MS PGothic" w:eastAsia="MS PGothic" w:hAnsi="MS PGothic"/>
          <w:sz w:val="12"/>
          <w:szCs w:val="12"/>
          <w:color w:val="auto"/>
        </w:rPr>
        <w:t>‑</w:t>
      </w:r>
      <w:r>
        <w:rPr>
          <w:rFonts w:ascii="Arial" w:cs="Arial" w:eastAsia="Arial" w:hAnsi="Arial"/>
          <w:sz w:val="12"/>
          <w:szCs w:val="12"/>
          <w:color w:val="auto"/>
        </w:rPr>
        <w: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w:t>
      </w:r>
      <w:r>
        <w:rPr>
          <w:rFonts w:ascii="MS PGothic" w:cs="MS PGothic" w:eastAsia="MS PGothic" w:hAnsi="MS PGothic"/>
          <w:sz w:val="12"/>
          <w:szCs w:val="12"/>
          <w:color w:val="auto"/>
        </w:rPr>
        <w:t>‑</w:t>
      </w:r>
      <w:r>
        <w:rPr>
          <w:rFonts w:ascii="Arial" w:cs="Arial" w:eastAsia="Arial" w:hAnsi="Arial"/>
          <w:sz w:val="12"/>
          <w:szCs w:val="12"/>
          <w:color w:val="auto"/>
        </w:rPr>
        <w: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developers. Any failure to maintain high-quality customer support, or a market perception that we do not maintain high-quality customer support, could erode customer trust and adversely affect our reputation, business, results of operations and financial condition.</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Failure to set optimal prices for our products could adversely impact our business, results of operations and financial condition.</w:t>
      </w:r>
    </w:p>
    <w:p>
      <w:pPr>
        <w:spacing w:after="0" w:line="164" w:lineRule="exact"/>
        <w:rPr>
          <w:sz w:val="20"/>
          <w:szCs w:val="20"/>
          <w:color w:val="auto"/>
        </w:rPr>
      </w:pPr>
    </w:p>
    <w:p>
      <w:pPr>
        <w:ind w:right="80" w:firstLine="365"/>
        <w:spacing w:after="0" w:line="247" w:lineRule="auto"/>
        <w:rPr>
          <w:sz w:val="20"/>
          <w:szCs w:val="20"/>
          <w:color w:val="auto"/>
        </w:rPr>
      </w:pPr>
      <w:r>
        <w:rPr>
          <w:rFonts w:ascii="Arial" w:cs="Arial" w:eastAsia="Arial" w:hAnsi="Arial"/>
          <w:sz w:val="14"/>
          <w:szCs w:val="14"/>
          <w:color w:val="auto"/>
        </w:rPr>
        <w:t>For certain of our products, we primarily charge our customers based on their use of such products ("usage-based pricing"). One of the challenges to our usage-based pricing is that the fees that we pay to network service providers over whose networks we transmit communications can vary daily or weekly and are affected by volume and other factors that may be outside of our control and difficult to predict. This can result in us incurring increased costs that we may be unable or unwilling to pass through to our customers, which could adversely impact our business, results of operations and financial condition.</w:t>
      </w:r>
    </w:p>
    <w:p>
      <w:pPr>
        <w:spacing w:after="0" w:line="149" w:lineRule="exact"/>
        <w:rPr>
          <w:sz w:val="20"/>
          <w:szCs w:val="20"/>
          <w:color w:val="auto"/>
        </w:rPr>
      </w:pPr>
    </w:p>
    <w:p>
      <w:pPr>
        <w:ind w:right="20" w:firstLine="365"/>
        <w:spacing w:after="0" w:line="164" w:lineRule="exact"/>
        <w:rPr>
          <w:sz w:val="20"/>
          <w:szCs w:val="20"/>
          <w:color w:val="auto"/>
        </w:rPr>
      </w:pPr>
      <w:r>
        <w:rPr>
          <w:rFonts w:ascii="Arial" w:cs="Arial" w:eastAsia="Arial" w:hAnsi="Arial"/>
          <w:sz w:val="12"/>
          <w:szCs w:val="12"/>
          <w:color w:val="auto"/>
        </w:rPr>
        <w:t>We expect that we may need to change our pricing from time to time. In the past, we have sometimes reduced our prices either for individual customers in connection with long</w:t>
      </w:r>
      <w:r>
        <w:rPr>
          <w:rFonts w:ascii="MS PGothic" w:cs="MS PGothic" w:eastAsia="MS PGothic" w:hAnsi="MS PGothic"/>
          <w:sz w:val="12"/>
          <w:szCs w:val="12"/>
          <w:color w:val="auto"/>
        </w:rPr>
        <w:t>‑</w:t>
      </w:r>
      <w:r>
        <w:rPr>
          <w:rFonts w:ascii="Arial" w:cs="Arial" w:eastAsia="Arial" w:hAnsi="Arial"/>
          <w:sz w:val="12"/>
          <w:szCs w:val="12"/>
          <w:color w:val="auto"/>
        </w:rPr>
        <w:t>term agreements or for a particular product. Further, as competitors introduce new products or services that compete with ours or reduce their prices, we may be unable to attract new customers or retain existing customers based on our historical pricing. As we expand internationally, we also must determine the appropriate price to enable us to compete effectively internationally. Moreover, enterprises, which are a primary focus for our direct sales efforts, may demand substantial price concessions. In addition, if the mix of products sold changes, including for a shift to IP</w:t>
      </w:r>
      <w:r>
        <w:rPr>
          <w:rFonts w:ascii="MS PGothic" w:cs="MS PGothic" w:eastAsia="MS PGothic" w:hAnsi="MS PGothic"/>
          <w:sz w:val="12"/>
          <w:szCs w:val="12"/>
          <w:color w:val="auto"/>
        </w:rPr>
        <w:t>‑</w:t>
      </w:r>
      <w:r>
        <w:rPr>
          <w:rFonts w:ascii="Arial" w:cs="Arial" w:eastAsia="Arial" w:hAnsi="Arial"/>
          <w:sz w:val="12"/>
          <w:szCs w:val="12"/>
          <w:color w:val="auto"/>
        </w:rPr>
        <w:t>based products, then we may need to, or choose to, revise our pricing. As a result, in the future we may be required or choose to reduce our prices or change our pricing model, which could adversely affect our business, results of operations and financial condition.</w:t>
      </w:r>
    </w:p>
    <w:p>
      <w:pPr>
        <w:spacing w:after="0" w:line="155" w:lineRule="exact"/>
        <w:rPr>
          <w:sz w:val="20"/>
          <w:szCs w:val="20"/>
          <w:color w:val="auto"/>
        </w:rPr>
      </w:pPr>
    </w:p>
    <w:p>
      <w:pPr>
        <w:ind w:firstLine="365"/>
        <w:spacing w:after="0" w:line="259" w:lineRule="auto"/>
        <w:rPr>
          <w:sz w:val="20"/>
          <w:szCs w:val="20"/>
          <w:color w:val="auto"/>
        </w:rPr>
      </w:pPr>
      <w:r>
        <w:rPr>
          <w:rFonts w:ascii="Arial" w:cs="Arial" w:eastAsia="Arial" w:hAnsi="Arial"/>
          <w:sz w:val="14"/>
          <w:szCs w:val="14"/>
          <w:b w:val="1"/>
          <w:bCs w:val="1"/>
          <w:i w:val="1"/>
          <w:iCs w:val="1"/>
          <w:color w:val="auto"/>
        </w:rPr>
        <w:t>We have been sued and may, in the future, be sued by third parties for alleged infringement of their proprietary rights, which could adversely affect our business, results of operations and financial condition.</w:t>
      </w:r>
    </w:p>
    <w:p>
      <w:pPr>
        <w:spacing w:after="0" w:line="140" w:lineRule="exact"/>
        <w:rPr>
          <w:sz w:val="20"/>
          <w:szCs w:val="20"/>
          <w:color w:val="auto"/>
        </w:rPr>
      </w:pPr>
    </w:p>
    <w:p>
      <w:pPr>
        <w:ind w:firstLine="365"/>
        <w:spacing w:after="0" w:line="164" w:lineRule="exact"/>
        <w:rPr>
          <w:sz w:val="20"/>
          <w:szCs w:val="20"/>
          <w:color w:val="auto"/>
        </w:rPr>
      </w:pPr>
      <w:r>
        <w:rPr>
          <w:rFonts w:ascii="Arial" w:cs="Arial" w:eastAsia="Arial" w:hAnsi="Arial"/>
          <w:sz w:val="12"/>
          <w:szCs w:val="12"/>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third party intellectual property claims. Our future success depends, in part, on not infringing the intellectual property rights of others and we may be unaware of the intellectual property rights of others that may cover some or all of our technology. Our competitors or other third parties have claimed and may, in the future, claim that our products or platform and underlying technology are infringing upon their intellectual property rights, and we may be found to be infringing upon such rights. For example, Telesign Corporation (“Telesign”) sued us in 2015 and 2016 alleging that we infringed four U.S. patents. The patent infringement allegations in the lawsuits related to our two</w:t>
      </w:r>
      <w:r>
        <w:rPr>
          <w:rFonts w:ascii="MS PGothic" w:cs="MS PGothic" w:eastAsia="MS PGothic" w:hAnsi="MS PGothic"/>
          <w:sz w:val="12"/>
          <w:szCs w:val="12"/>
          <w:color w:val="auto"/>
        </w:rPr>
        <w:t>‑</w:t>
      </w:r>
      <w:r>
        <w:rPr>
          <w:rFonts w:ascii="Arial" w:cs="Arial" w:eastAsia="Arial" w:hAnsi="Arial"/>
          <w:sz w:val="12"/>
          <w:szCs w:val="12"/>
          <w:color w:val="auto"/>
        </w:rPr>
        <w:t xml:space="preserve">factor authentication use case, </w:t>
      </w:r>
      <w:r>
        <w:rPr>
          <w:rFonts w:ascii="Arial" w:cs="Arial" w:eastAsia="Arial" w:hAnsi="Arial"/>
          <w:sz w:val="12"/>
          <w:szCs w:val="12"/>
          <w:i w:val="1"/>
          <w:iCs w:val="1"/>
          <w:color w:val="auto"/>
        </w:rPr>
        <w:t>Authy</w:t>
      </w:r>
      <w:r>
        <w:rPr>
          <w:rFonts w:ascii="Arial" w:cs="Arial" w:eastAsia="Arial" w:hAnsi="Arial"/>
          <w:sz w:val="12"/>
          <w:szCs w:val="12"/>
          <w:color w:val="auto"/>
        </w:rPr>
        <w:t>, and an API tool to find information about a phone number. On October 19, 2018, a United States District Court in the Northern District of California entered judgment in our favor on all asserted claims, which was affirmed on appeal. We intend to vigorously defend ourselves against such lawsuits. During the course of these lawsuits, there may be announcements of the results of hearings and motions and other interim developments related to the litigation. If securities analysts or investors regard these announcements as negative, the trading price of our Class A common stock may decline.</w:t>
      </w:r>
    </w:p>
    <w:p>
      <w:pPr>
        <w:spacing w:after="0" w:line="155" w:lineRule="exact"/>
        <w:rPr>
          <w:sz w:val="20"/>
          <w:szCs w:val="20"/>
          <w:color w:val="auto"/>
        </w:rPr>
      </w:pPr>
    </w:p>
    <w:p>
      <w:pPr>
        <w:ind w:right="20" w:firstLine="365"/>
        <w:spacing w:after="0" w:line="165" w:lineRule="exact"/>
        <w:rPr>
          <w:sz w:val="20"/>
          <w:szCs w:val="20"/>
          <w:color w:val="auto"/>
        </w:rPr>
      </w:pPr>
      <w:r>
        <w:rPr>
          <w:rFonts w:ascii="Arial" w:cs="Arial" w:eastAsia="Arial" w:hAnsi="Arial"/>
          <w:sz w:val="14"/>
          <w:szCs w:val="14"/>
          <w:color w:val="auto"/>
        </w:rPr>
        <w:t>Any claims or litigation could cause us to incur significant expenses and, if successfully asserted against us, could require that we pay substantial damages or ongoing royalty payments, prevent us from offering our products, or require that we comply with other unfavorable terms. We may also be obligated to indemnify our customers or business partners in connection with any such litigation and to obtain licenses or modify our products or platform, which could further exhaust our resources. Litigation is inherently uncertain and even if we were to prevail in the event of claims or litigation against us, any claim or litigation regarding intellectual property could be costly and time</w:t>
      </w:r>
      <w:r>
        <w:rPr>
          <w:rFonts w:ascii="MS PGothic" w:cs="MS PGothic" w:eastAsia="MS PGothic" w:hAnsi="MS PGothic"/>
          <w:sz w:val="14"/>
          <w:szCs w:val="14"/>
          <w:color w:val="auto"/>
        </w:rPr>
        <w:t>‑</w:t>
      </w:r>
      <w:r>
        <w:rPr>
          <w:rFonts w:ascii="Arial" w:cs="Arial" w:eastAsia="Arial" w:hAnsi="Arial"/>
          <w:sz w:val="14"/>
          <w:szCs w:val="14"/>
          <w:color w:val="auto"/>
        </w:rPr>
        <w:t>consuming and divert the attention of our management and other employees from our business. Patent infringement, trademark infringement, trade secret misappropriation and other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intellectual property claims and proceedings brought against us, whether successful or not, could harm our brand, business, results of operations and financial condition.</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Indemnity provisions in various agreements potentially expose us to substantial liability for data breach, intellectual property infringement and other losses.</w:t>
      </w:r>
    </w:p>
    <w:p>
      <w:pPr>
        <w:spacing w:after="0" w:line="164" w:lineRule="exact"/>
        <w:rPr>
          <w:sz w:val="20"/>
          <w:szCs w:val="20"/>
          <w:color w:val="auto"/>
        </w:rPr>
      </w:pPr>
    </w:p>
    <w:p>
      <w:pPr>
        <w:ind w:right="20" w:firstLine="365"/>
        <w:spacing w:after="0" w:line="271" w:lineRule="auto"/>
        <w:rPr>
          <w:sz w:val="20"/>
          <w:szCs w:val="20"/>
          <w:color w:val="auto"/>
        </w:rPr>
      </w:pPr>
      <w:r>
        <w:rPr>
          <w:rFonts w:ascii="Arial" w:cs="Arial" w:eastAsia="Arial" w:hAnsi="Arial"/>
          <w:sz w:val="13"/>
          <w:szCs w:val="13"/>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loss or exposure of confidential or sensitive data,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results of operations and financial condition.</w:t>
      </w:r>
    </w:p>
    <w:p>
      <w:pPr>
        <w:spacing w:after="0" w:line="134" w:lineRule="exact"/>
        <w:rPr>
          <w:sz w:val="20"/>
          <w:szCs w:val="20"/>
          <w:color w:val="auto"/>
        </w:rPr>
      </w:pPr>
    </w:p>
    <w:p>
      <w:pPr>
        <w:ind w:right="460" w:firstLine="365"/>
        <w:spacing w:after="0" w:line="259" w:lineRule="auto"/>
        <w:rPr>
          <w:sz w:val="20"/>
          <w:szCs w:val="20"/>
          <w:color w:val="auto"/>
        </w:rPr>
      </w:pPr>
      <w:r>
        <w:rPr>
          <w:rFonts w:ascii="Arial" w:cs="Arial" w:eastAsia="Arial" w:hAnsi="Arial"/>
          <w:sz w:val="14"/>
          <w:szCs w:val="14"/>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40" w:lineRule="exact"/>
        <w:rPr>
          <w:sz w:val="20"/>
          <w:szCs w:val="20"/>
          <w:color w:val="auto"/>
        </w:rPr>
      </w:pPr>
    </w:p>
    <w:p>
      <w:pPr>
        <w:ind w:firstLine="365"/>
        <w:spacing w:after="0" w:line="244" w:lineRule="auto"/>
        <w:rPr>
          <w:sz w:val="20"/>
          <w:szCs w:val="20"/>
          <w:color w:val="auto"/>
        </w:rPr>
      </w:pPr>
      <w:r>
        <w:rPr>
          <w:rFonts w:ascii="Arial" w:cs="Arial" w:eastAsia="Arial" w:hAnsi="Arial"/>
          <w:sz w:val="14"/>
          <w:szCs w:val="14"/>
          <w:color w:val="auto"/>
        </w:rPr>
        <w:t>Our success depends, in part, on our ability to protect our brand and the proprietary methods and technologies that we develop under patent and other intellectual property laws in the U.S. and in non-U.S. jurisdictions so that we can prevent others from using our inventions and proprietary information. As of December 31, 2021, in the United States, we had been issued 197 patents, which expire between 2029 and 2040. As of such date, we also had 36 issued patents in non-U.S. jurisdictions, all of which are related to U.S. patents and patent applications. We have also filed various applications for protection of certain aspects of our intellectual property in the United States and internationally. There can be no assurance that additional patents will be issued or that any patents that have been issued or that may be issued in the future will provide significant protection for our intellectual property. As of December 31, 2021, we had 50 registered trademarks in the United States and 416 registered trademarks in non-U.S. jurisdictions. If we fail to protect our intellectual property rights adequately, our competitors might gain access to our technology and our business, results of operations and financial condition may be adversely affected.</w:t>
      </w:r>
    </w:p>
    <w:p>
      <w:pPr>
        <w:spacing w:after="0" w:line="153" w:lineRule="exact"/>
        <w:rPr>
          <w:sz w:val="20"/>
          <w:szCs w:val="20"/>
          <w:color w:val="auto"/>
        </w:rPr>
      </w:pPr>
    </w:p>
    <w:p>
      <w:pPr>
        <w:ind w:right="80" w:firstLine="365"/>
        <w:spacing w:after="0" w:line="164" w:lineRule="exact"/>
        <w:rPr>
          <w:sz w:val="20"/>
          <w:szCs w:val="20"/>
          <w:color w:val="auto"/>
        </w:rPr>
      </w:pPr>
      <w:r>
        <w:rPr>
          <w:rFonts w:ascii="Arial" w:cs="Arial" w:eastAsia="Arial" w:hAnsi="Arial"/>
          <w:sz w:val="12"/>
          <w:szCs w:val="12"/>
          <w:color w:val="auto"/>
        </w:rPr>
        <w:t>There can be no assurance that the particular forms of intellectual property protection that we seek, including business decisions about when to file patent applications and trademark applications, will be adequate to protect our business. We could be required to spend significant resources to monitor and protect our intellectual property rights. Litigation has in the past, and may be necessary in the future, to enforce our intellectual property rights, determine the validity and scope of our proprietary rights or those of others, or defend against claims of infringement or invalidity. Such litigation could be costly, time</w:t>
      </w:r>
      <w:r>
        <w:rPr>
          <w:rFonts w:ascii="MS PGothic" w:cs="MS PGothic" w:eastAsia="MS PGothic" w:hAnsi="MS PGothic"/>
          <w:sz w:val="12"/>
          <w:szCs w:val="12"/>
          <w:color w:val="auto"/>
        </w:rPr>
        <w:t>‑</w:t>
      </w:r>
      <w:r>
        <w:rPr>
          <w:rFonts w:ascii="Arial" w:cs="Arial" w:eastAsia="Arial" w:hAnsi="Arial"/>
          <w:sz w:val="12"/>
          <w:szCs w:val="12"/>
          <w:color w:val="auto"/>
        </w:rPr>
        <w:t>consuming and distracting to management, result in a diversion of significant resources, the narrowing or invalidation of portions of our intellectual property and have an adverse effect on our business, results of operations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copyrights, trademarks or other intellectual property rights could be challenged by others or invalidated through administrative process or litigation.</w:t>
      </w:r>
    </w:p>
    <w:p>
      <w:pPr>
        <w:spacing w:after="0" w:line="156" w:lineRule="exact"/>
        <w:rPr>
          <w:sz w:val="20"/>
          <w:szCs w:val="20"/>
          <w:color w:val="auto"/>
        </w:rPr>
      </w:pPr>
    </w:p>
    <w:p>
      <w:pPr>
        <w:ind w:right="80" w:firstLine="365"/>
        <w:spacing w:after="0" w:line="164" w:lineRule="exact"/>
        <w:rPr>
          <w:sz w:val="20"/>
          <w:szCs w:val="20"/>
          <w:color w:val="auto"/>
        </w:rPr>
      </w:pPr>
      <w:r>
        <w:rPr>
          <w:rFonts w:ascii="Arial" w:cs="Arial" w:eastAsia="Arial" w:hAnsi="Arial"/>
          <w:sz w:val="12"/>
          <w:szCs w:val="12"/>
          <w:color w:val="auto"/>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w:t>
      </w:r>
      <w:r>
        <w:rPr>
          <w:rFonts w:ascii="MS PGothic" w:cs="MS PGothic" w:eastAsia="MS PGothic" w:hAnsi="MS PGothic"/>
          <w:sz w:val="12"/>
          <w:szCs w:val="12"/>
          <w:color w:val="auto"/>
        </w:rPr>
        <w:t>‑</w:t>
      </w:r>
      <w:r>
        <w:rPr>
          <w:rFonts w:ascii="Arial" w:cs="Arial" w:eastAsia="Arial" w:hAnsi="Arial"/>
          <w:sz w:val="12"/>
          <w:szCs w:val="12"/>
          <w:color w:val="auto"/>
        </w:rPr>
        <w:t>consuming litigation could be necessary to enforce and determine the scope of our proprietary rights, and failure to obtain or maintain trade secret protection could adversely affect our competitive business position.</w:t>
      </w:r>
    </w:p>
    <w:p>
      <w:pPr>
        <w:spacing w:after="0" w:line="155" w:lineRule="exact"/>
        <w:rPr>
          <w:sz w:val="20"/>
          <w:szCs w:val="20"/>
          <w:color w:val="auto"/>
        </w:rPr>
      </w:pPr>
    </w:p>
    <w:p>
      <w:pPr>
        <w:jc w:val="both"/>
        <w:ind w:right="320" w:firstLine="365"/>
        <w:spacing w:after="0" w:line="250" w:lineRule="auto"/>
        <w:rPr>
          <w:sz w:val="20"/>
          <w:szCs w:val="20"/>
          <w:color w:val="auto"/>
        </w:rPr>
      </w:pPr>
      <w:r>
        <w:rPr>
          <w:rFonts w:ascii="Arial" w:cs="Arial" w:eastAsia="Arial" w:hAnsi="Arial"/>
          <w:sz w:val="14"/>
          <w:szCs w:val="14"/>
          <w:color w:val="auto"/>
        </w:rPr>
        <w:t>In addition, the laws of some countries do not protect intellectual property and other proprietary rights to the same extent as the laws of the United States. To the extent we expand our international activities, whether through acquisitions, international product development, regulatory compliance of local data sovereignty, or improving our services (e.g. reducing latency or ensuring redundancy) our exposure to unauthorized copying, transfer and use of our proprietary technology or information may increase.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56" w:name="page57"/>
    <w:bookmarkEnd w:id="56"/>
    <w:p>
      <w:pPr>
        <w:ind w:firstLine="365"/>
        <w:spacing w:after="0" w:line="259" w:lineRule="auto"/>
        <w:rPr>
          <w:sz w:val="20"/>
          <w:szCs w:val="20"/>
          <w:color w:val="auto"/>
        </w:rPr>
      </w:pPr>
      <w:r>
        <w:rPr>
          <w:rFonts w:ascii="Arial" w:cs="Arial" w:eastAsia="Arial" w:hAnsi="Arial"/>
          <w:sz w:val="14"/>
          <w:szCs w:val="14"/>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results of operations and financial condition could be adversely affected.</w:t>
      </w:r>
    </w:p>
    <w:p>
      <w:pPr>
        <w:spacing w:after="0" w:line="140" w:lineRule="exact"/>
        <w:rPr>
          <w:sz w:val="20"/>
          <w:szCs w:val="20"/>
          <w:color w:val="auto"/>
        </w:rPr>
      </w:pPr>
    </w:p>
    <w:p>
      <w:pPr>
        <w:ind w:right="200" w:firstLine="365"/>
        <w:spacing w:after="0" w:line="259" w:lineRule="auto"/>
        <w:rPr>
          <w:sz w:val="20"/>
          <w:szCs w:val="20"/>
          <w:color w:val="auto"/>
        </w:rPr>
      </w:pPr>
      <w:r>
        <w:rPr>
          <w:rFonts w:ascii="Arial" w:cs="Arial" w:eastAsia="Arial" w:hAnsi="Arial"/>
          <w:sz w:val="14"/>
          <w:szCs w:val="14"/>
          <w:b w:val="1"/>
          <w:bCs w:val="1"/>
          <w:i w:val="1"/>
          <w:iCs w:val="1"/>
          <w:color w:val="auto"/>
        </w:rPr>
        <w:t>We may acquire or invest in companies, which may divert our management’s attention and result in debt or dilution to our stockholders. We may be unable to integrate acquired businesses and technologies successfully or achieve the expected benefits of such acquisitions or investments.</w:t>
      </w:r>
    </w:p>
    <w:p>
      <w:pPr>
        <w:spacing w:after="0" w:line="140" w:lineRule="exact"/>
        <w:rPr>
          <w:sz w:val="20"/>
          <w:szCs w:val="20"/>
          <w:color w:val="auto"/>
        </w:rPr>
      </w:pPr>
    </w:p>
    <w:p>
      <w:pPr>
        <w:ind w:right="20" w:firstLine="365"/>
        <w:spacing w:after="0" w:line="292" w:lineRule="auto"/>
        <w:rPr>
          <w:sz w:val="20"/>
          <w:szCs w:val="20"/>
          <w:color w:val="auto"/>
        </w:rPr>
      </w:pPr>
      <w:r>
        <w:rPr>
          <w:rFonts w:ascii="Arial" w:cs="Arial" w:eastAsia="Arial" w:hAnsi="Arial"/>
          <w:sz w:val="12"/>
          <w:szCs w:val="12"/>
          <w:color w:val="auto"/>
        </w:rPr>
        <w:t>We actively evaluate and consider potential strategic transactions, including acquisitions of, or investments in, businesses, technologies, services, products and other assets in the future. For example, in November 2020, we acquired Segment for a total purchase price of $3.0 billion, of which approximately $2.5 billion represented the value of our Class A common stock issued at closing. The estimated transaction value of $3.2 billion, as previously announced, included certain shares of Class A common stock and assumed equity awards that are subject to future vesting. Accordingly, at closing, our stockholders incurred substantial dilution. Any future acquisitions or strategic transactions may result in additional dilution or require us to take on debt in order to finance any such transactions. For further risks related to our acquisitions, please see below under “Risks Related to our Acquisitions.” We also may enter into relationships with other businesses to expand our products and platform, which could involve preferred or exclusive licenses, additional channels of distribution, discount pricing or investments in other companies, such as our recent minority investment of $750.0 million in Syniverse Corporation that closed in May 2022.</w:t>
      </w:r>
    </w:p>
    <w:p>
      <w:pPr>
        <w:spacing w:after="0" w:line="124" w:lineRule="exact"/>
        <w:rPr>
          <w:sz w:val="20"/>
          <w:szCs w:val="20"/>
          <w:color w:val="auto"/>
        </w:rPr>
      </w:pPr>
    </w:p>
    <w:p>
      <w:pPr>
        <w:ind w:right="40" w:firstLine="365"/>
        <w:spacing w:after="0" w:line="294" w:lineRule="auto"/>
        <w:rPr>
          <w:sz w:val="20"/>
          <w:szCs w:val="20"/>
          <w:color w:val="auto"/>
        </w:rPr>
      </w:pPr>
      <w:r>
        <w:rPr>
          <w:rFonts w:ascii="Arial" w:cs="Arial" w:eastAsia="Arial" w:hAnsi="Arial"/>
          <w:sz w:val="12"/>
          <w:szCs w:val="12"/>
          <w:color w:val="auto"/>
        </w:rPr>
        <w:t>Any acquisition, investment or business relationship may result in unforeseen operating difficulties and expenditures. In particular, we may encounter difficulties or delays in assimilating or integrating the businesses, technologies, products, employees or operations of the acquired companies, particularly if the key employees of the acquired company choose not to work for us, their products or services are not easily adapted to work with our platform, or we have difficulty retaining the customers of any acquired business due to changes in ownership, management or otherwise. In addition, we may discover liabilities or deficiencies associated with the assets or companies we acquire or ineffective or inadequate controls, procedures or policies at an acquired business that were not identified in advance, any of which could result in significant unanticipated costs.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Negotiating these transactions can be time consuming, difficult and expensive, and our ability to complete these transactions may often be subject to approvals that are beyond our control.</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Consequently, these transactions, even if announced, may not be completed. For one or more of those transactions, we may:</w:t>
      </w:r>
    </w:p>
    <w:p>
      <w:pPr>
        <w:spacing w:after="0" w:line="154" w:lineRule="exact"/>
        <w:rPr>
          <w:sz w:val="20"/>
          <w:szCs w:val="20"/>
          <w:color w:val="auto"/>
        </w:rPr>
      </w:pPr>
    </w:p>
    <w:p>
      <w:pPr>
        <w:ind w:left="720" w:hanging="232"/>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issue additional equity securities that would dilute our existing stockholders;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use cash that we may need in the future to operate our business;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incur large charges or substantial liabilities;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incur debt on terms unfavorable to us or that we are unable to repay;</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encounter difficulties retaining key employees of the acquired company or integrating diverse software codes or business cultures;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invest in securities that are illiquid or decline in value;</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encounter difficulties retaining the acquired company's customers; or</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become subject to adverse tax consequences, substantial depreciation, or deferred compensation charges.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occurrence of any of these foregoing could adversely affect our business, results of operations and financial condition.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870" w:right="359" w:bottom="1440" w:gutter="0" w:footer="0" w:header="0"/>
        </w:sectPr>
      </w:pPr>
    </w:p>
    <w:bookmarkStart w:id="57" w:name="page58"/>
    <w:bookmarkEnd w:id="57"/>
    <w:p>
      <w:pPr>
        <w:ind w:right="360" w:firstLine="365"/>
        <w:spacing w:after="0" w:line="259" w:lineRule="auto"/>
        <w:rPr>
          <w:sz w:val="20"/>
          <w:szCs w:val="20"/>
          <w:color w:val="auto"/>
        </w:rPr>
      </w:pPr>
      <w:r>
        <w:rPr>
          <w:rFonts w:ascii="Arial" w:cs="Arial" w:eastAsia="Arial" w:hAnsi="Arial"/>
          <w:sz w:val="14"/>
          <w:szCs w:val="14"/>
          <w:b w:val="1"/>
          <w:bCs w:val="1"/>
          <w:i w:val="1"/>
          <w:iCs w:val="1"/>
          <w:color w:val="auto"/>
        </w:rPr>
        <w:t>United States federal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40" w:lineRule="exact"/>
        <w:rPr>
          <w:sz w:val="20"/>
          <w:szCs w:val="20"/>
          <w:color w:val="auto"/>
        </w:rPr>
      </w:pPr>
    </w:p>
    <w:p>
      <w:pPr>
        <w:ind w:right="40" w:firstLine="365"/>
        <w:spacing w:after="0" w:line="288" w:lineRule="auto"/>
        <w:rPr>
          <w:sz w:val="20"/>
          <w:szCs w:val="20"/>
          <w:color w:val="auto"/>
        </w:rPr>
      </w:pPr>
      <w:r>
        <w:rPr>
          <w:rFonts w:ascii="Arial" w:cs="Arial" w:eastAsia="Arial" w:hAnsi="Arial"/>
          <w:sz w:val="12"/>
          <w:szCs w:val="12"/>
          <w:color w:val="auto"/>
        </w:rPr>
        <w:t>The Federal Controlling the Assault of Non-Solicited Pornography and Marketing Act of 2003, or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290" w:lineRule="exact"/>
        <w:rPr>
          <w:sz w:val="20"/>
          <w:szCs w:val="20"/>
          <w:color w:val="auto"/>
        </w:rPr>
      </w:pPr>
    </w:p>
    <w:p>
      <w:pPr>
        <w:jc w:val="both"/>
        <w:ind w:firstLine="365"/>
        <w:spacing w:after="0" w:line="250" w:lineRule="auto"/>
        <w:rPr>
          <w:sz w:val="20"/>
          <w:szCs w:val="20"/>
          <w:color w:val="auto"/>
        </w:rPr>
      </w:pPr>
      <w:r>
        <w:rPr>
          <w:rFonts w:ascii="Arial" w:cs="Arial" w:eastAsia="Arial" w:hAnsi="Arial"/>
          <w:sz w:val="14"/>
          <w:szCs w:val="14"/>
          <w:b w:val="1"/>
          <w:bCs w:val="1"/>
          <w:i w:val="1"/>
          <w:iCs w:val="1"/>
          <w:color w:val="auto"/>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spacing w:after="0" w:line="146" w:lineRule="exact"/>
        <w:rPr>
          <w:sz w:val="20"/>
          <w:szCs w:val="20"/>
          <w:color w:val="auto"/>
        </w:rPr>
      </w:pPr>
    </w:p>
    <w:p>
      <w:pPr>
        <w:ind w:right="140" w:firstLine="365"/>
        <w:spacing w:after="0" w:line="300" w:lineRule="auto"/>
        <w:rPr>
          <w:sz w:val="20"/>
          <w:szCs w:val="20"/>
          <w:color w:val="auto"/>
        </w:rPr>
      </w:pPr>
      <w:r>
        <w:rPr>
          <w:rFonts w:ascii="Arial" w:cs="Arial" w:eastAsia="Arial" w:hAnsi="Arial"/>
          <w:sz w:val="12"/>
          <w:szCs w:val="12"/>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 businesses can incur penalties or criminal fines imposed by the FCC or be fined up to $1,500 per violation through private litigation or state</w:t>
      </w:r>
    </w:p>
    <w:p>
      <w:pPr>
        <w:ind w:right="120"/>
        <w:spacing w:after="0" w:line="165" w:lineRule="exact"/>
        <w:rPr>
          <w:sz w:val="20"/>
          <w:szCs w:val="20"/>
          <w:color w:val="auto"/>
        </w:rPr>
      </w:pPr>
      <w:r>
        <w:rPr>
          <w:rFonts w:ascii="Arial" w:cs="Arial" w:eastAsia="Arial" w:hAnsi="Arial"/>
          <w:sz w:val="14"/>
          <w:szCs w:val="14"/>
          <w:color w:val="auto"/>
        </w:rPr>
        <w:t>attorneys general or other state actor enforcement. Class action suits are the most common method for private enforcement. This has resulted in civil claims against our company and requests for information through third</w:t>
      </w:r>
      <w:r>
        <w:rPr>
          <w:rFonts w:ascii="MS PGothic" w:cs="MS PGothic" w:eastAsia="MS PGothic" w:hAnsi="MS PGothic"/>
          <w:sz w:val="14"/>
          <w:szCs w:val="14"/>
          <w:color w:val="auto"/>
        </w:rPr>
        <w:t>‑</w:t>
      </w:r>
      <w:r>
        <w:rPr>
          <w:rFonts w:ascii="Arial" w:cs="Arial" w:eastAsia="Arial" w:hAnsi="Arial"/>
          <w:sz w:val="14"/>
          <w:szCs w:val="14"/>
          <w:color w:val="auto"/>
        </w:rPr>
        <w:t>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155" w:lineRule="exact"/>
        <w:rPr>
          <w:sz w:val="20"/>
          <w:szCs w:val="20"/>
          <w:color w:val="auto"/>
        </w:rPr>
      </w:pPr>
    </w:p>
    <w:p>
      <w:pPr>
        <w:ind w:right="120" w:firstLine="365"/>
        <w:spacing w:after="0" w:line="294" w:lineRule="auto"/>
        <w:rPr>
          <w:sz w:val="20"/>
          <w:szCs w:val="20"/>
          <w:color w:val="auto"/>
        </w:rPr>
      </w:pPr>
      <w:r>
        <w:rPr>
          <w:rFonts w:ascii="Arial" w:cs="Arial" w:eastAsia="Arial" w:hAnsi="Arial"/>
          <w:sz w:val="12"/>
          <w:szCs w:val="12"/>
          <w:color w:val="auto"/>
        </w:rPr>
        <w:t>Moreover,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spacing w:after="0" w:line="122" w:lineRule="exact"/>
        <w:rPr>
          <w:sz w:val="20"/>
          <w:szCs w:val="20"/>
          <w:color w:val="auto"/>
        </w:rPr>
      </w:pPr>
    </w:p>
    <w:p>
      <w:pPr>
        <w:ind w:right="20" w:firstLine="365"/>
        <w:spacing w:after="0" w:line="297" w:lineRule="auto"/>
        <w:rPr>
          <w:sz w:val="20"/>
          <w:szCs w:val="20"/>
          <w:color w:val="auto"/>
        </w:rPr>
      </w:pPr>
      <w:r>
        <w:rPr>
          <w:rFonts w:ascii="Arial" w:cs="Arial" w:eastAsia="Arial" w:hAnsi="Arial"/>
          <w:sz w:val="12"/>
          <w:szCs w:val="12"/>
          <w:color w:val="auto"/>
        </w:rPr>
        <w:t>Moreover, our customers’ and other users’ promotion of their products and services through our platform might not comply with federal, state, and foreign laws or of contractual requirements imposed by carriers, such as the CTIA Shortcode Agreement and associated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58" w:name="page59"/>
    <w:bookmarkEnd w:id="58"/>
    <w:p>
      <w:pPr>
        <w:spacing w:after="0" w:line="292" w:lineRule="auto"/>
        <w:rPr>
          <w:sz w:val="20"/>
          <w:szCs w:val="20"/>
          <w:color w:val="auto"/>
        </w:rPr>
      </w:pPr>
      <w:r>
        <w:rPr>
          <w:rFonts w:ascii="Arial" w:cs="Arial" w:eastAsia="Arial" w:hAnsi="Arial"/>
          <w:sz w:val="12"/>
          <w:szCs w:val="12"/>
          <w:color w:val="auto"/>
        </w:rPr>
        <w:t>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There are various Congressional, FCC and executive efforts to eliminate or restrict the scope of the protections under Section 230, which limits the liability of internet platforms for third-party content that is transmitted via those platforms and for good-faith moderation of offensive content. In addition, Florida and Texas adopted statutes intended to reduce or eliminate the protections granted under Section 230, although implementation of both statutes has been stayed by various federal courts, including the U.S. Supreme Court. Florida recently amended its statute in an effort to address issues that led the court to issue the stay. Similar legislation has been introduced in other states in 2022.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use of open source software could negatively affect our ability to sell our products and subject us to possible litigation.</w:t>
      </w:r>
    </w:p>
    <w:p>
      <w:pPr>
        <w:spacing w:after="0" w:line="164" w:lineRule="exact"/>
        <w:rPr>
          <w:sz w:val="20"/>
          <w:szCs w:val="20"/>
          <w:color w:val="auto"/>
        </w:rPr>
      </w:pPr>
    </w:p>
    <w:p>
      <w:pPr>
        <w:ind w:firstLine="365"/>
        <w:spacing w:after="0" w:line="166" w:lineRule="exact"/>
        <w:rPr>
          <w:sz w:val="20"/>
          <w:szCs w:val="20"/>
          <w:color w:val="auto"/>
        </w:rPr>
      </w:pPr>
      <w:r>
        <w:rPr>
          <w:rFonts w:ascii="Arial" w:cs="Arial" w:eastAsia="Arial" w:hAnsi="Arial"/>
          <w:sz w:val="12"/>
          <w:szCs w:val="12"/>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w:t>
      </w:r>
      <w:r>
        <w:rPr>
          <w:rFonts w:ascii="MS PGothic" w:cs="MS PGothic" w:eastAsia="MS PGothic" w:hAnsi="MS PGothic"/>
          <w:sz w:val="12"/>
          <w:szCs w:val="12"/>
          <w:color w:val="auto"/>
        </w:rPr>
        <w:t>‑</w:t>
      </w:r>
      <w:r>
        <w:rPr>
          <w:rFonts w:ascii="Arial" w:cs="Arial" w:eastAsia="Arial" w:hAnsi="Arial"/>
          <w:sz w:val="12"/>
          <w:szCs w:val="12"/>
          <w:color w:val="auto"/>
        </w:rPr>
        <w:t>engineer our products or platform or discontinue offering our products to customers in the event re</w:t>
      </w:r>
      <w:r>
        <w:rPr>
          <w:rFonts w:ascii="MS PGothic" w:cs="MS PGothic" w:eastAsia="MS PGothic" w:hAnsi="MS PGothic"/>
          <w:sz w:val="12"/>
          <w:szCs w:val="12"/>
          <w:color w:val="auto"/>
        </w:rPr>
        <w:t>‑</w:t>
      </w:r>
      <w:r>
        <w:rPr>
          <w:rFonts w:ascii="Arial" w:cs="Arial" w:eastAsia="Arial" w:hAnsi="Arial"/>
          <w:sz w:val="12"/>
          <w:szCs w:val="12"/>
          <w:color w:val="auto"/>
        </w:rPr>
        <w:t>engineering cannot be accomplished on a timely basis. Any of the foregoing could require us to devote additional research and development resources to re</w:t>
      </w:r>
      <w:r>
        <w:rPr>
          <w:rFonts w:ascii="MS PGothic" w:cs="MS PGothic" w:eastAsia="MS PGothic" w:hAnsi="MS PGothic"/>
          <w:sz w:val="12"/>
          <w:szCs w:val="12"/>
          <w:color w:val="auto"/>
        </w:rPr>
        <w:t>‑</w:t>
      </w:r>
      <w:r>
        <w:rPr>
          <w:rFonts w:ascii="Arial" w:cs="Arial" w:eastAsia="Arial" w:hAnsi="Arial"/>
          <w:sz w:val="12"/>
          <w:szCs w:val="12"/>
          <w:color w:val="auto"/>
        </w:rPr>
        <w:t>engineer our products or platform, could result in customer dissatisfaction and may adversely affect our business, results of operations and financial condition.</w:t>
      </w:r>
    </w:p>
    <w:p>
      <w:pPr>
        <w:spacing w:after="0" w:line="290" w:lineRule="exact"/>
        <w:rPr>
          <w:sz w:val="20"/>
          <w:szCs w:val="20"/>
          <w:color w:val="auto"/>
        </w:rPr>
      </w:pPr>
    </w:p>
    <w:p>
      <w:pPr>
        <w:ind w:right="120" w:firstLine="365"/>
        <w:spacing w:after="0" w:line="259" w:lineRule="auto"/>
        <w:rPr>
          <w:sz w:val="20"/>
          <w:szCs w:val="20"/>
          <w:color w:val="auto"/>
        </w:rPr>
      </w:pPr>
      <w:r>
        <w:rPr>
          <w:rFonts w:ascii="Arial" w:cs="Arial" w:eastAsia="Arial" w:hAnsi="Arial"/>
          <w:sz w:val="14"/>
          <w:szCs w:val="14"/>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50" w:lineRule="exact"/>
        <w:rPr>
          <w:sz w:val="20"/>
          <w:szCs w:val="20"/>
          <w:color w:val="auto"/>
        </w:rPr>
      </w:pPr>
    </w:p>
    <w:p>
      <w:pPr>
        <w:ind w:firstLine="365"/>
        <w:spacing w:after="0" w:line="145" w:lineRule="exact"/>
        <w:rPr>
          <w:sz w:val="20"/>
          <w:szCs w:val="20"/>
          <w:color w:val="auto"/>
        </w:rPr>
      </w:pPr>
      <w:r>
        <w:rPr>
          <w:rFonts w:ascii="Arial" w:cs="Arial" w:eastAsia="Arial" w:hAnsi="Arial"/>
          <w:sz w:val="12"/>
          <w:szCs w:val="12"/>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w:t>
      </w:r>
      <w:r>
        <w:rPr>
          <w:rFonts w:ascii="MS PGothic" w:cs="MS PGothic" w:eastAsia="MS PGothic" w:hAnsi="MS PGothic"/>
          <w:sz w:val="12"/>
          <w:szCs w:val="12"/>
          <w:color w:val="auto"/>
        </w:rPr>
        <w:t>‑</w:t>
      </w:r>
      <w:r>
        <w:rPr>
          <w:rFonts w:ascii="Arial" w:cs="Arial" w:eastAsia="Arial" w:hAnsi="Arial"/>
          <w:sz w:val="12"/>
          <w:szCs w:val="12"/>
          <w:color w:val="auto"/>
        </w:rPr>
        <w:t>related commerce or communications generally or result in reductions in the demand for Internet</w:t>
      </w:r>
      <w:r>
        <w:rPr>
          <w:rFonts w:ascii="MS PGothic" w:cs="MS PGothic" w:eastAsia="MS PGothic" w:hAnsi="MS PGothic"/>
          <w:sz w:val="12"/>
          <w:szCs w:val="12"/>
          <w:color w:val="auto"/>
        </w:rPr>
        <w:t>‑</w:t>
      </w:r>
      <w:r>
        <w:rPr>
          <w:rFonts w:ascii="Arial" w:cs="Arial" w:eastAsia="Arial" w:hAnsi="Arial"/>
          <w:sz w:val="12"/>
          <w:szCs w:val="12"/>
          <w:color w:val="auto"/>
        </w:rPr>
        <w:t>based products and services such as our products and platform. In particular, a re-adoption of “network neutrality” rules in the United States, which President Biden supported during his campaign, could affect the services used by us and our customers. California’s state network neutrality law went into effect after a federal district court denied a motion for preliminary injunction on March 10, 2021, and that decision was affirmed by the U.S. Court of Appeals for the Ninth Circuit on January 28, 2022, and on April 20, 2022 it declined to rehear the case. The appellants did not appeal to the U.S. Supreme Court. A temporary injunction preventing implementation of a similar law in Vermont expired on April 20, 2022, but the challenge to that law remains pending. A number of other states have adopted or are adopting or considering legislation or executive actions that would regulate the conduct of broadband providers. In addition, the use of the Internet as a business tool could be adversely affected due to delays in the development or adoption of new standards and protocols to handle increased demands of Internet activity, security, reliability, cost, ease</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59" w:name="page60"/>
    <w:bookmarkEnd w:id="59"/>
    <w:p>
      <w:pPr>
        <w:ind w:left="360"/>
        <w:spacing w:after="0"/>
        <w:rPr>
          <w:sz w:val="20"/>
          <w:szCs w:val="20"/>
          <w:color w:val="auto"/>
        </w:rPr>
      </w:pPr>
      <w:r>
        <w:rPr>
          <w:rFonts w:ascii="Arial" w:cs="Arial" w:eastAsia="Arial" w:hAnsi="Arial"/>
          <w:sz w:val="14"/>
          <w:szCs w:val="14"/>
          <w:b w:val="1"/>
          <w:bCs w:val="1"/>
          <w:i w:val="1"/>
          <w:iCs w:val="1"/>
          <w:color w:val="auto"/>
        </w:rPr>
        <w:t>The technology industry is subject to increasing scrutiny that could result in government actions that would negatively affect our business.</w:t>
      </w:r>
    </w:p>
    <w:p>
      <w:pPr>
        <w:spacing w:after="0" w:line="164" w:lineRule="exact"/>
        <w:rPr>
          <w:sz w:val="20"/>
          <w:szCs w:val="20"/>
          <w:color w:val="auto"/>
        </w:rPr>
      </w:pPr>
    </w:p>
    <w:p>
      <w:pPr>
        <w:ind w:right="60" w:firstLine="365"/>
        <w:spacing w:after="0" w:line="244" w:lineRule="auto"/>
        <w:rPr>
          <w:sz w:val="20"/>
          <w:szCs w:val="20"/>
          <w:color w:val="auto"/>
        </w:rPr>
      </w:pPr>
      <w:r>
        <w:rPr>
          <w:rFonts w:ascii="Arial" w:cs="Arial" w:eastAsia="Arial" w:hAnsi="Arial"/>
          <w:sz w:val="14"/>
          <w:szCs w:val="14"/>
          <w:color w:val="auto"/>
        </w:rPr>
        <w:t>The technology industry is subject to intense media, political and regulatory scrutiny, both domestic and foreign, including on issues related to antitrust, privacy, and artificial intelligence, which exposes us to government investigations, legal actions and penalties. For instance, various regulatory agencies, including competition and consumer protection authorities, have active proceedings and investigations concerning multiple technology companies on antitrust and other issues. If we become subject to such investigations, we could be liable for substantial fines and penalties, be required to change our products and services or alter our business operations, receive negative publicity, or be subject to civil litigation, all of which could harm our business. Lawmakers also have proposed new laws and regulations, and modifications to existing laws and regulations, that affect the activities of technology companies, such as the recent legislative efforts to eliminate or modify Section 230 of the Communications Decency Act and to regulate platforms that offer apps and other similar actions in some U.S. states. If such laws and regulations are enacted or modified, they could impact us, even if they are not intended to affect our company. In addition, the introduction of new products and services, expansion of our activities in certain jurisdictions, or other actions that we may take may subject us to additional laws, regulations, and other scrutiny. The increased scrutiny of certain acquisitions in the technology industry also could affect our ability to enter into strategic transactions or to acquire other businesses.</w:t>
      </w:r>
    </w:p>
    <w:p>
      <w:pPr>
        <w:spacing w:after="0" w:line="151" w:lineRule="exact"/>
        <w:rPr>
          <w:sz w:val="20"/>
          <w:szCs w:val="20"/>
          <w:color w:val="auto"/>
        </w:rPr>
      </w:pPr>
    </w:p>
    <w:p>
      <w:pPr>
        <w:ind w:right="260" w:firstLine="365"/>
        <w:spacing w:after="0" w:line="250" w:lineRule="auto"/>
        <w:rPr>
          <w:sz w:val="20"/>
          <w:szCs w:val="20"/>
          <w:color w:val="auto"/>
        </w:rPr>
      </w:pPr>
      <w:r>
        <w:rPr>
          <w:rFonts w:ascii="Arial" w:cs="Arial" w:eastAsia="Arial" w:hAnsi="Arial"/>
          <w:sz w:val="14"/>
          <w:szCs w:val="14"/>
          <w:color w:val="auto"/>
        </w:rPr>
        <w:t>Compliance with new or modified laws and regulations could increase the cost of conducting our business, limit the opportunities to increase our revenues, or prevent us from offering products or services. There can be no assurance that our employees, contractors or agents will not violate such laws and regulations. If we are found to have violated laws and regulations, it could materially adversely affect our reputation, financial condition and results of operations.</w:t>
      </w:r>
    </w:p>
    <w:p>
      <w:pPr>
        <w:spacing w:after="0" w:line="146" w:lineRule="exact"/>
        <w:rPr>
          <w:sz w:val="20"/>
          <w:szCs w:val="20"/>
          <w:color w:val="auto"/>
        </w:rPr>
      </w:pPr>
    </w:p>
    <w:p>
      <w:pPr>
        <w:jc w:val="both"/>
        <w:ind w:right="160" w:firstLine="365"/>
        <w:spacing w:after="0" w:line="250" w:lineRule="auto"/>
        <w:rPr>
          <w:sz w:val="20"/>
          <w:szCs w:val="20"/>
          <w:color w:val="auto"/>
        </w:rPr>
      </w:pPr>
      <w:r>
        <w:rPr>
          <w:rFonts w:ascii="Arial" w:cs="Arial" w:eastAsia="Arial" w:hAnsi="Arial"/>
          <w:sz w:val="14"/>
          <w:szCs w:val="14"/>
          <w:color w:val="auto"/>
        </w:rPr>
        <w:t>We also could be harmed by government investigations, litigation, or changes in laws and regulations directed at our customers, business partners, or suppliers in the technology industry that have the effect of limiting our ability to do business with those entities. There can be no assurance that our business will not be materially adversely affected, individually or in the aggregate, by the outcomes of such investigations, litigation or changes to laws and regulations in the future.</w:t>
      </w:r>
    </w:p>
    <w:p>
      <w:pPr>
        <w:spacing w:after="0" w:line="146"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4"/>
          <w:szCs w:val="14"/>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40" w:lineRule="exact"/>
        <w:rPr>
          <w:sz w:val="20"/>
          <w:szCs w:val="20"/>
          <w:color w:val="auto"/>
        </w:rPr>
      </w:pPr>
    </w:p>
    <w:p>
      <w:pPr>
        <w:jc w:val="both"/>
        <w:ind w:firstLine="365"/>
        <w:spacing w:after="0" w:line="302" w:lineRule="auto"/>
        <w:rPr>
          <w:sz w:val="20"/>
          <w:szCs w:val="20"/>
          <w:color w:val="auto"/>
        </w:rPr>
      </w:pPr>
      <w:r>
        <w:rPr>
          <w:rFonts w:ascii="Arial" w:cs="Arial" w:eastAsia="Arial" w:hAnsi="Arial"/>
          <w:sz w:val="12"/>
          <w:szCs w:val="12"/>
          <w:color w:val="auto"/>
        </w:rPr>
        <w:t>From time to time,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w:t>
      </w:r>
    </w:p>
    <w:p>
      <w:pPr>
        <w:spacing w:after="0" w:line="117" w:lineRule="exact"/>
        <w:rPr>
          <w:sz w:val="20"/>
          <w:szCs w:val="20"/>
          <w:color w:val="auto"/>
        </w:rPr>
      </w:pPr>
    </w:p>
    <w:p>
      <w:pPr>
        <w:jc w:val="both"/>
        <w:ind w:firstLine="365"/>
        <w:spacing w:after="0" w:line="246" w:lineRule="auto"/>
        <w:rPr>
          <w:sz w:val="20"/>
          <w:szCs w:val="20"/>
          <w:color w:val="auto"/>
        </w:rPr>
      </w:pPr>
      <w:r>
        <w:rPr>
          <w:rFonts w:ascii="Arial" w:cs="Arial" w:eastAsia="Arial" w:hAnsi="Arial"/>
          <w:sz w:val="14"/>
          <w:szCs w:val="14"/>
          <w:color w:val="auto"/>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149" w:lineRule="exact"/>
        <w:rPr>
          <w:sz w:val="20"/>
          <w:szCs w:val="20"/>
          <w:color w:val="auto"/>
        </w:rPr>
      </w:pPr>
    </w:p>
    <w:p>
      <w:pPr>
        <w:ind w:right="100" w:firstLine="365"/>
        <w:spacing w:after="0" w:line="259" w:lineRule="auto"/>
        <w:rPr>
          <w:sz w:val="20"/>
          <w:szCs w:val="20"/>
          <w:color w:val="auto"/>
        </w:rPr>
      </w:pPr>
      <w:r>
        <w:rPr>
          <w:rFonts w:ascii="Arial" w:cs="Arial" w:eastAsia="Arial" w:hAnsi="Arial"/>
          <w:sz w:val="14"/>
          <w:szCs w:val="14"/>
          <w:b w:val="1"/>
          <w:bCs w:val="1"/>
          <w:i w:val="1"/>
          <w:iCs w:val="1"/>
          <w:color w:val="auto"/>
        </w:rPr>
        <w:t>Our global operations subject us to potential liability under export control, economic trade sanctions, anti-corruption, and other laws and regulations, and such violations could impair our ability to compete in international markets and could subject us to liability for compliance violations.</w:t>
      </w:r>
    </w:p>
    <w:p>
      <w:pPr>
        <w:spacing w:after="0" w:line="140" w:lineRule="exact"/>
        <w:rPr>
          <w:sz w:val="20"/>
          <w:szCs w:val="20"/>
          <w:color w:val="auto"/>
        </w:rPr>
      </w:pPr>
    </w:p>
    <w:p>
      <w:pPr>
        <w:ind w:firstLine="365"/>
        <w:spacing w:after="0" w:line="246" w:lineRule="auto"/>
        <w:rPr>
          <w:sz w:val="20"/>
          <w:szCs w:val="20"/>
          <w:color w:val="auto"/>
        </w:rPr>
      </w:pPr>
      <w:r>
        <w:rPr>
          <w:rFonts w:ascii="Arial" w:cs="Arial" w:eastAsia="Arial" w:hAnsi="Arial"/>
          <w:sz w:val="14"/>
          <w:szCs w:val="14"/>
          <w:color w:val="auto"/>
        </w:rPr>
        <w:t>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Exports of our products and the provision of our services must be made in compliance with these requirements. Although we take precautions to prevent our products from being provided in violation of such laws, we are aware of previous exports of certain of our products to a small number of persons and organizations that are the subject of U.S. sanctions or are located in countries or regions subject to U.S. sanctions. If we fail to comply with these laws and regulations, we and certain of our employees could be subject to substantial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60" w:name="page61"/>
    <w:bookmarkEnd w:id="60"/>
    <w:p>
      <w:pPr>
        <w:ind w:right="40"/>
        <w:spacing w:after="0" w:line="164" w:lineRule="exact"/>
        <w:rPr>
          <w:sz w:val="20"/>
          <w:szCs w:val="20"/>
          <w:color w:val="auto"/>
        </w:rPr>
      </w:pPr>
      <w:r>
        <w:rPr>
          <w:rFonts w:ascii="Arial" w:cs="Arial" w:eastAsia="Arial" w:hAnsi="Arial"/>
          <w:sz w:val="12"/>
          <w:szCs w:val="12"/>
          <w:color w:val="auto"/>
        </w:rPr>
        <w:t>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w:t>
      </w:r>
      <w:r>
        <w:rPr>
          <w:rFonts w:ascii="MS PGothic" w:cs="MS PGothic" w:eastAsia="MS PGothic" w:hAnsi="MS PGothic"/>
          <w:sz w:val="12"/>
          <w:szCs w:val="12"/>
          <w:color w:val="auto"/>
        </w:rPr>
        <w:t>‑</w:t>
      </w:r>
      <w:r>
        <w:rPr>
          <w:rFonts w:ascii="Arial" w:cs="Arial" w:eastAsia="Arial" w:hAnsi="Arial"/>
          <w:sz w:val="12"/>
          <w:szCs w:val="12"/>
          <w:color w:val="auto"/>
        </w:rPr>
        <w:t>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spacing w:after="0" w:line="155" w:lineRule="exact"/>
        <w:rPr>
          <w:sz w:val="20"/>
          <w:szCs w:val="20"/>
          <w:color w:val="auto"/>
        </w:rPr>
      </w:pPr>
    </w:p>
    <w:p>
      <w:pPr>
        <w:ind w:right="60" w:firstLine="365"/>
        <w:spacing w:after="0" w:line="164" w:lineRule="exact"/>
        <w:rPr>
          <w:sz w:val="20"/>
          <w:szCs w:val="20"/>
          <w:color w:val="auto"/>
        </w:rPr>
      </w:pPr>
      <w:r>
        <w:rPr>
          <w:rFonts w:ascii="Arial" w:cs="Arial" w:eastAsia="Arial" w:hAnsi="Arial"/>
          <w:sz w:val="12"/>
          <w:szCs w:val="12"/>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w:t>
      </w:r>
      <w:r>
        <w:rPr>
          <w:rFonts w:ascii="MS PGothic" w:cs="MS PGothic" w:eastAsia="MS PGothic" w:hAnsi="MS PGothic"/>
          <w:sz w:val="12"/>
          <w:szCs w:val="12"/>
          <w:color w:val="auto"/>
        </w:rPr>
        <w:t>‑</w:t>
      </w:r>
      <w:r>
        <w:rPr>
          <w:rFonts w:ascii="Arial" w:cs="Arial" w:eastAsia="Arial" w:hAnsi="Arial"/>
          <w:sz w:val="12"/>
          <w:szCs w:val="12"/>
          <w:color w:val="auto"/>
        </w:rPr>
        <w:t>distributed systems or, in some cases, prevent the export of our products or provision of our services to some countries altogether.</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We are also subject to U.S. and foreign anti-corruption and anti-bribery laws, including the Foreign Corrupt Practices Act, as amended, the UK Bribery Act 2010, and other anti-corruption laws and</w:t>
      </w:r>
    </w:p>
    <w:p>
      <w:pPr>
        <w:spacing w:after="0" w:line="55" w:lineRule="exact"/>
        <w:rPr>
          <w:sz w:val="20"/>
          <w:szCs w:val="20"/>
          <w:color w:val="auto"/>
        </w:rPr>
      </w:pPr>
    </w:p>
    <w:p>
      <w:pPr>
        <w:ind w:right="140"/>
        <w:spacing w:after="0" w:line="302" w:lineRule="auto"/>
        <w:rPr>
          <w:sz w:val="20"/>
          <w:szCs w:val="20"/>
          <w:color w:val="auto"/>
        </w:rPr>
      </w:pPr>
      <w:r>
        <w:rPr>
          <w:rFonts w:ascii="Arial" w:cs="Arial" w:eastAsia="Arial" w:hAnsi="Arial"/>
          <w:sz w:val="12"/>
          <w:szCs w:val="12"/>
          <w:color w:val="auto"/>
        </w:rPr>
        <w:t>regulations in the countries in which we conduct activities. Anti-corruption laws are interpreted broadly and generally prohibit corrupt payments by our employees and third parties acting on our behalf from directly or indirectly authorizing, offering, or providing, improper payments or things of value to recipients in the public or private sector, and also require that we maintain accurate books and records and adequate internal controls. Our employees or third parties acting on our behalf may fail to comply with our policies, resulting in violations of applicable anti-corruption laws and regulations. Such violations could result in significant fines and penalties, criminal liability for us, our individual officers or employees, prohibitions on our ability to conduct business, and potential reputational damage.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reliance on SaaS technologies from third parties may adversely affect our business, results of operations and financial condition.</w:t>
      </w:r>
    </w:p>
    <w:p>
      <w:pPr>
        <w:spacing w:after="0" w:line="164" w:lineRule="exact"/>
        <w:rPr>
          <w:sz w:val="20"/>
          <w:szCs w:val="20"/>
          <w:color w:val="auto"/>
        </w:rPr>
      </w:pPr>
    </w:p>
    <w:p>
      <w:pPr>
        <w:ind w:right="180" w:firstLine="365"/>
        <w:spacing w:after="0" w:line="302" w:lineRule="auto"/>
        <w:rPr>
          <w:sz w:val="20"/>
          <w:szCs w:val="20"/>
          <w:color w:val="auto"/>
        </w:rPr>
      </w:pPr>
      <w:r>
        <w:rPr>
          <w:rFonts w:ascii="Arial" w:cs="Arial" w:eastAsia="Arial" w:hAnsi="Arial"/>
          <w:sz w:val="12"/>
          <w:szCs w:val="12"/>
          <w:color w:val="auto"/>
        </w:rPr>
        <w:t>We rely on hosted SaaS technologies from third parties in order to operate critical internal functions of our business, including enterprise resource planning, customer support and customer relations management services. If these services become unavailable due to extended outages or interruptions, or because they are no longer available on commercially reasonable terms or prices, our expenses could increase.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results of operations and financial condition.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have additional tax liabilities, which could harm our business, results of operations and financial condition.</w:t>
      </w:r>
    </w:p>
    <w:p>
      <w:pPr>
        <w:spacing w:after="0" w:line="174" w:lineRule="exact"/>
        <w:rPr>
          <w:sz w:val="20"/>
          <w:szCs w:val="20"/>
          <w:color w:val="auto"/>
        </w:rPr>
      </w:pPr>
    </w:p>
    <w:p>
      <w:pPr>
        <w:ind w:firstLine="365"/>
        <w:spacing w:after="0" w:line="148" w:lineRule="exact"/>
        <w:rPr>
          <w:sz w:val="20"/>
          <w:szCs w:val="20"/>
          <w:color w:val="auto"/>
        </w:rPr>
      </w:pPr>
      <w:r>
        <w:rPr>
          <w:rFonts w:ascii="Arial" w:cs="Arial" w:eastAsia="Arial" w:hAnsi="Arial"/>
          <w:sz w:val="14"/>
          <w:szCs w:val="14"/>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w:t>
      </w:r>
      <w:r>
        <w:rPr>
          <w:rFonts w:ascii="MS PGothic" w:cs="MS PGothic" w:eastAsia="MS PGothic" w:hAnsi="MS PGothic"/>
          <w:sz w:val="14"/>
          <w:szCs w:val="14"/>
          <w:color w:val="auto"/>
        </w:rPr>
        <w:t>‑</w:t>
      </w:r>
      <w:r>
        <w:rPr>
          <w:rFonts w:ascii="Arial" w:cs="Arial" w:eastAsia="Arial" w:hAnsi="Arial"/>
          <w:sz w:val="14"/>
          <w:szCs w:val="14"/>
          <w:color w:val="auto"/>
        </w:rPr>
        <w:t>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w:t>
      </w:r>
    </w:p>
    <w:p>
      <w:pPr>
        <w:spacing w:after="0" w:line="145" w:lineRule="exact"/>
        <w:rPr>
          <w:sz w:val="20"/>
          <w:szCs w:val="20"/>
          <w:color w:val="auto"/>
        </w:rPr>
      </w:pPr>
    </w:p>
    <w:p>
      <w:pPr>
        <w:ind w:right="980" w:firstLine="365"/>
        <w:spacing w:after="0" w:line="168" w:lineRule="exact"/>
        <w:rPr>
          <w:sz w:val="20"/>
          <w:szCs w:val="20"/>
          <w:color w:val="auto"/>
        </w:rPr>
      </w:pPr>
      <w:r>
        <w:rPr>
          <w:rFonts w:ascii="Arial" w:cs="Arial" w:eastAsia="Arial" w:hAnsi="Arial"/>
          <w:sz w:val="12"/>
          <w:szCs w:val="12"/>
          <w:color w:val="auto"/>
        </w:rPr>
        <w:t>We conduct operations in many tax jurisdictions throughout the United States and internationally. In many of these jurisdictions, non</w:t>
      </w:r>
      <w:r>
        <w:rPr>
          <w:rFonts w:ascii="MS PGothic" w:cs="MS PGothic" w:eastAsia="MS PGothic" w:hAnsi="MS PGothic"/>
          <w:sz w:val="12"/>
          <w:szCs w:val="12"/>
          <w:color w:val="auto"/>
        </w:rPr>
        <w:t>‑</w:t>
      </w:r>
      <w:r>
        <w:rPr>
          <w:rFonts w:ascii="Arial" w:cs="Arial" w:eastAsia="Arial" w:hAnsi="Arial"/>
          <w:sz w:val="12"/>
          <w:szCs w:val="12"/>
          <w:color w:val="auto"/>
        </w:rPr>
        <w:t>income</w:t>
      </w:r>
      <w:r>
        <w:rPr>
          <w:rFonts w:ascii="MS PGothic" w:cs="MS PGothic" w:eastAsia="MS PGothic" w:hAnsi="MS PGothic"/>
          <w:sz w:val="12"/>
          <w:szCs w:val="12"/>
          <w:color w:val="auto"/>
        </w:rPr>
        <w:t>‑</w:t>
      </w:r>
      <w:r>
        <w:rPr>
          <w:rFonts w:ascii="Arial" w:cs="Arial" w:eastAsia="Arial" w:hAnsi="Arial"/>
          <w:sz w:val="12"/>
          <w:szCs w:val="12"/>
          <w:color w:val="auto"/>
        </w:rPr>
        <w:t>based taxes, such as sales, VAT, GST, and telecommunications taxes, are assessed on our operations or our sales to customers. We are subject to indirect taxes, and may be subject to certain other taxes, in some of these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61" w:name="page62"/>
    <w:bookmarkEnd w:id="61"/>
    <w:p>
      <w:pPr>
        <w:ind w:right="220"/>
        <w:spacing w:after="0" w:line="168" w:lineRule="exact"/>
        <w:rPr>
          <w:sz w:val="20"/>
          <w:szCs w:val="20"/>
          <w:color w:val="auto"/>
        </w:rPr>
      </w:pPr>
      <w:r>
        <w:rPr>
          <w:rFonts w:ascii="Arial" w:cs="Arial" w:eastAsia="Arial" w:hAnsi="Arial"/>
          <w:sz w:val="14"/>
          <w:szCs w:val="14"/>
          <w:color w:val="auto"/>
        </w:rPr>
        <w:t>jurisdictions. We collect certain telecommunications</w:t>
      </w:r>
      <w:r>
        <w:rPr>
          <w:rFonts w:ascii="MS PGothic" w:cs="MS PGothic" w:eastAsia="MS PGothic" w:hAnsi="MS PGothic"/>
          <w:sz w:val="14"/>
          <w:szCs w:val="14"/>
          <w:color w:val="auto"/>
        </w:rPr>
        <w:t>‑</w:t>
      </w:r>
      <w:r>
        <w:rPr>
          <w:rFonts w:ascii="Arial" w:cs="Arial" w:eastAsia="Arial" w:hAnsi="Arial"/>
          <w:sz w:val="14"/>
          <w:szCs w:val="14"/>
          <w:color w:val="auto"/>
        </w:rPr>
        <w:t>based taxes from our customers in certain jurisdictions, and we expect to continue expanding the number of jurisdictions in which we will collect these taxes in the future.</w:t>
      </w:r>
    </w:p>
    <w:p>
      <w:pPr>
        <w:spacing w:after="0" w:line="153" w:lineRule="exact"/>
        <w:rPr>
          <w:sz w:val="20"/>
          <w:szCs w:val="20"/>
          <w:color w:val="auto"/>
        </w:rPr>
      </w:pPr>
    </w:p>
    <w:p>
      <w:pPr>
        <w:ind w:right="40" w:firstLine="365"/>
        <w:spacing w:after="0" w:line="312" w:lineRule="auto"/>
        <w:rPr>
          <w:sz w:val="20"/>
          <w:szCs w:val="20"/>
          <w:color w:val="auto"/>
        </w:rPr>
      </w:pPr>
      <w:r>
        <w:rPr>
          <w:rFonts w:ascii="Arial" w:cs="Arial" w:eastAsia="Arial" w:hAnsi="Arial"/>
          <w:sz w:val="12"/>
          <w:szCs w:val="12"/>
          <w:color w:val="auto"/>
        </w:rPr>
        <w:t>Many states are also pursuing legislative expansion of the scope of goods and services that are subject to sales and similar taxes as well as the circumstances in which a vendor of goods and services must collect such taxes. Following the U.S.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111" w:lineRule="exact"/>
        <w:rPr>
          <w:sz w:val="20"/>
          <w:szCs w:val="20"/>
          <w:color w:val="auto"/>
        </w:rPr>
      </w:pPr>
    </w:p>
    <w:p>
      <w:pPr>
        <w:ind w:right="20" w:firstLine="365"/>
        <w:spacing w:after="0" w:line="292" w:lineRule="auto"/>
        <w:rPr>
          <w:sz w:val="20"/>
          <w:szCs w:val="20"/>
          <w:color w:val="auto"/>
        </w:rPr>
      </w:pPr>
      <w:r>
        <w:rPr>
          <w:rFonts w:ascii="Arial" w:cs="Arial" w:eastAsia="Arial" w:hAnsi="Arial"/>
          <w:sz w:val="12"/>
          <w:szCs w:val="12"/>
          <w:color w:val="auto"/>
        </w:rPr>
        <w:t>Historically, we have not billed or collected taxes in certain jurisdictions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We reserved $27.8 million and $19.7 million for domestic jurisdictions and jurisdictions outside of the U.S., respectively, on our June 30, 2022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124" w:lineRule="exact"/>
        <w:rPr>
          <w:sz w:val="20"/>
          <w:szCs w:val="20"/>
          <w:color w:val="auto"/>
        </w:rPr>
      </w:pPr>
    </w:p>
    <w:p>
      <w:pPr>
        <w:ind w:right="20" w:firstLine="365"/>
        <w:spacing w:after="0" w:line="297" w:lineRule="auto"/>
        <w:rPr>
          <w:sz w:val="20"/>
          <w:szCs w:val="20"/>
          <w:color w:val="auto"/>
        </w:rPr>
      </w:pPr>
      <w:r>
        <w:rPr>
          <w:rFonts w:ascii="Arial" w:cs="Arial" w:eastAsia="Arial" w:hAnsi="Arial"/>
          <w:sz w:val="12"/>
          <w:szCs w:val="12"/>
          <w:color w:val="auto"/>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For example, San Francisco City and County has assessed us for $38.8 million in taxes, including interest and penalties, which exceeded the $11.5 million we had accrued for that assessment. We have paid the full amount, as required by law, and the payment made in excess of the accrued amount is reflected as a deposit on our balance sheet. We believe, however, that this assessment is incorrect and, after failing to reach a settlement, filed a lawsuit on May 27, 2021 contesting the assessment. However, litigation is uncertain and a ruling against us may adversely affect our financial position and results of operations.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global operations and structure subject us to potentially adverse tax consequences.</w:t>
      </w:r>
    </w:p>
    <w:p>
      <w:pPr>
        <w:spacing w:after="0" w:line="164" w:lineRule="exact"/>
        <w:rPr>
          <w:sz w:val="20"/>
          <w:szCs w:val="20"/>
          <w:color w:val="auto"/>
        </w:rPr>
      </w:pPr>
    </w:p>
    <w:p>
      <w:pPr>
        <w:ind w:right="20" w:firstLine="365"/>
        <w:spacing w:after="0" w:line="164" w:lineRule="exact"/>
        <w:rPr>
          <w:sz w:val="20"/>
          <w:szCs w:val="20"/>
          <w:color w:val="auto"/>
        </w:rPr>
      </w:pPr>
      <w:r>
        <w:rPr>
          <w:rFonts w:ascii="Arial" w:cs="Arial" w:eastAsia="Arial" w:hAnsi="Arial"/>
          <w:sz w:val="12"/>
          <w:szCs w:val="12"/>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w:t>
      </w:r>
      <w:r>
        <w:rPr>
          <w:rFonts w:ascii="MS PGothic" w:cs="MS PGothic" w:eastAsia="MS PGothic" w:hAnsi="MS PGothic"/>
          <w:sz w:val="12"/>
          <w:szCs w:val="12"/>
          <w:color w:val="auto"/>
        </w:rPr>
        <w:t>‑</w:t>
      </w:r>
      <w:r>
        <w:rPr>
          <w:rFonts w:ascii="Arial" w:cs="Arial" w:eastAsia="Arial" w:hAnsi="Arial"/>
          <w:sz w:val="12"/>
          <w:szCs w:val="12"/>
          <w:color w:val="auto"/>
        </w:rPr>
        <w:t>time tax charges, higher effective tax rates, reduced cash flows and lower overall profitability of our operations.</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Changes in global and U.S. tax legislation may adversely affect our financial condition, results of operations, and cash flows.</w:t>
      </w:r>
    </w:p>
    <w:p>
      <w:pPr>
        <w:spacing w:after="0" w:line="164" w:lineRule="exact"/>
        <w:rPr>
          <w:sz w:val="20"/>
          <w:szCs w:val="20"/>
          <w:color w:val="auto"/>
        </w:rPr>
      </w:pPr>
    </w:p>
    <w:p>
      <w:pPr>
        <w:ind w:firstLine="365"/>
        <w:spacing w:after="0" w:line="244" w:lineRule="auto"/>
        <w:rPr>
          <w:sz w:val="20"/>
          <w:szCs w:val="20"/>
          <w:color w:val="auto"/>
        </w:rPr>
      </w:pPr>
      <w:r>
        <w:rPr>
          <w:rFonts w:ascii="Arial" w:cs="Arial" w:eastAsia="Arial" w:hAnsi="Arial"/>
          <w:sz w:val="14"/>
          <w:szCs w:val="14"/>
          <w:color w:val="auto"/>
        </w:rPr>
        <w:t>We are unable to predict what global or U.S. tax reforms may be proposed or enacted in the future or what effects such future changes would have on our business. Any such changes in tax legislation, regulations, policies or practices in the jurisdictions in which we operate could increase the estimated tax liability that we have expensed to date and paid or accrued on our balance sheet; affect our financial position, future results of operations, cash flows, and effective tax rates where we have operations; reduce post-tax returns to our stockholders; and increase the complexity, burden, and cost of tax compliance. We are subject to potential changes in relevant tax, accounting, and other laws, regulations, and interpretations, including changes to tax laws applicable to corporate multinationals. For example, in the United States, Congress and the Biden administration have recently proposed legislation (which has not yet been enacted) to make various tax law changes, including to increase U.S. taxation of international business operations and impose a global minimum tax. While it is too early to predict the outcome of these proposals and they are subject to change, if enacted, they could have a material effect on our income tax liability.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62" w:name="page63"/>
    <w:bookmarkEnd w:id="62"/>
    <w:p>
      <w:pPr>
        <w:ind w:right="20" w:firstLine="365"/>
        <w:spacing w:after="0" w:line="164" w:lineRule="exact"/>
        <w:rPr>
          <w:sz w:val="20"/>
          <w:szCs w:val="20"/>
          <w:color w:val="auto"/>
        </w:rPr>
      </w:pPr>
      <w:r>
        <w:rPr>
          <w:rFonts w:ascii="Arial" w:cs="Arial" w:eastAsia="Arial" w:hAnsi="Arial"/>
          <w:sz w:val="12"/>
          <w:szCs w:val="12"/>
          <w:color w:val="auto"/>
        </w:rPr>
        <w:t>Certain government agencies in jurisdictions where we and our affiliates do business have had an extended focus on issues related to the taxation of multinational companies. In addition, the Organisation for Economic Co</w:t>
      </w:r>
      <w:r>
        <w:rPr>
          <w:rFonts w:ascii="MS PGothic" w:cs="MS PGothic" w:eastAsia="MS PGothic" w:hAnsi="MS PGothic"/>
          <w:sz w:val="12"/>
          <w:szCs w:val="12"/>
          <w:color w:val="auto"/>
        </w:rPr>
        <w:t>‑</w:t>
      </w:r>
      <w:r>
        <w:rPr>
          <w:rFonts w:ascii="Arial" w:cs="Arial" w:eastAsia="Arial" w:hAnsi="Arial"/>
          <w:sz w:val="12"/>
          <w:szCs w:val="12"/>
          <w:color w:val="auto"/>
        </w:rPr>
        <w:t>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by members of the Inclusive Framework delineating an implementation plan, and on December 20, 2021, the OECD released model rules for the domestic implementation of a 15% global minimum tax. Further, several countries have proposed or enacted taxes applicable to digital services, which could apply to our business.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w:t>
      </w:r>
    </w:p>
    <w:p>
      <w:pPr>
        <w:spacing w:after="0" w:line="156" w:lineRule="exact"/>
        <w:rPr>
          <w:sz w:val="20"/>
          <w:szCs w:val="20"/>
          <w:color w:val="auto"/>
        </w:rPr>
      </w:pPr>
    </w:p>
    <w:p>
      <w:pPr>
        <w:ind w:right="60" w:firstLine="365"/>
        <w:spacing w:after="0" w:line="302" w:lineRule="auto"/>
        <w:rPr>
          <w:sz w:val="20"/>
          <w:szCs w:val="20"/>
          <w:color w:val="auto"/>
        </w:rPr>
      </w:pPr>
      <w:r>
        <w:rPr>
          <w:rFonts w:ascii="Arial" w:cs="Arial" w:eastAsia="Arial" w:hAnsi="Arial"/>
          <w:sz w:val="12"/>
          <w:szCs w:val="12"/>
          <w:color w:val="auto"/>
        </w:rPr>
        <w:t>The governments of countries in which we operate and other governmental bodies could make unprecedented assertions about how taxation is determined in their jurisdictions that are contrary to the way in which we have interpreted and historically applied the rules and regulations in our tax returns filed in such jurisdictions. New laws could significantly increase our tax obligations in the countries in which we do business or require us to change the way we operate our business. As a result of the large and expanding scale of our international business activities, many of these changes to the taxation of our activities could increase our worldwide effective tax rate and harm our financial position, results of operations, and cash flows.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we experience fraudulent activity relating to our products, we could incur substantial costs.</w:t>
      </w:r>
    </w:p>
    <w:p>
      <w:pPr>
        <w:spacing w:after="0" w:line="164" w:lineRule="exact"/>
        <w:rPr>
          <w:sz w:val="20"/>
          <w:szCs w:val="20"/>
          <w:color w:val="auto"/>
        </w:rPr>
      </w:pPr>
    </w:p>
    <w:p>
      <w:pPr>
        <w:ind w:right="80" w:firstLine="365"/>
        <w:spacing w:after="0" w:line="297" w:lineRule="auto"/>
        <w:rPr>
          <w:sz w:val="20"/>
          <w:szCs w:val="20"/>
          <w:color w:val="auto"/>
        </w:rPr>
      </w:pPr>
      <w:r>
        <w:rPr>
          <w:rFonts w:ascii="Arial" w:cs="Arial" w:eastAsia="Arial" w:hAnsi="Arial"/>
          <w:sz w:val="12"/>
          <w:szCs w:val="12"/>
          <w:color w:val="auto"/>
        </w:rPr>
        <w:t>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require additional capital to support our business, and this capital might not be available on acceptable terms, if at all.</w:t>
      </w:r>
    </w:p>
    <w:p>
      <w:pPr>
        <w:spacing w:after="0" w:line="164" w:lineRule="exact"/>
        <w:rPr>
          <w:sz w:val="20"/>
          <w:szCs w:val="20"/>
          <w:color w:val="auto"/>
        </w:rPr>
      </w:pPr>
    </w:p>
    <w:p>
      <w:pPr>
        <w:ind w:firstLine="365"/>
        <w:spacing w:after="0" w:line="289" w:lineRule="auto"/>
        <w:rPr>
          <w:sz w:val="20"/>
          <w:szCs w:val="20"/>
          <w:color w:val="auto"/>
        </w:rPr>
      </w:pPr>
      <w:r>
        <w:rPr>
          <w:rFonts w:ascii="Arial" w:cs="Arial" w:eastAsia="Arial" w:hAnsi="Arial"/>
          <w:sz w:val="12"/>
          <w:szCs w:val="12"/>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63" w:name="page64"/>
    <w:bookmarkEnd w:id="63"/>
    <w:p>
      <w:pPr>
        <w:ind w:left="360"/>
        <w:spacing w:after="0"/>
        <w:rPr>
          <w:sz w:val="20"/>
          <w:szCs w:val="20"/>
          <w:color w:val="auto"/>
        </w:rPr>
      </w:pPr>
      <w:r>
        <w:rPr>
          <w:rFonts w:ascii="Arial" w:cs="Arial" w:eastAsia="Arial" w:hAnsi="Arial"/>
          <w:sz w:val="12"/>
          <w:szCs w:val="12"/>
          <w:b w:val="1"/>
          <w:bCs w:val="1"/>
          <w:i w:val="1"/>
          <w:iCs w:val="1"/>
          <w:color w:val="auto"/>
        </w:rPr>
        <w:t>We face exposure to foreign currency exchange rate fluctuations, and such fluctuations could adversely affect our business, results of operations and financial condition.</w:t>
      </w:r>
    </w:p>
    <w:p>
      <w:pPr>
        <w:spacing w:after="0" w:line="187" w:lineRule="exact"/>
        <w:rPr>
          <w:sz w:val="20"/>
          <w:szCs w:val="20"/>
          <w:color w:val="auto"/>
        </w:rPr>
      </w:pPr>
    </w:p>
    <w:p>
      <w:pPr>
        <w:ind w:right="140" w:firstLine="365"/>
        <w:spacing w:after="0" w:line="164" w:lineRule="exact"/>
        <w:rPr>
          <w:sz w:val="20"/>
          <w:szCs w:val="20"/>
          <w:color w:val="auto"/>
        </w:rPr>
      </w:pPr>
      <w:r>
        <w:rPr>
          <w:rFonts w:ascii="Arial" w:cs="Arial" w:eastAsia="Arial" w:hAnsi="Arial"/>
          <w:sz w:val="12"/>
          <w:szCs w:val="12"/>
          <w:color w:val="auto"/>
        </w:rPr>
        <w:t>As our international operations expand, our exposure to the effects of fluctuations in currency exchange rates grows. For example, global geopolitical events, such as the war in Ukraine, economic events, public health epidemics and pandemics such as the COVID-19 pandemic, trade tariff developments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significantly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w:t>
      </w:r>
      <w:r>
        <w:rPr>
          <w:rFonts w:ascii="MS PGothic" w:cs="MS PGothic" w:eastAsia="MS PGothic" w:hAnsi="MS PGothic"/>
          <w:sz w:val="12"/>
          <w:szCs w:val="12"/>
          <w:color w:val="auto"/>
        </w:rPr>
        <w:t>‑</w:t>
      </w:r>
      <w:r>
        <w:rPr>
          <w:rFonts w:ascii="Arial" w:cs="Arial" w:eastAsia="Arial" w:hAnsi="Arial"/>
          <w:sz w:val="12"/>
          <w:szCs w:val="12"/>
          <w:color w:val="auto"/>
        </w:rPr>
        <w:t>U.S. locations in the respective local currency. Fluctuations in the exchange rates between the U.S. dollar and other currencies could result in an increase to the U.S. dollar equivalent of such expenses.</w:t>
      </w:r>
    </w:p>
    <w:p>
      <w:pPr>
        <w:spacing w:after="0" w:line="153" w:lineRule="exact"/>
        <w:rPr>
          <w:sz w:val="20"/>
          <w:szCs w:val="20"/>
          <w:color w:val="auto"/>
        </w:rPr>
      </w:pPr>
    </w:p>
    <w:p>
      <w:pPr>
        <w:ind w:right="20" w:firstLine="365"/>
        <w:spacing w:after="0" w:line="297" w:lineRule="auto"/>
        <w:rPr>
          <w:sz w:val="20"/>
          <w:szCs w:val="20"/>
          <w:color w:val="auto"/>
        </w:rPr>
      </w:pPr>
      <w:r>
        <w:rPr>
          <w:rFonts w:ascii="Arial" w:cs="Arial" w:eastAsia="Arial" w:hAnsi="Arial"/>
          <w:sz w:val="12"/>
          <w:szCs w:val="12"/>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spacing w:after="0" w:line="120" w:lineRule="exact"/>
        <w:rPr>
          <w:sz w:val="20"/>
          <w:szCs w:val="20"/>
          <w:color w:val="auto"/>
        </w:rPr>
      </w:pPr>
    </w:p>
    <w:p>
      <w:pPr>
        <w:ind w:firstLine="365"/>
        <w:spacing w:after="0" w:line="247" w:lineRule="auto"/>
        <w:rPr>
          <w:sz w:val="20"/>
          <w:szCs w:val="20"/>
          <w:color w:val="auto"/>
        </w:rPr>
      </w:pPr>
      <w:r>
        <w:rPr>
          <w:rFonts w:ascii="Arial" w:cs="Arial" w:eastAsia="Arial" w:hAnsi="Arial"/>
          <w:sz w:val="14"/>
          <w:szCs w:val="14"/>
          <w:color w:val="auto"/>
        </w:rPr>
        <w:t>We recently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ability to use our net operating losses and certain other tax attributes to offset future taxable income and taxes may be subject to certain limitations.</w:t>
      </w:r>
    </w:p>
    <w:p>
      <w:pPr>
        <w:spacing w:after="0" w:line="164" w:lineRule="exact"/>
        <w:rPr>
          <w:sz w:val="20"/>
          <w:szCs w:val="20"/>
          <w:color w:val="auto"/>
        </w:rPr>
      </w:pPr>
    </w:p>
    <w:p>
      <w:pPr>
        <w:ind w:right="100" w:firstLine="365"/>
        <w:spacing w:after="0" w:line="250" w:lineRule="auto"/>
        <w:rPr>
          <w:sz w:val="20"/>
          <w:szCs w:val="20"/>
          <w:color w:val="auto"/>
        </w:rPr>
      </w:pPr>
      <w:r>
        <w:rPr>
          <w:rFonts w:ascii="Arial" w:cs="Arial" w:eastAsia="Arial" w:hAnsi="Arial"/>
          <w:sz w:val="14"/>
          <w:szCs w:val="14"/>
          <w:color w:val="auto"/>
        </w:rPr>
        <w:t>As of December 31, 2021, we had U.S. federal, state and foreign net operating loss carryforwards (“NOLs”), of $4.2 billion, $2.7 billion and $268.7 million,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w:t>
      </w:r>
    </w:p>
    <w:p>
      <w:pPr>
        <w:spacing w:after="0" w:line="146" w:lineRule="exact"/>
        <w:rPr>
          <w:sz w:val="20"/>
          <w:szCs w:val="20"/>
          <w:color w:val="auto"/>
        </w:rPr>
      </w:pPr>
    </w:p>
    <w:p>
      <w:pPr>
        <w:jc w:val="both"/>
        <w:ind w:right="300" w:firstLine="365"/>
        <w:spacing w:after="0" w:line="250" w:lineRule="auto"/>
        <w:rPr>
          <w:sz w:val="20"/>
          <w:szCs w:val="20"/>
          <w:color w:val="auto"/>
        </w:rPr>
      </w:pPr>
      <w:r>
        <w:rPr>
          <w:rFonts w:ascii="Arial" w:cs="Arial" w:eastAsia="Arial" w:hAnsi="Arial"/>
          <w:sz w:val="14"/>
          <w:szCs w:val="14"/>
          <w:color w:val="auto"/>
        </w:rPr>
        <w:t>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spacing w:after="0" w:line="146" w:lineRule="exact"/>
        <w:rPr>
          <w:sz w:val="20"/>
          <w:szCs w:val="20"/>
          <w:color w:val="auto"/>
        </w:rPr>
      </w:pPr>
    </w:p>
    <w:p>
      <w:pPr>
        <w:ind w:right="40" w:firstLine="365"/>
        <w:spacing w:after="0" w:line="164" w:lineRule="exact"/>
        <w:rPr>
          <w:sz w:val="20"/>
          <w:szCs w:val="20"/>
          <w:color w:val="auto"/>
        </w:rPr>
      </w:pPr>
      <w:r>
        <w:rPr>
          <w:rFonts w:ascii="Arial" w:cs="Arial" w:eastAsia="Arial" w:hAnsi="Arial"/>
          <w:sz w:val="12"/>
          <w:szCs w:val="12"/>
          <w:color w:val="auto"/>
        </w:rPr>
        <w:t>Under Sections 382 and 383 of the Internal Revenue Code of 1986, as amended (the “Code”), and corresponding provisions of state law, a corporation that undergoes an “ownership change” (generally defined as a greater than 50</w:t>
      </w:r>
      <w:r>
        <w:rPr>
          <w:rFonts w:ascii="MS PGothic" w:cs="MS PGothic" w:eastAsia="MS PGothic" w:hAnsi="MS PGothic"/>
          <w:sz w:val="12"/>
          <w:szCs w:val="12"/>
          <w:color w:val="auto"/>
        </w:rPr>
        <w:t>‑</w:t>
      </w:r>
      <w:r>
        <w:rPr>
          <w:rFonts w:ascii="Arial" w:cs="Arial" w:eastAsia="Arial" w:hAnsi="Arial"/>
          <w:sz w:val="12"/>
          <w:szCs w:val="12"/>
          <w:color w:val="auto"/>
        </w:rPr>
        <w:t>percentage</w:t>
      </w:r>
      <w:r>
        <w:rPr>
          <w:rFonts w:ascii="MS PGothic" w:cs="MS PGothic" w:eastAsia="MS PGothic" w:hAnsi="MS PGothic"/>
          <w:sz w:val="12"/>
          <w:szCs w:val="12"/>
          <w:color w:val="auto"/>
        </w:rPr>
        <w:t>‑</w:t>
      </w:r>
      <w:r>
        <w:rPr>
          <w:rFonts w:ascii="Arial" w:cs="Arial" w:eastAsia="Arial" w:hAnsi="Arial"/>
          <w:sz w:val="12"/>
          <w:szCs w:val="12"/>
          <w:color w:val="auto"/>
        </w:rPr>
        <w:t>point cumulative change (by value) in the equity ownership of certain stockholders over a rolling three</w:t>
      </w:r>
      <w:r>
        <w:rPr>
          <w:rFonts w:ascii="MS PGothic" w:cs="MS PGothic" w:eastAsia="MS PGothic" w:hAnsi="MS PGothic"/>
          <w:sz w:val="12"/>
          <w:szCs w:val="12"/>
          <w:color w:val="auto"/>
        </w:rPr>
        <w:t>‑</w:t>
      </w:r>
      <w:r>
        <w:rPr>
          <w:rFonts w:ascii="Arial" w:cs="Arial" w:eastAsia="Arial" w:hAnsi="Arial"/>
          <w:sz w:val="12"/>
          <w:szCs w:val="12"/>
          <w:color w:val="auto"/>
        </w:rPr>
        <w:t>year period) is subject to limitations on its ability to utilize its pre</w:t>
      </w:r>
      <w:r>
        <w:rPr>
          <w:rFonts w:ascii="MS PGothic" w:cs="MS PGothic" w:eastAsia="MS PGothic" w:hAnsi="MS PGothic"/>
          <w:sz w:val="12"/>
          <w:szCs w:val="12"/>
          <w:color w:val="auto"/>
        </w:rPr>
        <w:t>‑</w:t>
      </w:r>
      <w:r>
        <w:rPr>
          <w:rFonts w:ascii="Arial" w:cs="Arial" w:eastAsia="Arial" w:hAnsi="Arial"/>
          <w:sz w:val="12"/>
          <w:szCs w:val="12"/>
          <w:color w:val="auto"/>
        </w:rPr>
        <w:t>change NOLs and other pre-change tax attributes to offset post</w:t>
      </w:r>
      <w:r>
        <w:rPr>
          <w:rFonts w:ascii="MS PGothic" w:cs="MS PGothic" w:eastAsia="MS PGothic" w:hAnsi="MS PGothic"/>
          <w:sz w:val="12"/>
          <w:szCs w:val="12"/>
          <w:color w:val="auto"/>
        </w:rPr>
        <w:t>‑</w:t>
      </w:r>
      <w:r>
        <w:rPr>
          <w:rFonts w:ascii="Arial" w:cs="Arial" w:eastAsia="Arial" w:hAnsi="Arial"/>
          <w:sz w:val="12"/>
          <w:szCs w:val="12"/>
          <w:color w:val="auto"/>
        </w:rPr>
        <w: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870" w:right="339" w:bottom="1440" w:gutter="0" w:footer="0" w:header="0"/>
        </w:sectPr>
      </w:pPr>
    </w:p>
    <w:bookmarkStart w:id="64" w:name="page65"/>
    <w:bookmarkEnd w:id="64"/>
    <w:p>
      <w:pPr>
        <w:ind w:left="360"/>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p>
    <w:p>
      <w:pPr>
        <w:spacing w:after="0" w:line="164" w:lineRule="exact"/>
        <w:rPr>
          <w:sz w:val="20"/>
          <w:szCs w:val="20"/>
          <w:color w:val="auto"/>
        </w:rPr>
      </w:pPr>
    </w:p>
    <w:p>
      <w:pPr>
        <w:ind w:firstLine="365"/>
        <w:spacing w:after="0" w:line="294"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Changes in financial accounting standards or practices may cause adverse, unexpected financial reporting fluctuations and affect our results of operations.</w:t>
      </w:r>
    </w:p>
    <w:p>
      <w:pPr>
        <w:spacing w:after="0" w:line="164" w:lineRule="exact"/>
        <w:rPr>
          <w:sz w:val="20"/>
          <w:szCs w:val="20"/>
          <w:color w:val="auto"/>
        </w:rPr>
      </w:pPr>
    </w:p>
    <w:p>
      <w:pPr>
        <w:ind w:right="60" w:firstLine="365"/>
        <w:spacing w:after="0" w:line="250" w:lineRule="auto"/>
        <w:rPr>
          <w:sz w:val="20"/>
          <w:szCs w:val="20"/>
          <w:color w:val="auto"/>
        </w:rPr>
      </w:pPr>
      <w:r>
        <w:rPr>
          <w:rFonts w:ascii="Arial" w:cs="Arial" w:eastAsia="Arial" w:hAnsi="Arial"/>
          <w:sz w:val="14"/>
          <w:szCs w:val="14"/>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46" w:lineRule="exact"/>
        <w:rPr>
          <w:sz w:val="20"/>
          <w:szCs w:val="20"/>
          <w:color w:val="auto"/>
        </w:rPr>
      </w:pPr>
    </w:p>
    <w:p>
      <w:pPr>
        <w:ind w:right="60" w:firstLine="365"/>
        <w:spacing w:after="0" w:line="247" w:lineRule="auto"/>
        <w:rPr>
          <w:sz w:val="20"/>
          <w:szCs w:val="20"/>
          <w:color w:val="auto"/>
        </w:rPr>
      </w:pPr>
      <w:r>
        <w:rPr>
          <w:rFonts w:ascii="Arial" w:cs="Arial" w:eastAsia="Arial" w:hAnsi="Arial"/>
          <w:sz w:val="14"/>
          <w:szCs w:val="14"/>
          <w:color w:val="auto"/>
        </w:rPr>
        <w:t xml:space="preserve">For example, Accounting Standards Codification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that became effective January 1, 2019, had a material impact on our consolidated financial statements as described in detail in Note 2 to the consolidated financial statements included in our Annual Report on Form 10-K for the year ended December 31, 2020, filed with the SEC on February 26, 2021.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149" w:lineRule="exact"/>
        <w:rPr>
          <w:sz w:val="20"/>
          <w:szCs w:val="20"/>
          <w:color w:val="auto"/>
        </w:rPr>
      </w:pPr>
    </w:p>
    <w:p>
      <w:pPr>
        <w:ind w:right="480" w:firstLine="365"/>
        <w:spacing w:after="0" w:line="259" w:lineRule="auto"/>
        <w:rPr>
          <w:sz w:val="20"/>
          <w:szCs w:val="20"/>
          <w:color w:val="auto"/>
        </w:rPr>
      </w:pPr>
      <w:r>
        <w:rPr>
          <w:rFonts w:ascii="Arial" w:cs="Arial" w:eastAsia="Arial" w:hAnsi="Arial"/>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40" w:lineRule="exact"/>
        <w:rPr>
          <w:sz w:val="20"/>
          <w:szCs w:val="20"/>
          <w:color w:val="auto"/>
        </w:rPr>
      </w:pPr>
    </w:p>
    <w:p>
      <w:pPr>
        <w:ind w:firstLine="365"/>
        <w:spacing w:after="0" w:line="165" w:lineRule="exact"/>
        <w:rPr>
          <w:sz w:val="20"/>
          <w:szCs w:val="20"/>
          <w:color w:val="auto"/>
        </w:rPr>
      </w:pPr>
      <w:r>
        <w:rPr>
          <w:rFonts w:ascii="Arial" w:cs="Arial" w:eastAsia="Arial" w:hAnsi="Arial"/>
          <w:sz w:val="14"/>
          <w:szCs w:val="14"/>
          <w:color w:val="auto"/>
        </w:rPr>
        <w:t>As a public company, we are required to maintain internal control over financial reporting and to report any material weaknesses in such internal control. Section 404 of the Sarbanes</w:t>
      </w:r>
      <w:r>
        <w:rPr>
          <w:rFonts w:ascii="MS PGothic" w:cs="MS PGothic" w:eastAsia="MS PGothic" w:hAnsi="MS PGothic"/>
          <w:sz w:val="14"/>
          <w:szCs w:val="14"/>
          <w:color w:val="auto"/>
        </w:rPr>
        <w:t>‑</w:t>
      </w:r>
      <w:r>
        <w:rPr>
          <w:rFonts w:ascii="Arial" w:cs="Arial" w:eastAsia="Arial" w:hAnsi="Arial"/>
          <w:sz w:val="14"/>
          <w:szCs w:val="14"/>
          <w:color w:val="auto"/>
        </w:rPr>
        <w:t>Oxley Act of 2002 (the “Sarbanes</w:t>
      </w:r>
      <w:r>
        <w:rPr>
          <w:rFonts w:ascii="MS PGothic" w:cs="MS PGothic" w:eastAsia="MS PGothic" w:hAnsi="MS PGothic"/>
          <w:sz w:val="14"/>
          <w:szCs w:val="14"/>
          <w:color w:val="auto"/>
        </w:rPr>
        <w:t>‑</w:t>
      </w:r>
      <w:r>
        <w:rPr>
          <w:rFonts w:ascii="Arial" w:cs="Arial" w:eastAsia="Arial" w:hAnsi="Arial"/>
          <w:sz w:val="14"/>
          <w:szCs w:val="14"/>
          <w:color w:val="auto"/>
        </w:rPr>
        <w:t>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55" w:lineRule="exact"/>
        <w:rPr>
          <w:sz w:val="20"/>
          <w:szCs w:val="20"/>
          <w:color w:val="auto"/>
        </w:rPr>
      </w:pPr>
    </w:p>
    <w:p>
      <w:pPr>
        <w:ind w:firstLine="365"/>
        <w:spacing w:after="0" w:line="289" w:lineRule="auto"/>
        <w:rPr>
          <w:sz w:val="20"/>
          <w:szCs w:val="20"/>
          <w:color w:val="auto"/>
        </w:rPr>
      </w:pPr>
      <w:r>
        <w:rPr>
          <w:rFonts w:ascii="Arial" w:cs="Arial" w:eastAsia="Arial" w:hAnsi="Arial"/>
          <w:sz w:val="12"/>
          <w:szCs w:val="12"/>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Class A common stock. In addition, if we are unable to continue to meet these requirements, we may not be able to remain listed on the New York Stock Exchange or the Long-Term Stock Exchange.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870" w:right="339" w:bottom="1440" w:gutter="0" w:footer="0" w:header="0"/>
        </w:sectPr>
      </w:pPr>
    </w:p>
    <w:bookmarkStart w:id="65" w:name="page66"/>
    <w:bookmarkEnd w:id="65"/>
    <w:p>
      <w:pPr>
        <w:ind w:left="360"/>
        <w:spacing w:after="0"/>
        <w:rPr>
          <w:sz w:val="20"/>
          <w:szCs w:val="20"/>
          <w:color w:val="auto"/>
        </w:rPr>
      </w:pPr>
      <w:r>
        <w:rPr>
          <w:rFonts w:ascii="Arial" w:cs="Arial" w:eastAsia="Arial" w:hAnsi="Arial"/>
          <w:sz w:val="14"/>
          <w:szCs w:val="14"/>
          <w:b w:val="1"/>
          <w:bCs w:val="1"/>
          <w:i w:val="1"/>
          <w:iCs w:val="1"/>
          <w:color w:val="auto"/>
        </w:rPr>
        <w:t>If our goodwill or intangible assets become impaired, we may be required to record a significant charge to earnings.</w:t>
      </w:r>
    </w:p>
    <w:p>
      <w:pPr>
        <w:spacing w:after="0" w:line="164" w:lineRule="exact"/>
        <w:rPr>
          <w:sz w:val="20"/>
          <w:szCs w:val="20"/>
          <w:color w:val="auto"/>
        </w:rPr>
      </w:pPr>
    </w:p>
    <w:p>
      <w:pPr>
        <w:ind w:right="60" w:firstLine="365"/>
        <w:spacing w:after="0" w:line="247" w:lineRule="auto"/>
        <w:rPr>
          <w:sz w:val="20"/>
          <w:szCs w:val="20"/>
          <w:color w:val="auto"/>
        </w:rPr>
      </w:pPr>
      <w:r>
        <w:rPr>
          <w:rFonts w:ascii="Arial" w:cs="Arial" w:eastAsia="Arial" w:hAnsi="Arial"/>
          <w:sz w:val="14"/>
          <w:szCs w:val="14"/>
          <w:color w:val="auto"/>
        </w:rPr>
        <w:t>We review our intangible assets for impairment when events or changes in circumstances indicate the carrying value may not be recoverable. Goodwill is required to be tested for impairment at least annually. As of June 30, 2022, we carried a net $6.2 billion of goodwill and intangible assets.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47"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trading price of our Class A common stock has been volatile and may continue to be volatile, and you could lose all or part of your investment.</w:t>
      </w:r>
    </w:p>
    <w:p>
      <w:pPr>
        <w:spacing w:after="0" w:line="164" w:lineRule="exact"/>
        <w:rPr>
          <w:sz w:val="20"/>
          <w:szCs w:val="20"/>
          <w:color w:val="auto"/>
        </w:rPr>
      </w:pPr>
    </w:p>
    <w:p>
      <w:pPr>
        <w:jc w:val="both"/>
        <w:ind w:right="220" w:firstLine="365"/>
        <w:spacing w:after="0" w:line="247" w:lineRule="auto"/>
        <w:rPr>
          <w:sz w:val="20"/>
          <w:szCs w:val="20"/>
          <w:color w:val="auto"/>
        </w:rPr>
      </w:pPr>
      <w:r>
        <w:rPr>
          <w:rFonts w:ascii="Arial" w:cs="Arial" w:eastAsia="Arial" w:hAnsi="Arial"/>
          <w:sz w:val="14"/>
          <w:szCs w:val="14"/>
          <w:color w:val="auto"/>
        </w:rPr>
        <w:t>Prior to our initial public offering in June 2016, there was no public market for shares of our Class A common stock. On June 23, 2016, we sold shares of our Class A common stock to the public at $15.00 per share. From June 23, 2016, the date that our Class A common stock started trading on the New York Stock Exchange, through June 30, 2022, the trading price of our Class A common stock has ranged from $22.80 per share to $457.30 per share. The trading price of our Class A common stock may continue to fluctuate significantly in response to numerous factors, many of which are beyond our control, including:</w:t>
      </w:r>
    </w:p>
    <w:p>
      <w:pPr>
        <w:spacing w:after="0" w:line="149" w:lineRule="exact"/>
        <w:rPr>
          <w:sz w:val="20"/>
          <w:szCs w:val="20"/>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volatility in the trading prices and trading volumes of technology stocks;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sales of shares of our Class A common stock by us or our stockholders;</w:t>
      </w:r>
    </w:p>
    <w:p>
      <w:pPr>
        <w:spacing w:after="0" w:line="163" w:lineRule="exact"/>
        <w:rPr>
          <w:rFonts w:ascii="Arial" w:cs="Arial" w:eastAsia="Arial" w:hAnsi="Arial"/>
          <w:sz w:val="14"/>
          <w:szCs w:val="14"/>
          <w:color w:val="auto"/>
        </w:rPr>
      </w:pPr>
    </w:p>
    <w:p>
      <w:pPr>
        <w:ind w:left="740" w:hanging="252"/>
        <w:spacing w:after="0" w:line="259" w:lineRule="auto"/>
        <w:tabs>
          <w:tab w:leader="none" w:pos="736" w:val="left"/>
        </w:tabs>
        <w:numPr>
          <w:ilvl w:val="0"/>
          <w:numId w:val="38"/>
        </w:numPr>
        <w:rPr>
          <w:rFonts w:ascii="Arial" w:cs="Arial" w:eastAsia="Arial" w:hAnsi="Arial"/>
          <w:sz w:val="14"/>
          <w:szCs w:val="14"/>
          <w:color w:val="auto"/>
        </w:rPr>
      </w:pPr>
      <w:r>
        <w:rPr>
          <w:rFonts w:ascii="Arial" w:cs="Arial" w:eastAsia="Arial" w:hAnsi="Arial"/>
          <w:sz w:val="14"/>
          <w:szCs w:val="14"/>
          <w:color w:val="auto"/>
        </w:rPr>
        <w:t>failure of securities analysts to maintain coverage of us, changes in financial estimates by securities analysts who follow our company, or our failure to meet these estimates or the expectations of investors;</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those projections or our failure to meet those projections;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or services;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public’s reaction to our press releases, other public announcements and filings with the SEC;</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63" w:lineRule="exact"/>
        <w:rPr>
          <w:rFonts w:ascii="Arial" w:cs="Arial" w:eastAsia="Arial" w:hAnsi="Arial"/>
          <w:sz w:val="14"/>
          <w:szCs w:val="14"/>
          <w:color w:val="auto"/>
        </w:rPr>
      </w:pPr>
    </w:p>
    <w:p>
      <w:pPr>
        <w:ind w:left="740" w:right="40" w:hanging="252"/>
        <w:spacing w:after="0" w:line="250" w:lineRule="auto"/>
        <w:tabs>
          <w:tab w:leader="none" w:pos="736" w:val="left"/>
        </w:tabs>
        <w:numPr>
          <w:ilvl w:val="0"/>
          <w:numId w:val="38"/>
        </w:numPr>
        <w:rPr>
          <w:rFonts w:ascii="Arial" w:cs="Arial" w:eastAsia="Arial" w:hAnsi="Arial"/>
          <w:sz w:val="14"/>
          <w:szCs w:val="14"/>
          <w:color w:val="auto"/>
        </w:rPr>
      </w:pPr>
      <w:r>
        <w:rPr>
          <w:rFonts w:ascii="Arial" w:cs="Arial" w:eastAsia="Arial" w:hAnsi="Arial"/>
          <w:sz w:val="14"/>
          <w:szCs w:val="14"/>
          <w:color w:val="auto"/>
        </w:rPr>
        <w:t>changes in laws, industry standards, regulations or regulatory enforcement in the United States or internationally, GDPR, the California Consumer Privacy Act of 2018 and other privacy or cybersecurity regulations that may be implemented in the future, SHAKEN/STIR and other robocalling prevention and anti-spam standards and increased costs associated with such compliance, as well as enhanced Know-Your-Client processes that impact our ability to market, sell or deliver our products;</w:t>
      </w:r>
    </w:p>
    <w:p>
      <w:pPr>
        <w:spacing w:after="0" w:line="146"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actual or anticipated changes in our results of operations or fluctuations in our results of operations;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our competitors’ businesses or the competitive landscape generally;</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litigation involving us, our industry or both, or investigations by regulators into our operations or those of our competitors;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or other proprietary rights;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products, services or technologies by us or our competitors;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changes in accounting standards, policies, guidelines, interpretations or principles;</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870" w:right="359" w:bottom="1440" w:gutter="0" w:footer="0" w:header="0"/>
        </w:sectPr>
      </w:pPr>
    </w:p>
    <w:bookmarkStart w:id="66" w:name="page67"/>
    <w:bookmarkEnd w:id="66"/>
    <w:p>
      <w:pPr>
        <w:ind w:left="720" w:hanging="232"/>
        <w:spacing w:after="0"/>
        <w:tabs>
          <w:tab w:leader="none" w:pos="7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significant change in our management, including changes in the pace of hiring; and</w:t>
      </w:r>
    </w:p>
    <w:p>
      <w:pPr>
        <w:spacing w:after="0" w:line="163" w:lineRule="exact"/>
        <w:rPr>
          <w:rFonts w:ascii="Arial" w:cs="Arial" w:eastAsia="Arial" w:hAnsi="Arial"/>
          <w:sz w:val="14"/>
          <w:szCs w:val="14"/>
          <w:color w:val="auto"/>
        </w:rPr>
      </w:pPr>
    </w:p>
    <w:p>
      <w:pPr>
        <w:ind w:left="740" w:right="60" w:hanging="252"/>
        <w:spacing w:after="0" w:line="259" w:lineRule="auto"/>
        <w:tabs>
          <w:tab w:leader="none" w:pos="736" w:val="left"/>
        </w:tabs>
        <w:numPr>
          <w:ilvl w:val="0"/>
          <w:numId w:val="39"/>
        </w:numPr>
        <w:rPr>
          <w:rFonts w:ascii="Arial" w:cs="Arial" w:eastAsia="Arial" w:hAnsi="Arial"/>
          <w:sz w:val="14"/>
          <w:szCs w:val="14"/>
          <w:color w:val="auto"/>
        </w:rPr>
      </w:pPr>
      <w:r>
        <w:rPr>
          <w:rFonts w:ascii="Arial" w:cs="Arial" w:eastAsia="Arial" w:hAnsi="Arial"/>
          <w:sz w:val="14"/>
          <w:szCs w:val="14"/>
          <w:color w:val="auto"/>
        </w:rPr>
        <w:t>general political, social, economic and market conditions, in both domestic and foreign markets, including the effects of the COVID-19 pandemic and the war in Ukraine on the global economy, labor shortages, supply chain disruptions, inflation, increased interest rates and slow or negative growth of our markets.</w:t>
      </w:r>
    </w:p>
    <w:p>
      <w:pPr>
        <w:spacing w:after="0" w:line="140" w:lineRule="exact"/>
        <w:rPr>
          <w:sz w:val="20"/>
          <w:szCs w:val="20"/>
          <w:color w:val="auto"/>
        </w:rPr>
      </w:pPr>
    </w:p>
    <w:p>
      <w:pPr>
        <w:ind w:right="180" w:firstLine="365"/>
        <w:spacing w:after="0" w:line="259" w:lineRule="auto"/>
        <w:rPr>
          <w:sz w:val="20"/>
          <w:szCs w:val="20"/>
          <w:color w:val="auto"/>
        </w:rPr>
      </w:pPr>
      <w:r>
        <w:rPr>
          <w:rFonts w:ascii="Arial" w:cs="Arial" w:eastAsia="Arial" w:hAnsi="Arial"/>
          <w:sz w:val="14"/>
          <w:szCs w:val="14"/>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Substantial future sales of shares of our Class A common stock could cause the market price of our Class A common stock to decline.</w:t>
      </w:r>
    </w:p>
    <w:p>
      <w:pPr>
        <w:spacing w:after="0" w:line="164" w:lineRule="exact"/>
        <w:rPr>
          <w:sz w:val="20"/>
          <w:szCs w:val="20"/>
          <w:color w:val="auto"/>
        </w:rPr>
      </w:pPr>
    </w:p>
    <w:p>
      <w:pPr>
        <w:ind w:right="540" w:firstLine="365"/>
        <w:spacing w:after="0" w:line="259" w:lineRule="auto"/>
        <w:rPr>
          <w:sz w:val="20"/>
          <w:szCs w:val="20"/>
          <w:color w:val="auto"/>
        </w:rPr>
      </w:pPr>
      <w:r>
        <w:rPr>
          <w:rFonts w:ascii="Arial" w:cs="Arial" w:eastAsia="Arial" w:hAnsi="Arial"/>
          <w:sz w:val="14"/>
          <w:szCs w:val="14"/>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40" w:lineRule="exact"/>
        <w:rPr>
          <w:sz w:val="20"/>
          <w:szCs w:val="20"/>
          <w:color w:val="auto"/>
        </w:rPr>
      </w:pPr>
    </w:p>
    <w:p>
      <w:pPr>
        <w:ind w:right="100" w:firstLine="365"/>
        <w:spacing w:after="0" w:line="259" w:lineRule="auto"/>
        <w:rPr>
          <w:sz w:val="20"/>
          <w:szCs w:val="20"/>
          <w:color w:val="auto"/>
        </w:rPr>
      </w:pPr>
      <w:r>
        <w:rPr>
          <w:rFonts w:ascii="Arial" w:cs="Arial" w:eastAsia="Arial" w:hAnsi="Arial"/>
          <w:sz w:val="14"/>
          <w:szCs w:val="14"/>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40" w:lineRule="exact"/>
        <w:rPr>
          <w:sz w:val="20"/>
          <w:szCs w:val="20"/>
          <w:color w:val="auto"/>
        </w:rPr>
      </w:pPr>
    </w:p>
    <w:p>
      <w:pPr>
        <w:ind w:firstLine="365"/>
        <w:spacing w:after="0" w:line="247" w:lineRule="auto"/>
        <w:rPr>
          <w:sz w:val="20"/>
          <w:szCs w:val="20"/>
          <w:color w:val="auto"/>
        </w:rPr>
      </w:pPr>
      <w:r>
        <w:rPr>
          <w:rFonts w:ascii="Arial" w:cs="Arial" w:eastAsia="Arial" w:hAnsi="Arial"/>
          <w:sz w:val="14"/>
          <w:szCs w:val="14"/>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their respective affiliates. This limits or precludes holders of our Class A common stock from the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49" w:lineRule="exact"/>
        <w:rPr>
          <w:sz w:val="20"/>
          <w:szCs w:val="20"/>
          <w:color w:val="auto"/>
        </w:rPr>
      </w:pPr>
    </w:p>
    <w:p>
      <w:pPr>
        <w:ind w:firstLine="365"/>
        <w:spacing w:after="0" w:line="164" w:lineRule="exact"/>
        <w:rPr>
          <w:sz w:val="20"/>
          <w:szCs w:val="20"/>
          <w:color w:val="auto"/>
        </w:rPr>
      </w:pPr>
      <w:r>
        <w:rPr>
          <w:rFonts w:ascii="Arial" w:cs="Arial" w:eastAsia="Arial" w:hAnsi="Arial"/>
          <w:sz w:val="12"/>
          <w:szCs w:val="12"/>
          <w:color w:val="auto"/>
        </w:rPr>
        <w:t>Our Class B common stock has 10 votes per share, and our Class A common stock has one vote per share. As of June 30, 2022, our directors, executive officers and their respective affiliates, held in the aggregate 21.0% of the voting power of our capital stock. Because of the 10</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one voting ratio between our Class B common stock and Class A common stock, the holders of our Class B common stock collectively will continue to have concentrated control of the combined voting power of our common stock and therefore may be able to control certain matters submitted to our stockholders for approval until the earlier of (i) June 28, 2023, or (ii) the date the holders of two</w:t>
      </w:r>
      <w:r>
        <w:rPr>
          <w:rFonts w:ascii="MS PGothic" w:cs="MS PGothic" w:eastAsia="MS PGothic" w:hAnsi="MS PGothic"/>
          <w:sz w:val="12"/>
          <w:szCs w:val="12"/>
          <w:color w:val="auto"/>
        </w:rPr>
        <w:t>‑</w:t>
      </w:r>
      <w:r>
        <w:rPr>
          <w:rFonts w:ascii="Arial" w:cs="Arial" w:eastAsia="Arial" w:hAnsi="Arial"/>
          <w:sz w:val="12"/>
          <w:szCs w:val="12"/>
          <w:color w:val="auto"/>
        </w:rPr>
        <w:t>thirds of our Class B common stock elect to convert the Class B common stock to Class A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56" w:lineRule="exact"/>
        <w:rPr>
          <w:sz w:val="20"/>
          <w:szCs w:val="20"/>
          <w:color w:val="auto"/>
        </w:rPr>
      </w:pPr>
    </w:p>
    <w:p>
      <w:pPr>
        <w:jc w:val="both"/>
        <w:ind w:right="40" w:firstLine="365"/>
        <w:spacing w:after="0" w:line="250" w:lineRule="auto"/>
        <w:rPr>
          <w:sz w:val="20"/>
          <w:szCs w:val="20"/>
          <w:color w:val="auto"/>
        </w:rPr>
      </w:pPr>
      <w:r>
        <w:rPr>
          <w:rFonts w:ascii="Arial" w:cs="Arial" w:eastAsia="Arial" w:hAnsi="Arial"/>
          <w:sz w:val="14"/>
          <w:szCs w:val="14"/>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46" w:lineRule="exact"/>
        <w:rPr>
          <w:sz w:val="20"/>
          <w:szCs w:val="20"/>
          <w:color w:val="auto"/>
        </w:rPr>
      </w:pPr>
    </w:p>
    <w:p>
      <w:pPr>
        <w:ind w:right="500" w:firstLine="365"/>
        <w:spacing w:after="0" w:line="259" w:lineRule="auto"/>
        <w:rPr>
          <w:sz w:val="20"/>
          <w:szCs w:val="20"/>
          <w:color w:val="auto"/>
        </w:rPr>
      </w:pPr>
      <w:r>
        <w:rPr>
          <w:rFonts w:ascii="Arial" w:cs="Arial" w:eastAsia="Arial" w:hAnsi="Arial"/>
          <w:sz w:val="14"/>
          <w:szCs w:val="14"/>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40" w:lineRule="exact"/>
        <w:rPr>
          <w:sz w:val="20"/>
          <w:szCs w:val="20"/>
          <w:color w:val="auto"/>
        </w:rPr>
      </w:pPr>
    </w:p>
    <w:p>
      <w:pPr>
        <w:ind w:right="20" w:firstLine="365"/>
        <w:spacing w:after="0" w:line="302" w:lineRule="auto"/>
        <w:rPr>
          <w:sz w:val="20"/>
          <w:szCs w:val="20"/>
          <w:color w:val="auto"/>
        </w:rPr>
      </w:pPr>
      <w:r>
        <w:rPr>
          <w:rFonts w:ascii="Arial" w:cs="Arial" w:eastAsia="Arial" w:hAnsi="Arial"/>
          <w:sz w:val="12"/>
          <w:szCs w:val="12"/>
          <w:color w:val="auto"/>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870" w:right="359" w:bottom="1440" w:gutter="0" w:footer="0" w:header="0"/>
        </w:sectPr>
      </w:pPr>
    </w:p>
    <w:bookmarkStart w:id="67" w:name="page68"/>
    <w:bookmarkEnd w:id="67"/>
    <w:p>
      <w:pPr>
        <w:ind w:right="460" w:firstLine="365"/>
        <w:spacing w:after="0" w:line="168" w:lineRule="exact"/>
        <w:rPr>
          <w:sz w:val="20"/>
          <w:szCs w:val="20"/>
          <w:color w:val="auto"/>
        </w:rPr>
      </w:pPr>
      <w:r>
        <w:rPr>
          <w:rFonts w:ascii="Arial" w:cs="Arial" w:eastAsia="Arial" w:hAnsi="Arial"/>
          <w:sz w:val="14"/>
          <w:szCs w:val="14"/>
          <w:b w:val="1"/>
          <w:bCs w:val="1"/>
          <w:i w:val="1"/>
          <w:iCs w:val="1"/>
          <w:color w:val="auto"/>
        </w:rPr>
        <w:t>Anti</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takeover provisions contained in our amended and restated certificate of incorporation and second amended and restated bylaws, as well as provisions of Delaware law, could impair a takeover attempt.</w:t>
      </w:r>
    </w:p>
    <w:p>
      <w:pPr>
        <w:spacing w:after="0" w:line="153" w:lineRule="exact"/>
        <w:rPr>
          <w:sz w:val="20"/>
          <w:szCs w:val="20"/>
          <w:color w:val="auto"/>
        </w:rPr>
      </w:pPr>
    </w:p>
    <w:p>
      <w:pPr>
        <w:ind w:firstLine="365"/>
        <w:spacing w:after="0" w:line="342" w:lineRule="auto"/>
        <w:rPr>
          <w:sz w:val="20"/>
          <w:szCs w:val="20"/>
          <w:color w:val="auto"/>
        </w:rPr>
      </w:pPr>
      <w:r>
        <w:rPr>
          <w:rFonts w:ascii="Arial" w:cs="Arial" w:eastAsia="Arial" w:hAnsi="Arial"/>
          <w:sz w:val="12"/>
          <w:szCs w:val="12"/>
          <w:color w:val="auto"/>
        </w:rPr>
        <w:t>Our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second amended and restated bylaws include provisions:</w:t>
      </w:r>
    </w:p>
    <w:p>
      <w:pPr>
        <w:spacing w:after="0" w:line="94" w:lineRule="exact"/>
        <w:rPr>
          <w:sz w:val="20"/>
          <w:szCs w:val="20"/>
          <w:color w:val="auto"/>
        </w:rPr>
      </w:pPr>
    </w:p>
    <w:p>
      <w:pPr>
        <w:ind w:left="740" w:right="20" w:hanging="252"/>
        <w:spacing w:after="0" w:line="259" w:lineRule="auto"/>
        <w:tabs>
          <w:tab w:leader="none" w:pos="736" w:val="left"/>
        </w:tabs>
        <w:numPr>
          <w:ilvl w:val="0"/>
          <w:numId w:val="40"/>
        </w:numPr>
        <w:rPr>
          <w:rFonts w:ascii="Arial" w:cs="Arial" w:eastAsia="Arial" w:hAnsi="Arial"/>
          <w:sz w:val="14"/>
          <w:szCs w:val="14"/>
          <w:color w:val="auto"/>
        </w:rPr>
      </w:pPr>
      <w:r>
        <w:rPr>
          <w:rFonts w:ascii="Arial" w:cs="Arial" w:eastAsia="Arial" w:hAnsi="Arial"/>
          <w:sz w:val="14"/>
          <w:szCs w:val="14"/>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limiting the liability of, and providing indemnification to, our directors and officers;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limiting the ability of our stockholders to call and bring business before special meetings;</w:t>
      </w:r>
    </w:p>
    <w:p>
      <w:pPr>
        <w:spacing w:after="0" w:line="163" w:lineRule="exact"/>
        <w:rPr>
          <w:rFonts w:ascii="Arial" w:cs="Arial" w:eastAsia="Arial" w:hAnsi="Arial"/>
          <w:sz w:val="14"/>
          <w:szCs w:val="14"/>
          <w:color w:val="auto"/>
        </w:rPr>
      </w:pPr>
    </w:p>
    <w:p>
      <w:pPr>
        <w:ind w:left="740" w:right="160" w:hanging="252"/>
        <w:spacing w:after="0" w:line="250" w:lineRule="auto"/>
        <w:tabs>
          <w:tab w:leader="none" w:pos="736"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46" w:lineRule="exact"/>
        <w:rPr>
          <w:rFonts w:ascii="Arial" w:cs="Arial" w:eastAsia="Arial" w:hAnsi="Arial"/>
          <w:sz w:val="14"/>
          <w:szCs w:val="14"/>
          <w:color w:val="auto"/>
        </w:rPr>
      </w:pPr>
    </w:p>
    <w:p>
      <w:pPr>
        <w:ind w:left="720" w:hanging="232"/>
        <w:spacing w:after="0" w:line="161" w:lineRule="exact"/>
        <w:tabs>
          <w:tab w:leader="none" w:pos="7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providing that our board of directors is classified into three classes of directors with staggered three</w:t>
      </w:r>
      <w:r>
        <w:rPr>
          <w:rFonts w:ascii="MS PGothic" w:cs="MS PGothic" w:eastAsia="MS PGothic" w:hAnsi="MS PGothic"/>
          <w:sz w:val="14"/>
          <w:szCs w:val="14"/>
          <w:color w:val="auto"/>
        </w:rPr>
        <w:t>‑</w:t>
      </w:r>
      <w:r>
        <w:rPr>
          <w:rFonts w:ascii="Arial" w:cs="Arial" w:eastAsia="Arial" w:hAnsi="Arial"/>
          <w:sz w:val="14"/>
          <w:szCs w:val="14"/>
          <w:color w:val="auto"/>
        </w:rPr>
        <w:t>year terms;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requiring advance notice of stockholder proposals for business to be conducted at meetings of our stockholders and for nominations of candidates for election to our board of directors;</w:t>
      </w:r>
    </w:p>
    <w:p>
      <w:pPr>
        <w:spacing w:after="0" w:line="186" w:lineRule="exact"/>
        <w:rPr>
          <w:rFonts w:ascii="Arial" w:cs="Arial" w:eastAsia="Arial" w:hAnsi="Arial"/>
          <w:sz w:val="12"/>
          <w:szCs w:val="12"/>
          <w:color w:val="auto"/>
        </w:rPr>
      </w:pPr>
    </w:p>
    <w:p>
      <w:pPr>
        <w:ind w:left="720" w:hanging="232"/>
        <w:spacing w:after="0"/>
        <w:tabs>
          <w:tab w:leader="none" w:pos="7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controlling the procedures for the conduct and scheduling of board of directors and stockholder meetings; and</w:t>
      </w:r>
    </w:p>
    <w:p>
      <w:pPr>
        <w:spacing w:after="0" w:line="163" w:lineRule="exact"/>
        <w:rPr>
          <w:rFonts w:ascii="Arial" w:cs="Arial" w:eastAsia="Arial" w:hAnsi="Arial"/>
          <w:sz w:val="14"/>
          <w:szCs w:val="14"/>
          <w:color w:val="auto"/>
        </w:rPr>
      </w:pPr>
    </w:p>
    <w:p>
      <w:pPr>
        <w:ind w:left="740" w:right="20" w:hanging="252"/>
        <w:spacing w:after="0" w:line="250" w:lineRule="auto"/>
        <w:tabs>
          <w:tab w:leader="none" w:pos="736"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These provisions, alone or together, could delay or prevent hostile takeovers and changes in control or changes in our management.</w:t>
      </w:r>
    </w:p>
    <w:p>
      <w:pPr>
        <w:spacing w:after="0" w:line="164" w:lineRule="exact"/>
        <w:rPr>
          <w:sz w:val="20"/>
          <w:szCs w:val="20"/>
          <w:color w:val="auto"/>
        </w:rPr>
      </w:pPr>
    </w:p>
    <w:p>
      <w:pPr>
        <w:ind w:right="60" w:firstLine="365"/>
        <w:spacing w:after="0" w:line="166" w:lineRule="exact"/>
        <w:rPr>
          <w:sz w:val="20"/>
          <w:szCs w:val="20"/>
          <w:color w:val="auto"/>
        </w:rPr>
      </w:pPr>
      <w:r>
        <w:rPr>
          <w:rFonts w:ascii="Arial" w:cs="Arial" w:eastAsia="Arial" w:hAnsi="Arial"/>
          <w:sz w:val="14"/>
          <w:szCs w:val="14"/>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w:t>
      </w:r>
      <w:r>
        <w:rPr>
          <w:rFonts w:ascii="MS PGothic" w:cs="MS PGothic" w:eastAsia="MS PGothic" w:hAnsi="MS PGothic"/>
          <w:sz w:val="14"/>
          <w:szCs w:val="14"/>
          <w:color w:val="auto"/>
        </w:rPr>
        <w:t>‑</w:t>
      </w:r>
      <w:r>
        <w:rPr>
          <w:rFonts w:ascii="Arial" w:cs="Arial" w:eastAsia="Arial" w:hAnsi="Arial"/>
          <w:sz w:val="14"/>
          <w:szCs w:val="14"/>
          <w:color w:val="auto"/>
        </w:rPr>
        <w:t>thirds of our outstanding common stock not held by such 15% or greater stockholder.</w:t>
      </w:r>
    </w:p>
    <w:p>
      <w:pPr>
        <w:spacing w:after="0" w:line="152" w:lineRule="exact"/>
        <w:rPr>
          <w:sz w:val="20"/>
          <w:szCs w:val="20"/>
          <w:color w:val="auto"/>
        </w:rPr>
      </w:pPr>
    </w:p>
    <w:p>
      <w:pPr>
        <w:jc w:val="both"/>
        <w:ind w:right="60" w:firstLine="365"/>
        <w:spacing w:after="0" w:line="342" w:lineRule="auto"/>
        <w:rPr>
          <w:sz w:val="20"/>
          <w:szCs w:val="20"/>
          <w:color w:val="auto"/>
        </w:rPr>
      </w:pPr>
      <w:r>
        <w:rPr>
          <w:rFonts w:ascii="Arial" w:cs="Arial" w:eastAsia="Arial" w:hAnsi="Arial"/>
          <w:sz w:val="12"/>
          <w:szCs w:val="12"/>
          <w:color w:val="auto"/>
        </w:rPr>
        <w:t>Any provision of our amended and restated certificate of incorporation, second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94" w:lineRule="exact"/>
        <w:rPr>
          <w:sz w:val="20"/>
          <w:szCs w:val="20"/>
          <w:color w:val="auto"/>
        </w:rPr>
      </w:pPr>
    </w:p>
    <w:p>
      <w:pPr>
        <w:ind w:right="80" w:firstLine="365"/>
        <w:spacing w:after="0" w:line="342" w:lineRule="auto"/>
        <w:rPr>
          <w:sz w:val="20"/>
          <w:szCs w:val="20"/>
          <w:color w:val="auto"/>
        </w:rPr>
      </w:pPr>
      <w:r>
        <w:rPr>
          <w:rFonts w:ascii="Arial" w:cs="Arial" w:eastAsia="Arial" w:hAnsi="Arial"/>
          <w:sz w:val="12"/>
          <w:szCs w:val="12"/>
          <w:b w:val="1"/>
          <w:bCs w:val="1"/>
          <w:i w:val="1"/>
          <w:iCs w:val="1"/>
          <w:color w:val="auto"/>
        </w:rPr>
        <w:t>Our second amended and restated bylaws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94" w:lineRule="exact"/>
        <w:rPr>
          <w:sz w:val="20"/>
          <w:szCs w:val="20"/>
          <w:color w:val="auto"/>
        </w:rPr>
      </w:pPr>
    </w:p>
    <w:p>
      <w:pPr>
        <w:ind w:right="40" w:firstLine="365"/>
        <w:spacing w:after="0" w:line="259" w:lineRule="auto"/>
        <w:rPr>
          <w:sz w:val="20"/>
          <w:szCs w:val="20"/>
          <w:color w:val="auto"/>
        </w:rPr>
      </w:pPr>
      <w:r>
        <w:rPr>
          <w:rFonts w:ascii="Arial" w:cs="Arial" w:eastAsia="Arial" w:hAnsi="Arial"/>
          <w:sz w:val="14"/>
          <w:szCs w:val="14"/>
          <w:color w:val="auto"/>
        </w:rPr>
        <w:t>Our second amended and restated bylaws provides that the Court of Chancery of the State of Delaware is the exclusive forum for the following types of actions or proceedings under Delaware statutory or common law:</w:t>
      </w:r>
    </w:p>
    <w:p>
      <w:pPr>
        <w:spacing w:after="0" w:line="140" w:lineRule="exact"/>
        <w:rPr>
          <w:sz w:val="20"/>
          <w:szCs w:val="20"/>
          <w:color w:val="auto"/>
        </w:rPr>
      </w:pPr>
    </w:p>
    <w:p>
      <w:pPr>
        <w:ind w:left="720" w:hanging="232"/>
        <w:spacing w:after="0"/>
        <w:tabs>
          <w:tab w:leader="none" w:pos="7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derivative action or proceeding brought on our behalf;</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action asserting a breach of fiduciary duty owed by our directors, officers, employees or our stockholders;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68" w:name="page69"/>
    <w:bookmarkEnd w:id="68"/>
    <w:p>
      <w:pPr>
        <w:ind w:left="720" w:hanging="232"/>
        <w:spacing w:after="0"/>
        <w:tabs>
          <w:tab w:leader="none" w:pos="7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action asserting a claim against us arising under the Delaware General Corporation Law; and</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action asserting a claim against us that is governed by the internal-affairs doctrine (the “Delaware Forum Provision”).</w:t>
      </w:r>
    </w:p>
    <w:p>
      <w:pPr>
        <w:spacing w:after="0" w:line="164" w:lineRule="exact"/>
        <w:rPr>
          <w:sz w:val="20"/>
          <w:szCs w:val="20"/>
          <w:color w:val="auto"/>
        </w:rPr>
      </w:pPr>
    </w:p>
    <w:p>
      <w:pPr>
        <w:ind w:right="40" w:firstLine="365"/>
        <w:spacing w:after="0" w:line="302" w:lineRule="auto"/>
        <w:rPr>
          <w:sz w:val="20"/>
          <w:szCs w:val="20"/>
          <w:color w:val="auto"/>
        </w:rPr>
      </w:pPr>
      <w:r>
        <w:rPr>
          <w:rFonts w:ascii="Arial" w:cs="Arial" w:eastAsia="Arial" w:hAnsi="Arial"/>
          <w:sz w:val="12"/>
          <w:szCs w:val="12"/>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second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17" w:lineRule="exact"/>
        <w:rPr>
          <w:sz w:val="20"/>
          <w:szCs w:val="20"/>
          <w:color w:val="auto"/>
        </w:rPr>
      </w:pPr>
    </w:p>
    <w:p>
      <w:pPr>
        <w:ind w:right="40" w:firstLine="365"/>
        <w:spacing w:after="0" w:line="247" w:lineRule="auto"/>
        <w:rPr>
          <w:sz w:val="20"/>
          <w:szCs w:val="20"/>
          <w:color w:val="auto"/>
        </w:rPr>
      </w:pPr>
      <w:r>
        <w:rPr>
          <w:rFonts w:ascii="Arial" w:cs="Arial" w:eastAsia="Arial" w:hAnsi="Arial"/>
          <w:sz w:val="14"/>
          <w:szCs w:val="14"/>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second amended and restated bylaws to be inapplicable or unenforceable in an action, we may incur additional costs associated with resolving the dispute in other jurisdictions, which could seriously harm our business.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do not expect to declare any dividends in the foreseeable future.</w:t>
      </w:r>
    </w:p>
    <w:p>
      <w:pPr>
        <w:spacing w:after="0" w:line="164" w:lineRule="exact"/>
        <w:rPr>
          <w:sz w:val="20"/>
          <w:szCs w:val="20"/>
          <w:color w:val="auto"/>
        </w:rPr>
      </w:pPr>
    </w:p>
    <w:p>
      <w:pPr>
        <w:ind w:right="40" w:firstLine="365"/>
        <w:spacing w:after="0" w:line="250" w:lineRule="auto"/>
        <w:rPr>
          <w:sz w:val="20"/>
          <w:szCs w:val="20"/>
          <w:color w:val="auto"/>
        </w:rPr>
      </w:pPr>
      <w:r>
        <w:rPr>
          <w:rFonts w:ascii="Arial" w:cs="Arial" w:eastAsia="Arial" w:hAnsi="Arial"/>
          <w:sz w:val="14"/>
          <w:szCs w:val="14"/>
          <w:color w:val="auto"/>
        </w:rPr>
        <w:t>We have never paid dividends and 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spacing w:after="0" w:line="144"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Risks Related to our Indebtedness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indebtedness could adversely affect our financial condition.</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2022, we had $1.0 billion of indebtedness outstanding (excluding intercompany indebtedness). Our indebtedness could have important consequences, including:</w:t>
      </w:r>
    </w:p>
    <w:p>
      <w:pPr>
        <w:spacing w:after="0" w:line="164" w:lineRule="exact"/>
        <w:rPr>
          <w:sz w:val="20"/>
          <w:szCs w:val="20"/>
          <w:color w:val="auto"/>
        </w:rPr>
      </w:pPr>
    </w:p>
    <w:p>
      <w:pPr>
        <w:ind w:left="720" w:hanging="232"/>
        <w:spacing w:after="0"/>
        <w:tabs>
          <w:tab w:leader="none" w:pos="7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 to fund future working capital, capital expenditures, acquisitions or other general corporate requirements;</w:t>
      </w:r>
    </w:p>
    <w:p>
      <w:pPr>
        <w:spacing w:after="0" w:line="163" w:lineRule="exact"/>
        <w:rPr>
          <w:rFonts w:ascii="Arial" w:cs="Arial" w:eastAsia="Arial" w:hAnsi="Arial"/>
          <w:sz w:val="14"/>
          <w:szCs w:val="14"/>
          <w:color w:val="auto"/>
        </w:rPr>
      </w:pPr>
    </w:p>
    <w:p>
      <w:pPr>
        <w:ind w:left="740" w:right="560" w:hanging="252"/>
        <w:spacing w:after="0" w:line="259" w:lineRule="auto"/>
        <w:tabs>
          <w:tab w:leader="none" w:pos="736"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increasing our vulnerability to adverse changes in general economic, industry and competitive conditions;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exposing us to the risk of increased interest rates as certain of our borrowings, including borrowings under a future revolving credit facility, may be at variable rates of interest; and</w:t>
      </w:r>
    </w:p>
    <w:p>
      <w:pPr>
        <w:spacing w:after="0" w:line="186" w:lineRule="exact"/>
        <w:rPr>
          <w:rFonts w:ascii="Arial" w:cs="Arial" w:eastAsia="Arial" w:hAnsi="Arial"/>
          <w:sz w:val="12"/>
          <w:szCs w:val="12"/>
          <w:color w:val="auto"/>
        </w:rPr>
      </w:pPr>
    </w:p>
    <w:p>
      <w:pPr>
        <w:ind w:left="720" w:hanging="232"/>
        <w:spacing w:after="0"/>
        <w:tabs>
          <w:tab w:leader="none" w:pos="7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increasing our cost of borrowing.</w:t>
      </w:r>
    </w:p>
    <w:p>
      <w:pPr>
        <w:spacing w:after="0" w:line="336" w:lineRule="exact"/>
        <w:rPr>
          <w:sz w:val="20"/>
          <w:szCs w:val="20"/>
          <w:color w:val="auto"/>
        </w:rPr>
      </w:pPr>
    </w:p>
    <w:p>
      <w:pPr>
        <w:ind w:firstLine="365"/>
        <w:spacing w:after="0" w:line="267" w:lineRule="auto"/>
        <w:rPr>
          <w:sz w:val="20"/>
          <w:szCs w:val="20"/>
          <w:color w:val="auto"/>
        </w:rPr>
      </w:pPr>
      <w:r>
        <w:rPr>
          <w:rFonts w:ascii="Arial" w:cs="Arial" w:eastAsia="Arial" w:hAnsi="Arial"/>
          <w:sz w:val="12"/>
          <w:szCs w:val="12"/>
          <w:color w:val="auto"/>
        </w:rPr>
        <w:t>In addition, the indenture governs our 3.625% notes due 2029 (the “2029 Notes”) and our 3.875% notes due 2031 (the “2031 Notes,” and together with the 2029 Notes, the “Notes”) and contains restrictive covenants that limit our ability to engage in activities that may be in our long-term best interest. Our failure to comply with those covenants could result in an event of default which, under the indenture governing the Notes,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69" w:name="page70"/>
    <w:bookmarkEnd w:id="69"/>
    <w:p>
      <w:pPr>
        <w:ind w:right="240" w:firstLine="365"/>
        <w:spacing w:after="0" w:line="259" w:lineRule="auto"/>
        <w:rPr>
          <w:sz w:val="20"/>
          <w:szCs w:val="20"/>
          <w:color w:val="auto"/>
        </w:rPr>
      </w:pPr>
      <w:r>
        <w:rPr>
          <w:rFonts w:ascii="Arial" w:cs="Arial" w:eastAsia="Arial" w:hAnsi="Arial"/>
          <w:sz w:val="14"/>
          <w:szCs w:val="14"/>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40" w:lineRule="exact"/>
        <w:rPr>
          <w:sz w:val="20"/>
          <w:szCs w:val="20"/>
          <w:color w:val="auto"/>
        </w:rPr>
      </w:pPr>
    </w:p>
    <w:p>
      <w:pPr>
        <w:jc w:val="both"/>
        <w:ind w:right="20" w:firstLine="365"/>
        <w:spacing w:after="0" w:line="250" w:lineRule="auto"/>
        <w:rPr>
          <w:sz w:val="20"/>
          <w:szCs w:val="20"/>
          <w:color w:val="auto"/>
        </w:rPr>
      </w:pPr>
      <w:r>
        <w:rPr>
          <w:rFonts w:ascii="Arial" w:cs="Arial" w:eastAsia="Arial" w:hAnsi="Arial"/>
          <w:sz w:val="14"/>
          <w:szCs w:val="14"/>
          <w:color w:val="auto"/>
        </w:rPr>
        <w:t>Our ability to make scheduled payments on or to refinance our debt obligations, including the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46" w:lineRule="exact"/>
        <w:rPr>
          <w:sz w:val="20"/>
          <w:szCs w:val="20"/>
          <w:color w:val="auto"/>
        </w:rPr>
      </w:pPr>
    </w:p>
    <w:p>
      <w:pPr>
        <w:ind w:right="40" w:firstLine="365"/>
        <w:spacing w:after="0" w:line="244" w:lineRule="auto"/>
        <w:rPr>
          <w:sz w:val="20"/>
          <w:szCs w:val="20"/>
          <w:color w:val="auto"/>
        </w:rPr>
      </w:pPr>
      <w:r>
        <w:rPr>
          <w:rFonts w:ascii="Arial" w:cs="Arial" w:eastAsia="Arial" w:hAnsi="Arial"/>
          <w:sz w:val="14"/>
          <w:szCs w:val="14"/>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53" w:lineRule="exact"/>
        <w:rPr>
          <w:sz w:val="20"/>
          <w:szCs w:val="20"/>
          <w:color w:val="auto"/>
        </w:rPr>
      </w:pPr>
    </w:p>
    <w:p>
      <w:pPr>
        <w:ind w:firstLine="365"/>
        <w:spacing w:after="0" w:line="259" w:lineRule="auto"/>
        <w:rPr>
          <w:sz w:val="20"/>
          <w:szCs w:val="20"/>
          <w:color w:val="auto"/>
        </w:rPr>
      </w:pPr>
      <w:r>
        <w:rPr>
          <w:rFonts w:ascii="Arial" w:cs="Arial" w:eastAsia="Arial" w:hAnsi="Arial"/>
          <w:sz w:val="14"/>
          <w:szCs w:val="14"/>
          <w:b w:val="1"/>
          <w:bCs w:val="1"/>
          <w:i w:val="1"/>
          <w:iCs w:val="1"/>
          <w:color w:val="auto"/>
        </w:rPr>
        <w:t>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40" w:lineRule="exact"/>
        <w:rPr>
          <w:sz w:val="20"/>
          <w:szCs w:val="20"/>
          <w:color w:val="auto"/>
        </w:rPr>
      </w:pPr>
    </w:p>
    <w:p>
      <w:pPr>
        <w:ind w:right="40" w:firstLine="365"/>
        <w:spacing w:after="0" w:line="247" w:lineRule="auto"/>
        <w:rPr>
          <w:sz w:val="20"/>
          <w:szCs w:val="20"/>
          <w:color w:val="auto"/>
        </w:rPr>
      </w:pPr>
      <w:r>
        <w:rPr>
          <w:rFonts w:ascii="Arial" w:cs="Arial" w:eastAsia="Arial" w:hAnsi="Arial"/>
          <w:sz w:val="14"/>
          <w:szCs w:val="14"/>
          <w:color w:val="auto"/>
        </w:rPr>
        <w:t>If we cannot make scheduled payments on our indebtedness, we will be in default and holders of the Notes and other indebtedness could declare all outstanding principal and interest to be due and payable, the lenders under a future revolving credit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indenture governing the Notes contain cross-default provisions that could result in the acceleration of all of our indebtedness.</w:t>
      </w:r>
    </w:p>
    <w:p>
      <w:pPr>
        <w:spacing w:after="0" w:line="164" w:lineRule="exact"/>
        <w:rPr>
          <w:sz w:val="20"/>
          <w:szCs w:val="20"/>
          <w:color w:val="auto"/>
        </w:rPr>
      </w:pPr>
    </w:p>
    <w:p>
      <w:pPr>
        <w:ind w:right="60" w:firstLine="365"/>
        <w:spacing w:after="0" w:line="297" w:lineRule="auto"/>
        <w:rPr>
          <w:sz w:val="20"/>
          <w:szCs w:val="20"/>
          <w:color w:val="auto"/>
        </w:rPr>
      </w:pPr>
      <w:r>
        <w:rPr>
          <w:rFonts w:ascii="Arial" w:cs="Arial" w:eastAsia="Arial" w:hAnsi="Arial"/>
          <w:sz w:val="12"/>
          <w:szCs w:val="12"/>
          <w:color w:val="auto"/>
        </w:rPr>
        <w:t>A breach of the covenants under the indenture governing the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a revolving credit facility may permit the lenders thereunder to terminate all commitments to extend further credit under that facility. Furthermore, if we were unable to repay amounts due and payable under a secured credit facility, those lenders could proceed against the collateral granted to them to secure that indebtedness. In the event our note holders accelerate the repayment of our borrowings, we and our guarantors may not have sufficient assets to repay that indebtedness. Additionally, we may not be able to borrow money from other lenders to enable us to refinance our indebtedness.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870" w:right="35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Risks Related to our Acquisitions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1"/>
          <w:szCs w:val="11"/>
          <w:b w:val="1"/>
          <w:bCs w:val="1"/>
          <w:i w:val="1"/>
          <w:iCs w:val="1"/>
          <w:color w:val="auto"/>
        </w:rPr>
        <w:t>We may not realize potential benefits from our recent acquisitions, partnerships and investments because of difficulties related to integration, the achievement of synergies, and other challenges.</w:t>
      </w:r>
    </w:p>
    <w:p>
      <w:pPr>
        <w:spacing w:after="0" w:line="198" w:lineRule="exact"/>
        <w:rPr>
          <w:sz w:val="20"/>
          <w:szCs w:val="20"/>
          <w:color w:val="auto"/>
        </w:rPr>
      </w:pPr>
    </w:p>
    <w:p>
      <w:pPr>
        <w:ind w:firstLine="365"/>
        <w:spacing w:after="0" w:line="164" w:lineRule="exact"/>
        <w:rPr>
          <w:sz w:val="20"/>
          <w:szCs w:val="20"/>
          <w:color w:val="auto"/>
        </w:rPr>
      </w:pPr>
      <w:r>
        <w:rPr>
          <w:rFonts w:ascii="Arial" w:cs="Arial" w:eastAsia="Arial" w:hAnsi="Arial"/>
          <w:sz w:val="12"/>
          <w:szCs w:val="12"/>
          <w:color w:val="auto"/>
        </w:rPr>
        <w:t>We regularly acquire or invest in businesses and technologies that are complementary to our business through acquisitions, partnerships or investments, including several transactions in fiscal year 2021.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w:t>
      </w:r>
      <w:r>
        <w:rPr>
          <w:rFonts w:ascii="MS PGothic" w:cs="MS PGothic" w:eastAsia="MS PGothic" w:hAnsi="MS PGothic"/>
          <w:sz w:val="12"/>
          <w:szCs w:val="12"/>
          <w:color w:val="auto"/>
        </w:rPr>
        <w:t>‑</w:t>
      </w:r>
      <w:r>
        <w:rPr>
          <w:rFonts w:ascii="Arial" w:cs="Arial" w:eastAsia="Arial" w:hAnsi="Arial"/>
          <w:sz w:val="12"/>
          <w:szCs w:val="12"/>
          <w:color w:val="auto"/>
        </w:rPr>
        <w:t>completion process that takes longer than originally anticipated. In addition, the following issues, among others, must be addressed in order to realize the anticipated benefits of our acquisitions, partnerships or investments:</w:t>
      </w:r>
    </w:p>
    <w:p>
      <w:pPr>
        <w:spacing w:after="0" w:line="156" w:lineRule="exact"/>
        <w:rPr>
          <w:sz w:val="20"/>
          <w:szCs w:val="20"/>
          <w:color w:val="auto"/>
        </w:rPr>
      </w:pPr>
    </w:p>
    <w:p>
      <w:pPr>
        <w:ind w:left="720" w:hanging="232"/>
        <w:spacing w:after="0"/>
        <w:tabs>
          <w:tab w:leader="none" w:pos="7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combining the acquired businesses' corporate functions with our corporate functions;</w:t>
      </w:r>
    </w:p>
    <w:p>
      <w:pPr>
        <w:spacing w:after="0" w:line="163" w:lineRule="exact"/>
        <w:rPr>
          <w:rFonts w:ascii="Arial" w:cs="Arial" w:eastAsia="Arial" w:hAnsi="Arial"/>
          <w:sz w:val="14"/>
          <w:szCs w:val="14"/>
          <w:color w:val="auto"/>
        </w:rPr>
      </w:pPr>
    </w:p>
    <w:p>
      <w:pPr>
        <w:ind w:left="740" w:right="520" w:hanging="252"/>
        <w:spacing w:after="0" w:line="259" w:lineRule="auto"/>
        <w:tabs>
          <w:tab w:leader="none" w:pos="736"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combining acquired businesses with our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39" w:lineRule="exact"/>
        <w:rPr>
          <w:rFonts w:ascii="Arial" w:cs="Arial" w:eastAsia="Arial" w:hAnsi="Arial"/>
          <w:sz w:val="14"/>
          <w:szCs w:val="14"/>
          <w:color w:val="auto"/>
        </w:rPr>
      </w:pPr>
    </w:p>
    <w:p>
      <w:pPr>
        <w:ind w:left="740" w:right="500" w:hanging="252"/>
        <w:spacing w:after="0" w:line="259" w:lineRule="auto"/>
        <w:tabs>
          <w:tab w:leader="none" w:pos="736" w:val="left"/>
        </w:tabs>
        <w:numPr>
          <w:ilvl w:val="0"/>
          <w:numId w:val="44"/>
        </w:numPr>
        <w:rPr>
          <w:rFonts w:ascii="Arial" w:cs="Arial" w:eastAsia="Arial" w:hAnsi="Arial"/>
          <w:sz w:val="14"/>
          <w:szCs w:val="14"/>
          <w:color w:val="auto"/>
        </w:rPr>
      </w:pPr>
      <w:r>
        <w:rPr>
          <w:rFonts w:ascii="Arial" w:cs="Arial" w:eastAsia="Arial" w:hAnsi="Arial"/>
          <w:sz w:val="14"/>
          <w:szCs w:val="14"/>
          <w:color w:val="auto"/>
        </w:rPr>
        <w:t>maintaining existing agreements with customers, distributors, providers, talent and vendors and avoiding delays in entering into new agreements with prospective customers, distributors, providers, talent and vendors;</w:t>
      </w:r>
    </w:p>
    <w:p>
      <w:pPr>
        <w:spacing w:after="0" w:line="139" w:lineRule="exact"/>
        <w:rPr>
          <w:rFonts w:ascii="Arial" w:cs="Arial" w:eastAsia="Arial" w:hAnsi="Arial"/>
          <w:sz w:val="14"/>
          <w:szCs w:val="14"/>
          <w:color w:val="auto"/>
        </w:rPr>
      </w:pPr>
    </w:p>
    <w:p>
      <w:pPr>
        <w:ind w:left="720" w:hanging="232"/>
        <w:spacing w:after="0"/>
        <w:tabs>
          <w:tab w:leader="none" w:pos="7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determining whether and how to address possible differences in corporate cultures and management philosophies;</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integrating the companies’ administrative and information technology infrastructure;</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developing products and technology that allow value to be unlocked in the future;</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evaluating and forecasting the financial impact of such acquisitions, partnerships and investments, including accounting charges; and</w:t>
      </w:r>
    </w:p>
    <w:p>
      <w:pPr>
        <w:spacing w:after="0" w:line="163" w:lineRule="exact"/>
        <w:rPr>
          <w:rFonts w:ascii="Arial" w:cs="Arial" w:eastAsia="Arial" w:hAnsi="Arial"/>
          <w:sz w:val="14"/>
          <w:szCs w:val="14"/>
          <w:color w:val="auto"/>
        </w:rPr>
      </w:pPr>
    </w:p>
    <w:p>
      <w:pPr>
        <w:ind w:left="720" w:hanging="232"/>
        <w:spacing w:after="0"/>
        <w:tabs>
          <w:tab w:leader="none" w:pos="7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effecting potential actions that may be required in connection with obtaining regulatory approvals.</w:t>
      </w:r>
    </w:p>
    <w:p>
      <w:pPr>
        <w:spacing w:after="0" w:line="164" w:lineRule="exact"/>
        <w:rPr>
          <w:sz w:val="20"/>
          <w:szCs w:val="20"/>
          <w:color w:val="auto"/>
        </w:rPr>
      </w:pPr>
    </w:p>
    <w:p>
      <w:pPr>
        <w:ind w:right="320" w:firstLine="365"/>
        <w:spacing w:after="0" w:line="168" w:lineRule="exact"/>
        <w:rPr>
          <w:sz w:val="20"/>
          <w:szCs w:val="20"/>
          <w:color w:val="auto"/>
        </w:rPr>
      </w:pPr>
      <w:r>
        <w:rPr>
          <w:rFonts w:ascii="Arial" w:cs="Arial" w:eastAsia="Arial" w:hAnsi="Arial"/>
          <w:sz w:val="14"/>
          <w:szCs w:val="14"/>
          <w:color w:val="auto"/>
        </w:rPr>
        <w:t>In addition, at times the attention of certain members of our management and resources may be focused on integration of the acquired businesses and diverted from day</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day business operations, which may disrupt our ongoing business.</w:t>
      </w:r>
    </w:p>
    <w:p>
      <w:pPr>
        <w:spacing w:after="0" w:line="153" w:lineRule="exact"/>
        <w:rPr>
          <w:sz w:val="20"/>
          <w:szCs w:val="20"/>
          <w:color w:val="auto"/>
        </w:rPr>
      </w:pPr>
    </w:p>
    <w:p>
      <w:pPr>
        <w:jc w:val="both"/>
        <w:ind w:right="80" w:firstLine="365"/>
        <w:spacing w:after="0" w:line="250" w:lineRule="auto"/>
        <w:rPr>
          <w:sz w:val="20"/>
          <w:szCs w:val="20"/>
          <w:color w:val="auto"/>
        </w:rPr>
      </w:pPr>
      <w:r>
        <w:rPr>
          <w:rFonts w:ascii="Arial" w:cs="Arial" w:eastAsia="Arial" w:hAnsi="Arial"/>
          <w:sz w:val="14"/>
          <w:szCs w:val="14"/>
          <w:color w:val="auto"/>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146" w:lineRule="exact"/>
        <w:rPr>
          <w:sz w:val="20"/>
          <w:szCs w:val="20"/>
          <w:color w:val="auto"/>
        </w:rPr>
      </w:pPr>
    </w:p>
    <w:p>
      <w:pPr>
        <w:ind w:right="400" w:firstLine="365"/>
        <w:spacing w:after="0" w:line="259" w:lineRule="auto"/>
        <w:rPr>
          <w:sz w:val="20"/>
          <w:szCs w:val="20"/>
          <w:color w:val="auto"/>
        </w:rPr>
      </w:pPr>
      <w:r>
        <w:rPr>
          <w:rFonts w:ascii="Arial" w:cs="Arial" w:eastAsia="Arial" w:hAnsi="Arial"/>
          <w:sz w:val="14"/>
          <w:szCs w:val="14"/>
          <w:b w:val="1"/>
          <w:bCs w:val="1"/>
          <w:i w:val="1"/>
          <w:iCs w:val="1"/>
          <w:color w:val="auto"/>
        </w:rPr>
        <w:t>Purchase price accounting in connection with our acquisitions requires estimates that may be subject to change and could impact our consolidated financial statements and future results of operations and financial position.</w:t>
      </w:r>
    </w:p>
    <w:p>
      <w:pPr>
        <w:spacing w:after="0" w:line="140" w:lineRule="exact"/>
        <w:rPr>
          <w:sz w:val="20"/>
          <w:szCs w:val="20"/>
          <w:color w:val="auto"/>
        </w:rPr>
      </w:pPr>
    </w:p>
    <w:p>
      <w:pPr>
        <w:ind w:right="180" w:firstLine="365"/>
        <w:spacing w:after="0" w:line="247" w:lineRule="auto"/>
        <w:rPr>
          <w:sz w:val="20"/>
          <w:szCs w:val="20"/>
          <w:color w:val="auto"/>
        </w:rPr>
      </w:pPr>
      <w:r>
        <w:rPr>
          <w:rFonts w:ascii="Arial" w:cs="Arial" w:eastAsia="Arial" w:hAnsi="Arial"/>
          <w:sz w:val="14"/>
          <w:szCs w:val="14"/>
          <w:color w:val="auto"/>
        </w:rPr>
        <w:t>Pursuant to the acquisition method of accounting, the purchase price we pay for our acquired businesses is allocated to the underlying tangible and intangible assets acquired and liabilities assumed based on their respective fair market values with any excess purchase price allocated to goodwill. The acquisition method of accounting is dependent upon certain valuations and other studies that are preliminary. Differences between these preliminary estimates and the final acquisition accounting may occur, and these differences could have a material impact on the consolidated financial statements and the combined company’s future results of operations and financial position.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68" w:right="319" w:bottom="1440" w:gutter="0" w:footer="0" w:header="0"/>
        </w:sectPr>
      </w:pPr>
    </w:p>
    <w:bookmarkStart w:id="71" w:name="page72"/>
    <w:bookmarkEnd w:id="71"/>
    <w:p>
      <w:pPr>
        <w:jc w:val="center"/>
        <w:ind w:left="360"/>
        <w:spacing w:after="0"/>
        <w:rPr>
          <w:sz w:val="20"/>
          <w:szCs w:val="20"/>
          <w:color w:val="auto"/>
        </w:rPr>
      </w:pPr>
      <w:r>
        <w:rPr>
          <w:rFonts w:ascii="Arial" w:cs="Arial" w:eastAsia="Arial" w:hAnsi="Arial"/>
          <w:sz w:val="14"/>
          <w:szCs w:val="14"/>
          <w:b w:val="1"/>
          <w:bCs w:val="1"/>
          <w:color w:val="auto"/>
        </w:rPr>
        <w:t>General Risks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Any legal proceedings or claims against us could be costly and time-consuming to defend and could harm our reputation regardless of the outcome.</w:t>
      </w:r>
    </w:p>
    <w:p>
      <w:pPr>
        <w:spacing w:after="0" w:line="164" w:lineRule="exact"/>
        <w:rPr>
          <w:sz w:val="20"/>
          <w:szCs w:val="20"/>
          <w:color w:val="auto"/>
        </w:rPr>
      </w:pPr>
    </w:p>
    <w:p>
      <w:pPr>
        <w:ind w:right="80" w:firstLine="365"/>
        <w:spacing w:after="0" w:line="302" w:lineRule="auto"/>
        <w:rPr>
          <w:sz w:val="20"/>
          <w:szCs w:val="20"/>
          <w:color w:val="auto"/>
        </w:rPr>
      </w:pPr>
      <w:r>
        <w:rPr>
          <w:rFonts w:ascii="Arial" w:cs="Arial" w:eastAsia="Arial" w:hAnsi="Arial"/>
          <w:sz w:val="12"/>
          <w:szCs w:val="12"/>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p>
    <w:p>
      <w:pPr>
        <w:spacing w:after="0" w:line="117" w:lineRule="exact"/>
        <w:rPr>
          <w:sz w:val="20"/>
          <w:szCs w:val="20"/>
          <w:color w:val="auto"/>
        </w:rPr>
      </w:pPr>
    </w:p>
    <w:p>
      <w:pPr>
        <w:ind w:right="100" w:firstLine="365"/>
        <w:spacing w:after="0" w:line="259" w:lineRule="auto"/>
        <w:rPr>
          <w:sz w:val="20"/>
          <w:szCs w:val="20"/>
          <w:color w:val="auto"/>
        </w:rPr>
      </w:pPr>
      <w:r>
        <w:rPr>
          <w:rFonts w:ascii="Arial" w:cs="Arial" w:eastAsia="Arial" w:hAnsi="Arial"/>
          <w:sz w:val="14"/>
          <w:szCs w:val="14"/>
          <w:b w:val="1"/>
          <w:bCs w:val="1"/>
          <w:i w:val="1"/>
          <w:iCs w:val="1"/>
          <w:color w:val="auto"/>
        </w:rPr>
        <w:t>Unfavorable conditions in our industry or the global economy or reductions in spending on information technology and communications could adversely affect our business, results of operations and financial condition.</w:t>
      </w:r>
    </w:p>
    <w:p>
      <w:pPr>
        <w:spacing w:after="0" w:line="140" w:lineRule="exact"/>
        <w:rPr>
          <w:sz w:val="20"/>
          <w:szCs w:val="20"/>
          <w:color w:val="auto"/>
        </w:rPr>
      </w:pPr>
    </w:p>
    <w:p>
      <w:pPr>
        <w:ind w:firstLine="365"/>
        <w:spacing w:after="0" w:line="289" w:lineRule="auto"/>
        <w:rPr>
          <w:sz w:val="20"/>
          <w:szCs w:val="20"/>
          <w:color w:val="auto"/>
        </w:rPr>
      </w:pPr>
      <w:r>
        <w:rPr>
          <w:rFonts w:ascii="Arial" w:cs="Arial" w:eastAsia="Arial" w:hAnsi="Arial"/>
          <w:sz w:val="12"/>
          <w:szCs w:val="12"/>
          <w:color w:val="auto"/>
        </w:rPr>
        <w:t>Our results of operations may vary based on the impact of changes in our industry or the global economy on our customers. Our results of operations depend in part on demand for information technology and cloud communications. In addition, our revenue is dependent on the usage of our products, which in turn is influenced by the scale of business that our customers are conducting. To the extent that weak or volatile economic conditions, including due to the COVID-19 pandemic, labor shortages, supply chain disruptions and inflation, geopolitical developments, such as the war in Ukraine and the implementation of, or changes to or further expansions of, trade sanctions, export restrictions, tariffs, and embargoes, and other events outside of our control, result in a reduced volume of business for, and communications by, our customers and prospective customers, demand for, and use of, our products may decline. Furthermore, weak economic conditions may make it more difficult to collect on outstanding accounts receivable and increase our expenses. Additionally, we generate a portion of our revenue from small and medium-sized businesses, which may be affected by economic downturns and other adverse macroeconomic conditions to a greater extent than enterprises, and typically have more limited financial resources, including capital borrowing capacity, than enterprises. If our customers reduce their use of our products, or prospective customers delay adoption or elect not to adopt our products, as a result of a weak economy or rising inflation and increased costs, this could adversely affect our business, results of operations and financial condition.</w:t>
      </w:r>
    </w:p>
    <w:p>
      <w:pPr>
        <w:spacing w:after="0" w:line="128" w:lineRule="exact"/>
        <w:rPr>
          <w:sz w:val="20"/>
          <w:szCs w:val="20"/>
          <w:color w:val="auto"/>
        </w:rPr>
      </w:pPr>
    </w:p>
    <w:p>
      <w:pPr>
        <w:ind w:right="140" w:firstLine="365"/>
        <w:spacing w:after="0" w:line="259" w:lineRule="auto"/>
        <w:rPr>
          <w:sz w:val="20"/>
          <w:szCs w:val="20"/>
          <w:color w:val="auto"/>
        </w:rPr>
      </w:pPr>
      <w:r>
        <w:rPr>
          <w:rFonts w:ascii="Arial" w:cs="Arial" w:eastAsia="Arial" w:hAnsi="Arial"/>
          <w:sz w:val="14"/>
          <w:szCs w:val="14"/>
          <w:b w:val="1"/>
          <w:bCs w:val="1"/>
          <w:i w:val="1"/>
          <w:iCs w:val="1"/>
          <w:color w:val="auto"/>
        </w:rPr>
        <w:t>Our business is subject to the risks of pandemics, earthquakes, fire, floods and other natural catastrophic events, and to interruption by man-made problems such as power disruptions, computer viruses, data security breaches, terrorism or war.</w:t>
      </w:r>
    </w:p>
    <w:p>
      <w:pPr>
        <w:spacing w:after="0" w:line="140" w:lineRule="exact"/>
        <w:rPr>
          <w:sz w:val="20"/>
          <w:szCs w:val="20"/>
          <w:color w:val="auto"/>
        </w:rPr>
      </w:pPr>
    </w:p>
    <w:p>
      <w:pPr>
        <w:ind w:right="60" w:firstLine="365"/>
        <w:spacing w:after="0" w:line="294" w:lineRule="auto"/>
        <w:rPr>
          <w:sz w:val="20"/>
          <w:szCs w:val="20"/>
          <w:color w:val="auto"/>
        </w:rPr>
      </w:pPr>
      <w:r>
        <w:rPr>
          <w:rFonts w:ascii="Arial" w:cs="Arial" w:eastAsia="Arial" w:hAnsi="Arial"/>
          <w:sz w:val="12"/>
          <w:szCs w:val="12"/>
          <w:color w:val="auto"/>
        </w:rPr>
        <w:t>Our business operations are subject to interruption by natural disasters, flooding, fire, power shortages, public health epidemics or pandemics such as COVID-19,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such as the war in Ukraine, could cause disruptions in our or our customers’ businesses, national economies or the world economy as a whole.</w:t>
      </w:r>
    </w:p>
    <w:p>
      <w:pPr>
        <w:spacing w:after="0" w:line="122" w:lineRule="exact"/>
        <w:rPr>
          <w:sz w:val="20"/>
          <w:szCs w:val="20"/>
          <w:color w:val="auto"/>
        </w:rPr>
      </w:pPr>
    </w:p>
    <w:p>
      <w:pPr>
        <w:ind w:right="80" w:firstLine="365"/>
        <w:spacing w:after="0" w:line="247" w:lineRule="auto"/>
        <w:rPr>
          <w:sz w:val="20"/>
          <w:szCs w:val="20"/>
          <w:color w:val="auto"/>
        </w:rPr>
      </w:pPr>
      <w:r>
        <w:rPr>
          <w:rFonts w:ascii="Arial" w:cs="Arial" w:eastAsia="Arial" w:hAnsi="Arial"/>
          <w:sz w:val="14"/>
          <w:szCs w:val="14"/>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49" w:lineRule="exact"/>
        <w:rPr>
          <w:sz w:val="20"/>
          <w:szCs w:val="20"/>
          <w:color w:val="auto"/>
        </w:rPr>
      </w:pPr>
    </w:p>
    <w:p>
      <w:pPr>
        <w:ind w:right="120" w:firstLine="365"/>
        <w:spacing w:after="0" w:line="297" w:lineRule="auto"/>
        <w:rPr>
          <w:sz w:val="20"/>
          <w:szCs w:val="20"/>
          <w:color w:val="auto"/>
        </w:rPr>
      </w:pPr>
      <w:r>
        <w:rPr>
          <w:rFonts w:ascii="Arial" w:cs="Arial" w:eastAsia="Arial" w:hAnsi="Arial"/>
          <w:sz w:val="12"/>
          <w:szCs w:val="12"/>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users may harm our reputation and our ability to retain existing users and attract new users.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68" w:right="319" w:bottom="1440" w:gutter="0" w:footer="0" w:header="0"/>
        </w:sectPr>
      </w:pPr>
    </w:p>
    <w:bookmarkStart w:id="72" w:name="page73"/>
    <w:bookmarkEnd w:id="72"/>
    <w:p>
      <w:pPr>
        <w:ind w:left="360"/>
        <w:spacing w:after="0"/>
        <w:rPr>
          <w:sz w:val="20"/>
          <w:szCs w:val="20"/>
          <w:color w:val="auto"/>
        </w:rPr>
      </w:pPr>
      <w:r>
        <w:rPr>
          <w:rFonts w:ascii="Arial" w:cs="Arial" w:eastAsia="Arial" w:hAnsi="Arial"/>
          <w:sz w:val="14"/>
          <w:szCs w:val="14"/>
          <w:b w:val="1"/>
          <w:bCs w:val="1"/>
          <w:i w:val="1"/>
          <w:iCs w:val="1"/>
          <w:color w:val="auto"/>
        </w:rPr>
        <w:t>Climate change may have an impact on our business.</w:t>
      </w:r>
    </w:p>
    <w:p>
      <w:pPr>
        <w:spacing w:after="0" w:line="164" w:lineRule="exact"/>
        <w:rPr>
          <w:sz w:val="20"/>
          <w:szCs w:val="20"/>
          <w:color w:val="auto"/>
        </w:rPr>
      </w:pPr>
    </w:p>
    <w:p>
      <w:pPr>
        <w:ind w:firstLine="365"/>
        <w:spacing w:after="0" w:line="294" w:lineRule="auto"/>
        <w:rPr>
          <w:sz w:val="20"/>
          <w:szCs w:val="20"/>
          <w:color w:val="auto"/>
        </w:rPr>
      </w:pPr>
      <w:r>
        <w:rPr>
          <w:rFonts w:ascii="Arial" w:cs="Arial" w:eastAsia="Arial" w:hAnsi="Arial"/>
          <w:sz w:val="12"/>
          <w:szCs w:val="12"/>
          <w:color w:val="auto"/>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and domestic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expect to be subject to increased regulations, reporting requirements, standards or expectations regarding the environmental impacts of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Unregistered Sales of Equity Securities and Use of Proceeds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Unregistered Sales of Equity Securities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5. </w:t>
      </w:r>
      <w:r>
        <w:rPr>
          <w:rFonts w:ascii="Arial" w:cs="Arial" w:eastAsia="Arial" w:hAnsi="Arial"/>
          <w:sz w:val="14"/>
          <w:szCs w:val="14"/>
          <w:b w:val="1"/>
          <w:bCs w:val="1"/>
          <w:i w:val="1"/>
          <w:iCs w:val="1"/>
          <w:color w:val="auto"/>
        </w:rPr>
        <w:t>Other Information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870" w:right="359" w:bottom="1440" w:gutter="0" w:footer="0" w:header="0"/>
        </w:sectPr>
      </w:pPr>
    </w:p>
    <w:bookmarkStart w:id="73" w:name="page74"/>
    <w:bookmarkEnd w:id="73"/>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1"/>
          <w:szCs w:val="11"/>
          <w:b w:val="1"/>
          <w:bCs w:val="1"/>
          <w:i w:val="1"/>
          <w:iCs w:val="1"/>
          <w:color w:val="auto"/>
        </w:rPr>
        <w:t>Exhibits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documents listed in the Exhibit Index of this Quarterly Report on Form 10-Q are incorporated by reference or are filed with this Quarterly Report on Form 10-Q, in each case as indicated therein.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7"/>
          </w:tcPr>
          <w:p>
            <w:pPr>
              <w:spacing w:after="0"/>
              <w:rPr>
                <w:sz w:val="20"/>
                <w:szCs w:val="20"/>
                <w:color w:val="auto"/>
              </w:rPr>
            </w:pPr>
            <w:r>
              <w:rPr>
                <w:rFonts w:ascii="Arial" w:cs="Arial" w:eastAsia="Arial" w:hAnsi="Arial"/>
                <w:sz w:val="11"/>
                <w:szCs w:val="11"/>
                <w:b w:val="1"/>
                <w:bCs w:val="1"/>
                <w:color w:val="auto"/>
              </w:rPr>
              <w:t>EXHIBIT INDEX</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67"/>
        </w:trPr>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680"/>
              <w:spacing w:after="0"/>
              <w:rPr>
                <w:sz w:val="20"/>
                <w:szCs w:val="20"/>
                <w:color w:val="auto"/>
              </w:rPr>
            </w:pPr>
            <w:r>
              <w:rPr>
                <w:rFonts w:ascii="Arial" w:cs="Arial" w:eastAsia="Arial" w:hAnsi="Arial"/>
                <w:sz w:val="11"/>
                <w:szCs w:val="11"/>
                <w:b w:val="1"/>
                <w:bCs w:val="1"/>
                <w:color w:val="auto"/>
              </w:rPr>
              <w:t>Incorporated by Reference</w:t>
            </w:r>
          </w:p>
        </w:tc>
        <w:tc>
          <w:tcPr>
            <w:tcW w:w="1320" w:type="dxa"/>
            <w:vAlign w:val="bottom"/>
            <w:tcBorders>
              <w:bottom w:val="single" w:sz="8" w:color="auto"/>
            </w:tcBorders>
          </w:tcPr>
          <w:p>
            <w:pPr>
              <w:spacing w:after="0"/>
              <w:rPr>
                <w:sz w:val="14"/>
                <w:szCs w:val="14"/>
                <w:color w:val="auto"/>
              </w:rPr>
            </w:pPr>
          </w:p>
        </w:tc>
      </w:tr>
      <w:tr>
        <w:trPr>
          <w:trHeight w:val="146"/>
        </w:trPr>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gridSpan w:val="9"/>
          </w:tcPr>
          <w:p>
            <w:pPr>
              <w:ind w:left="120"/>
              <w:spacing w:after="0"/>
              <w:rPr>
                <w:sz w:val="20"/>
                <w:szCs w:val="20"/>
                <w:color w:val="auto"/>
              </w:rPr>
            </w:pPr>
            <w:r>
              <w:rPr>
                <w:rFonts w:ascii="Arial" w:cs="Arial" w:eastAsia="Arial" w:hAnsi="Arial"/>
                <w:sz w:val="11"/>
                <w:szCs w:val="11"/>
                <w:b w:val="1"/>
                <w:bCs w:val="1"/>
                <w:color w:val="auto"/>
              </w:rPr>
              <w:t>Description</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Form</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File No.</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Exhibit</w:t>
            </w:r>
          </w:p>
        </w:tc>
        <w:tc>
          <w:tcPr>
            <w:tcW w:w="80" w:type="dxa"/>
            <w:vAlign w:val="bottom"/>
          </w:tcPr>
          <w:p>
            <w:pPr>
              <w:spacing w:after="0"/>
              <w:rPr>
                <w:sz w:val="12"/>
                <w:szCs w:val="1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Filing Date</w:t>
            </w:r>
          </w:p>
        </w:tc>
      </w:tr>
      <w:tr>
        <w:trPr>
          <w:trHeight w:val="133"/>
        </w:trPr>
        <w:tc>
          <w:tcPr>
            <w:tcW w:w="1000" w:type="dxa"/>
            <w:vAlign w:val="bottom"/>
          </w:tcPr>
          <w:p>
            <w:pPr>
              <w:ind w:left="20"/>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tcBorders>
              <w:bottom w:val="single" w:sz="8" w:color="0000FF"/>
            </w:tcBorders>
            <w:gridSpan w:val="2"/>
          </w:tcPr>
          <w:p>
            <w:pPr>
              <w:spacing w:after="0"/>
              <w:rPr>
                <w:rFonts w:ascii="Arial" w:cs="Arial" w:eastAsia="Arial" w:hAnsi="Arial"/>
                <w:sz w:val="11"/>
                <w:szCs w:val="11"/>
                <w:color w:val="0000FF"/>
                <w:w w:val="91"/>
              </w:rPr>
            </w:pPr>
            <w:hyperlink w:anchor="page75">
              <w:r>
                <w:rPr>
                  <w:rFonts w:ascii="Arial" w:cs="Arial" w:eastAsia="Arial" w:hAnsi="Arial"/>
                  <w:sz w:val="11"/>
                  <w:szCs w:val="11"/>
                  <w:color w:val="0000FF"/>
                  <w:w w:val="91"/>
                </w:rPr>
                <w:t>Offer letter with Elena Donio dated April 28, 2022</w:t>
              </w:r>
            </w:hyperlink>
          </w:p>
        </w:tc>
        <w:tc>
          <w:tcPr>
            <w:tcW w:w="3100" w:type="dxa"/>
            <w:vAlign w:val="bottom"/>
            <w:gridSpan w:val="10"/>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0"/>
              </w:rPr>
              <w:t>Filed herewith</w:t>
            </w:r>
          </w:p>
        </w:tc>
      </w:tr>
      <w:tr>
        <w:trPr>
          <w:trHeight w:val="163"/>
        </w:trPr>
        <w:tc>
          <w:tcPr>
            <w:tcW w:w="1000" w:type="dxa"/>
            <w:vAlign w:val="bottom"/>
          </w:tcPr>
          <w:p>
            <w:pPr>
              <w:ind w:left="20"/>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gridSpan w:val="12"/>
          </w:tcPr>
          <w:p>
            <w:pPr>
              <w:spacing w:after="0"/>
              <w:rPr>
                <w:rFonts w:ascii="Arial" w:cs="Arial" w:eastAsia="Arial" w:hAnsi="Arial"/>
                <w:sz w:val="11"/>
                <w:szCs w:val="11"/>
                <w:color w:val="0000FF"/>
                <w:w w:val="91"/>
              </w:rPr>
            </w:pPr>
            <w:hyperlink r:id="rId89">
              <w:r>
                <w:rPr>
                  <w:rFonts w:ascii="Arial" w:cs="Arial" w:eastAsia="Arial" w:hAnsi="Arial"/>
                  <w:sz w:val="11"/>
                  <w:szCs w:val="11"/>
                  <w:color w:val="0000FF"/>
                  <w:w w:val="91"/>
                </w:rPr>
                <w:t>Amendment No. 2 to the Framework Agreement by and among Twilio Inc., a Delaware corporation, Carlyle Partners V</w:t>
              </w:r>
            </w:hyperlink>
          </w:p>
        </w:tc>
        <w:tc>
          <w:tcPr>
            <w:tcW w:w="11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8-K</w:t>
            </w:r>
          </w:p>
        </w:tc>
        <w:tc>
          <w:tcPr>
            <w:tcW w:w="1200" w:type="dxa"/>
            <w:vAlign w:val="bottom"/>
          </w:tcPr>
          <w:p>
            <w:pPr>
              <w:jc w:val="right"/>
              <w:ind w:right="326"/>
              <w:spacing w:after="0"/>
              <w:rPr>
                <w:sz w:val="20"/>
                <w:szCs w:val="20"/>
                <w:color w:val="auto"/>
              </w:rPr>
            </w:pPr>
            <w:r>
              <w:rPr>
                <w:rFonts w:ascii="Arial" w:cs="Arial" w:eastAsia="Arial" w:hAnsi="Arial"/>
                <w:sz w:val="11"/>
                <w:szCs w:val="11"/>
                <w:color w:val="auto"/>
              </w:rPr>
              <w:t>001-37806</w:t>
            </w:r>
          </w:p>
        </w:tc>
        <w:tc>
          <w:tcPr>
            <w:tcW w:w="100" w:type="dxa"/>
            <w:vAlign w:val="bottom"/>
          </w:tcPr>
          <w:p>
            <w:pPr>
              <w:spacing w:after="0"/>
              <w:rPr>
                <w:sz w:val="14"/>
                <w:szCs w:val="14"/>
                <w:color w:val="auto"/>
              </w:rPr>
            </w:pPr>
          </w:p>
        </w:tc>
        <w:tc>
          <w:tcPr>
            <w:tcW w:w="1040" w:type="dxa"/>
            <w:vAlign w:val="bottom"/>
          </w:tcPr>
          <w:p>
            <w:pPr>
              <w:jc w:val="right"/>
              <w:ind w:right="406"/>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89"/>
              </w:rPr>
              <w:t>May 16, 2022</w:t>
            </w:r>
          </w:p>
        </w:tc>
      </w:tr>
      <w:tr>
        <w:trPr>
          <w:trHeight w:val="81"/>
        </w:trPr>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180" w:type="dxa"/>
            <w:vAlign w:val="bottom"/>
            <w:tcBorders>
              <w:top w:val="single" w:sz="8" w:color="0000FF"/>
            </w:tcBorders>
            <w:gridSpan w:val="10"/>
          </w:tcPr>
          <w:p>
            <w:pPr>
              <w:spacing w:after="0" w:line="82" w:lineRule="exact"/>
              <w:rPr>
                <w:rFonts w:ascii="Arial" w:cs="Arial" w:eastAsia="Arial" w:hAnsi="Arial"/>
                <w:sz w:val="9"/>
                <w:szCs w:val="9"/>
                <w:color w:val="0000FF"/>
              </w:rPr>
            </w:pPr>
            <w:hyperlink r:id="rId89">
              <w:r>
                <w:rPr>
                  <w:rFonts w:ascii="Arial" w:cs="Arial" w:eastAsia="Arial" w:hAnsi="Arial"/>
                  <w:sz w:val="9"/>
                  <w:szCs w:val="9"/>
                  <w:color w:val="0000FF"/>
                </w:rPr>
                <w:t>Holdings, L.P., a Delaware limited partnership, and Syniverse Corporation, a Delaware corporation, dated May 13,</w:t>
              </w:r>
            </w:hyperlink>
          </w:p>
        </w:tc>
        <w:tc>
          <w:tcPr>
            <w:tcW w:w="120" w:type="dxa"/>
            <w:vAlign w:val="bottom"/>
            <w:gridSpan w:val="2"/>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81"/>
        </w:trPr>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top w:val="single" w:sz="8" w:color="0000FF"/>
              <w:bottom w:val="single" w:sz="8" w:color="0000FF"/>
            </w:tcBorders>
          </w:tcPr>
          <w:p>
            <w:pPr>
              <w:spacing w:after="0" w:line="82" w:lineRule="exact"/>
              <w:rPr>
                <w:rFonts w:ascii="Arial" w:cs="Arial" w:eastAsia="Arial" w:hAnsi="Arial"/>
                <w:sz w:val="9"/>
                <w:szCs w:val="9"/>
                <w:color w:val="0000FF"/>
                <w:w w:val="97"/>
              </w:rPr>
            </w:pPr>
            <w:hyperlink r:id="rId89">
              <w:r>
                <w:rPr>
                  <w:rFonts w:ascii="Arial" w:cs="Arial" w:eastAsia="Arial" w:hAnsi="Arial"/>
                  <w:sz w:val="9"/>
                  <w:szCs w:val="9"/>
                  <w:color w:val="0000FF"/>
                  <w:w w:val="97"/>
                </w:rPr>
                <w:t>2022.</w:t>
              </w:r>
            </w:hyperlink>
          </w:p>
        </w:tc>
        <w:tc>
          <w:tcPr>
            <w:tcW w:w="1960" w:type="dxa"/>
            <w:vAlign w:val="bottom"/>
            <w:tcBorders>
              <w:top w:val="single" w:sz="8" w:color="0000FF"/>
            </w:tcBorders>
          </w:tcPr>
          <w:p>
            <w:pPr>
              <w:spacing w:after="0"/>
              <w:rPr>
                <w:sz w:val="7"/>
                <w:szCs w:val="7"/>
                <w:color w:val="auto"/>
              </w:rPr>
            </w:pPr>
          </w:p>
        </w:tc>
        <w:tc>
          <w:tcPr>
            <w:tcW w:w="360" w:type="dxa"/>
            <w:vAlign w:val="bottom"/>
            <w:tcBorders>
              <w:top w:val="single" w:sz="8" w:color="0000FF"/>
            </w:tcBorders>
          </w:tcPr>
          <w:p>
            <w:pPr>
              <w:spacing w:after="0"/>
              <w:rPr>
                <w:sz w:val="7"/>
                <w:szCs w:val="7"/>
                <w:color w:val="auto"/>
              </w:rPr>
            </w:pPr>
          </w:p>
        </w:tc>
        <w:tc>
          <w:tcPr>
            <w:tcW w:w="960" w:type="dxa"/>
            <w:vAlign w:val="bottom"/>
            <w:tcBorders>
              <w:top w:val="single" w:sz="8" w:color="0000FF"/>
            </w:tcBorders>
          </w:tcPr>
          <w:p>
            <w:pPr>
              <w:spacing w:after="0"/>
              <w:rPr>
                <w:sz w:val="7"/>
                <w:szCs w:val="7"/>
                <w:color w:val="auto"/>
              </w:rPr>
            </w:pPr>
          </w:p>
        </w:tc>
        <w:tc>
          <w:tcPr>
            <w:tcW w:w="6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122"/>
        </w:trPr>
        <w:tc>
          <w:tcPr>
            <w:tcW w:w="1000" w:type="dxa"/>
            <w:vAlign w:val="bottom"/>
          </w:tcPr>
          <w:p>
            <w:pPr>
              <w:ind w:left="20"/>
              <w:spacing w:after="0" w:line="122" w:lineRule="exact"/>
              <w:rPr>
                <w:sz w:val="20"/>
                <w:szCs w:val="20"/>
                <w:color w:val="auto"/>
              </w:rPr>
            </w:pPr>
            <w:r>
              <w:rPr>
                <w:rFonts w:ascii="Arial" w:cs="Arial" w:eastAsia="Arial" w:hAnsi="Arial"/>
                <w:sz w:val="11"/>
                <w:szCs w:val="11"/>
                <w:color w:val="auto"/>
              </w:rPr>
              <w:t>31.1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00" w:type="dxa"/>
            <w:vAlign w:val="bottom"/>
            <w:gridSpan w:val="12"/>
          </w:tcPr>
          <w:p>
            <w:pPr>
              <w:spacing w:after="0" w:line="122" w:lineRule="exact"/>
              <w:rPr>
                <w:rFonts w:ascii="Arial" w:cs="Arial" w:eastAsia="Arial" w:hAnsi="Arial"/>
                <w:sz w:val="11"/>
                <w:szCs w:val="11"/>
                <w:color w:val="0000FF"/>
                <w:w w:val="98"/>
              </w:rPr>
            </w:pPr>
            <w:hyperlink w:anchor="page79">
              <w:r>
                <w:rPr>
                  <w:rFonts w:ascii="Arial" w:cs="Arial" w:eastAsia="Arial" w:hAnsi="Arial"/>
                  <w:sz w:val="11"/>
                  <w:szCs w:val="11"/>
                  <w:color w:val="0000FF"/>
                  <w:w w:val="98"/>
                </w:rPr>
                <w:t>Certification of the Chief Executive Officer pursuant to Exchange Act Rules 13a-14(a) or 15d-14(a), as adopted</w:t>
              </w:r>
            </w:hyperlink>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center"/>
              <w:spacing w:after="0" w:line="122" w:lineRule="exact"/>
              <w:rPr>
                <w:sz w:val="20"/>
                <w:szCs w:val="20"/>
                <w:color w:val="auto"/>
              </w:rPr>
            </w:pPr>
            <w:r>
              <w:rPr>
                <w:rFonts w:ascii="Arial" w:cs="Arial" w:eastAsia="Arial" w:hAnsi="Arial"/>
                <w:sz w:val="11"/>
                <w:szCs w:val="11"/>
                <w:color w:val="auto"/>
                <w:w w:val="90"/>
              </w:rPr>
              <w:t>Filed herewith</w:t>
            </w:r>
          </w:p>
        </w:tc>
      </w:tr>
      <w:tr>
        <w:trPr>
          <w:trHeight w:val="81"/>
        </w:trPr>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40" w:type="dxa"/>
            <w:vAlign w:val="bottom"/>
            <w:tcBorders>
              <w:top w:val="single" w:sz="8" w:color="0000FF"/>
            </w:tcBorders>
            <w:gridSpan w:val="6"/>
          </w:tcPr>
          <w:p>
            <w:pPr>
              <w:spacing w:after="0" w:line="82" w:lineRule="exact"/>
              <w:rPr>
                <w:rFonts w:ascii="Arial" w:cs="Arial" w:eastAsia="Arial" w:hAnsi="Arial"/>
                <w:sz w:val="9"/>
                <w:szCs w:val="9"/>
                <w:color w:val="0000FF"/>
              </w:rPr>
            </w:pPr>
            <w:hyperlink w:anchor="page79">
              <w:r>
                <w:rPr>
                  <w:rFonts w:ascii="Arial" w:cs="Arial" w:eastAsia="Arial" w:hAnsi="Arial"/>
                  <w:sz w:val="9"/>
                  <w:szCs w:val="9"/>
                  <w:color w:val="0000FF"/>
                </w:rPr>
                <w:t>pursuant to Section 302 of the Sarbanes-Oxley Act of 2002</w:t>
              </w:r>
            </w:hyperlink>
          </w:p>
        </w:tc>
        <w:tc>
          <w:tcPr>
            <w:tcW w:w="60" w:type="dxa"/>
            <w:vAlign w:val="bottom"/>
          </w:tcPr>
          <w:p>
            <w:pPr>
              <w:spacing w:after="0"/>
              <w:rPr>
                <w:sz w:val="7"/>
                <w:szCs w:val="7"/>
                <w:color w:val="auto"/>
              </w:rPr>
            </w:pPr>
          </w:p>
        </w:tc>
        <w:tc>
          <w:tcPr>
            <w:tcW w:w="220" w:type="dxa"/>
            <w:vAlign w:val="bottom"/>
            <w:gridSpan w:val="2"/>
          </w:tcPr>
          <w:p>
            <w:pPr>
              <w:spacing w:after="0"/>
              <w:rPr>
                <w:sz w:val="7"/>
                <w:szCs w:val="7"/>
                <w:color w:val="auto"/>
              </w:rPr>
            </w:pPr>
          </w:p>
        </w:tc>
        <w:tc>
          <w:tcPr>
            <w:tcW w:w="180" w:type="dxa"/>
            <w:vAlign w:val="bottom"/>
            <w:gridSpan w:val="3"/>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63"/>
        </w:trPr>
        <w:tc>
          <w:tcPr>
            <w:tcW w:w="1000" w:type="dxa"/>
            <w:vAlign w:val="bottom"/>
          </w:tcPr>
          <w:p>
            <w:pPr>
              <w:ind w:left="20"/>
              <w:spacing w:after="0"/>
              <w:rPr>
                <w:sz w:val="20"/>
                <w:szCs w:val="20"/>
                <w:color w:val="auto"/>
              </w:rPr>
            </w:pPr>
            <w:r>
              <w:rPr>
                <w:rFonts w:ascii="Arial" w:cs="Arial" w:eastAsia="Arial" w:hAnsi="Arial"/>
                <w:sz w:val="11"/>
                <w:szCs w:val="11"/>
                <w:color w:val="auto"/>
              </w:rPr>
              <w:t>31.2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gridSpan w:val="12"/>
          </w:tcPr>
          <w:p>
            <w:pPr>
              <w:spacing w:after="0"/>
              <w:rPr>
                <w:rFonts w:ascii="Arial" w:cs="Arial" w:eastAsia="Arial" w:hAnsi="Arial"/>
                <w:sz w:val="11"/>
                <w:szCs w:val="11"/>
                <w:color w:val="0000FF"/>
                <w:w w:val="93"/>
              </w:rPr>
            </w:pPr>
            <w:hyperlink w:anchor="page80">
              <w:r>
                <w:rPr>
                  <w:rFonts w:ascii="Arial" w:cs="Arial" w:eastAsia="Arial" w:hAnsi="Arial"/>
                  <w:sz w:val="11"/>
                  <w:szCs w:val="11"/>
                  <w:color w:val="0000FF"/>
                  <w:w w:val="93"/>
                </w:rPr>
                <w:t>Certification of the Chief Operating Officer (Principal Financial Officer) pursuant to Exchange Act Rules 13a-14(a) or</w:t>
              </w:r>
            </w:hyperlink>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0"/>
              </w:rPr>
              <w:t>Filed herewith</w:t>
            </w:r>
          </w:p>
        </w:tc>
      </w:tr>
      <w:tr>
        <w:trPr>
          <w:trHeight w:val="81"/>
        </w:trPr>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120" w:type="dxa"/>
            <w:vAlign w:val="bottom"/>
            <w:tcBorders>
              <w:top w:val="single" w:sz="8" w:color="0000FF"/>
            </w:tcBorders>
            <w:gridSpan w:val="9"/>
          </w:tcPr>
          <w:p>
            <w:pPr>
              <w:spacing w:after="0" w:line="82" w:lineRule="exact"/>
              <w:rPr>
                <w:rFonts w:ascii="Arial" w:cs="Arial" w:eastAsia="Arial" w:hAnsi="Arial"/>
                <w:sz w:val="9"/>
                <w:szCs w:val="9"/>
                <w:color w:val="0000FF"/>
              </w:rPr>
            </w:pPr>
            <w:hyperlink w:anchor="page80">
              <w:r>
                <w:rPr>
                  <w:rFonts w:ascii="Arial" w:cs="Arial" w:eastAsia="Arial" w:hAnsi="Arial"/>
                  <w:sz w:val="9"/>
                  <w:szCs w:val="9"/>
                  <w:color w:val="0000FF"/>
                </w:rPr>
                <w:t>15d-14(a), as adopted pursuant to Section 302 of the Sarbanes-Oxley Act of 2002</w:t>
              </w:r>
            </w:hyperlink>
          </w:p>
        </w:tc>
        <w:tc>
          <w:tcPr>
            <w:tcW w:w="180" w:type="dxa"/>
            <w:vAlign w:val="bottom"/>
            <w:gridSpan w:val="3"/>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63"/>
        </w:trPr>
        <w:tc>
          <w:tcPr>
            <w:tcW w:w="1000" w:type="dxa"/>
            <w:vAlign w:val="bottom"/>
          </w:tcPr>
          <w:p>
            <w:pPr>
              <w:ind w:left="20"/>
              <w:spacing w:after="0"/>
              <w:rPr>
                <w:sz w:val="20"/>
                <w:szCs w:val="20"/>
                <w:color w:val="auto"/>
              </w:rPr>
            </w:pPr>
            <w:r>
              <w:rPr>
                <w:rFonts w:ascii="Arial" w:cs="Arial" w:eastAsia="Arial" w:hAnsi="Arial"/>
                <w:sz w:val="11"/>
                <w:szCs w:val="11"/>
                <w:color w:val="auto"/>
              </w:rPr>
              <w:t>32.1*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gridSpan w:val="12"/>
          </w:tcPr>
          <w:p>
            <w:pPr>
              <w:spacing w:after="0"/>
              <w:rPr>
                <w:rFonts w:ascii="Arial" w:cs="Arial" w:eastAsia="Arial" w:hAnsi="Arial"/>
                <w:sz w:val="11"/>
                <w:szCs w:val="11"/>
                <w:color w:val="0000FF"/>
                <w:w w:val="98"/>
              </w:rPr>
            </w:pPr>
            <w:hyperlink w:anchor="page81">
              <w:r>
                <w:rPr>
                  <w:rFonts w:ascii="Arial" w:cs="Arial" w:eastAsia="Arial" w:hAnsi="Arial"/>
                  <w:sz w:val="11"/>
                  <w:szCs w:val="11"/>
                  <w:color w:val="0000FF"/>
                  <w:w w:val="98"/>
                </w:rPr>
                <w:t>Certification of the Chief Executive Officer and Chief Operating Officer (Principal Financial Officer) pursuant to</w:t>
              </w:r>
            </w:hyperlink>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89"/>
              </w:rPr>
              <w:t>Furnished herewith</w:t>
            </w:r>
          </w:p>
        </w:tc>
      </w:tr>
      <w:tr>
        <w:trPr>
          <w:trHeight w:val="81"/>
        </w:trPr>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900" w:type="dxa"/>
            <w:vAlign w:val="bottom"/>
            <w:tcBorders>
              <w:top w:val="single" w:sz="8" w:color="0000FF"/>
            </w:tcBorders>
            <w:gridSpan w:val="7"/>
          </w:tcPr>
          <w:p>
            <w:pPr>
              <w:spacing w:after="0" w:line="82" w:lineRule="exact"/>
              <w:rPr>
                <w:rFonts w:ascii="Arial" w:cs="Arial" w:eastAsia="Arial" w:hAnsi="Arial"/>
                <w:sz w:val="9"/>
                <w:szCs w:val="9"/>
                <w:color w:val="0000FF"/>
              </w:rPr>
            </w:pPr>
            <w:hyperlink w:anchor="page81">
              <w:r>
                <w:rPr>
                  <w:rFonts w:ascii="Arial" w:cs="Arial" w:eastAsia="Arial" w:hAnsi="Arial"/>
                  <w:sz w:val="9"/>
                  <w:szCs w:val="9"/>
                  <w:color w:val="0000FF"/>
                </w:rPr>
                <w:t>18 U.S.C. Section 1350, as adopted pursuant to Section 906 of the Sarbanes-Oxley Act of 2002</w:t>
              </w:r>
            </w:hyperlink>
          </w:p>
        </w:tc>
        <w:tc>
          <w:tcPr>
            <w:tcW w:w="400" w:type="dxa"/>
            <w:vAlign w:val="bottom"/>
            <w:gridSpan w:val="5"/>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3"/>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101.INS</w:t>
            </w:r>
          </w:p>
        </w:tc>
        <w:tc>
          <w:tcPr>
            <w:tcW w:w="20" w:type="dxa"/>
            <w:vAlign w:val="bottom"/>
          </w:tcPr>
          <w:p>
            <w:pPr>
              <w:spacing w:after="0"/>
              <w:rPr>
                <w:sz w:val="13"/>
                <w:szCs w:val="13"/>
                <w:color w:val="auto"/>
              </w:rPr>
            </w:pPr>
          </w:p>
        </w:tc>
        <w:tc>
          <w:tcPr>
            <w:tcW w:w="5300" w:type="dxa"/>
            <w:vAlign w:val="bottom"/>
            <w:gridSpan w:val="12"/>
          </w:tcPr>
          <w:p>
            <w:pPr>
              <w:spacing w:after="0"/>
              <w:rPr>
                <w:sz w:val="20"/>
                <w:szCs w:val="20"/>
                <w:color w:val="auto"/>
              </w:rPr>
            </w:pPr>
            <w:r>
              <w:rPr>
                <w:rFonts w:ascii="Arial" w:cs="Arial" w:eastAsia="Arial" w:hAnsi="Arial"/>
                <w:sz w:val="11"/>
                <w:szCs w:val="11"/>
                <w:color w:val="auto"/>
                <w:w w:val="96"/>
              </w:rPr>
              <w:t>Inline XBRL Instance Document - the instance document does not appear in the Interactive Data File because its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0"/>
              </w:rPr>
              <w:t>Filed herewith</w:t>
            </w:r>
          </w:p>
        </w:tc>
      </w:tr>
      <w:tr>
        <w:trPr>
          <w:trHeight w:val="136"/>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00" w:type="dxa"/>
            <w:vAlign w:val="bottom"/>
            <w:gridSpan w:val="12"/>
          </w:tcPr>
          <w:p>
            <w:pPr>
              <w:spacing w:after="0"/>
              <w:rPr>
                <w:sz w:val="20"/>
                <w:szCs w:val="20"/>
                <w:color w:val="auto"/>
              </w:rPr>
            </w:pPr>
            <w:r>
              <w:rPr>
                <w:rFonts w:ascii="Arial" w:cs="Arial" w:eastAsia="Arial" w:hAnsi="Arial"/>
                <w:sz w:val="11"/>
                <w:szCs w:val="11"/>
                <w:color w:val="auto"/>
              </w:rPr>
              <w:t>XBRL tags are embedded within the Inline XBRL document</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80"/>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101.SCH</w:t>
            </w:r>
          </w:p>
        </w:tc>
        <w:tc>
          <w:tcPr>
            <w:tcW w:w="20" w:type="dxa"/>
            <w:vAlign w:val="bottom"/>
          </w:tcPr>
          <w:p>
            <w:pPr>
              <w:spacing w:after="0"/>
              <w:rPr>
                <w:sz w:val="15"/>
                <w:szCs w:val="15"/>
                <w:color w:val="auto"/>
              </w:rPr>
            </w:pPr>
          </w:p>
        </w:tc>
        <w:tc>
          <w:tcPr>
            <w:tcW w:w="5300" w:type="dxa"/>
            <w:vAlign w:val="bottom"/>
            <w:gridSpan w:val="12"/>
          </w:tcPr>
          <w:p>
            <w:pPr>
              <w:spacing w:after="0"/>
              <w:rPr>
                <w:sz w:val="20"/>
                <w:szCs w:val="20"/>
                <w:color w:val="auto"/>
              </w:rPr>
            </w:pPr>
            <w:r>
              <w:rPr>
                <w:rFonts w:ascii="Arial" w:cs="Arial" w:eastAsia="Arial" w:hAnsi="Arial"/>
                <w:sz w:val="11"/>
                <w:szCs w:val="11"/>
                <w:color w:val="auto"/>
              </w:rPr>
              <w:t>Inline XBRL Taxonomy Extension Schema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0"/>
              </w:rPr>
              <w:t>Filed herewith</w:t>
            </w:r>
          </w:p>
        </w:tc>
      </w:tr>
      <w:tr>
        <w:trPr>
          <w:trHeight w:val="183"/>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101.CAL</w:t>
            </w:r>
          </w:p>
        </w:tc>
        <w:tc>
          <w:tcPr>
            <w:tcW w:w="20" w:type="dxa"/>
            <w:vAlign w:val="bottom"/>
          </w:tcPr>
          <w:p>
            <w:pPr>
              <w:spacing w:after="0"/>
              <w:rPr>
                <w:sz w:val="15"/>
                <w:szCs w:val="15"/>
                <w:color w:val="auto"/>
              </w:rPr>
            </w:pPr>
          </w:p>
        </w:tc>
        <w:tc>
          <w:tcPr>
            <w:tcW w:w="5300" w:type="dxa"/>
            <w:vAlign w:val="bottom"/>
            <w:gridSpan w:val="12"/>
          </w:tcPr>
          <w:p>
            <w:pPr>
              <w:spacing w:after="0"/>
              <w:rPr>
                <w:sz w:val="20"/>
                <w:szCs w:val="20"/>
                <w:color w:val="auto"/>
              </w:rPr>
            </w:pPr>
            <w:r>
              <w:rPr>
                <w:rFonts w:ascii="Arial" w:cs="Arial" w:eastAsia="Arial" w:hAnsi="Arial"/>
                <w:sz w:val="11"/>
                <w:szCs w:val="11"/>
                <w:color w:val="auto"/>
              </w:rPr>
              <w:t>Inline XBRL Taxonomy Extension Calculation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0"/>
              </w:rPr>
              <w:t>Filed herewith</w:t>
            </w:r>
          </w:p>
        </w:tc>
      </w:tr>
      <w:tr>
        <w:trPr>
          <w:trHeight w:val="183"/>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101.DEF</w:t>
            </w:r>
          </w:p>
        </w:tc>
        <w:tc>
          <w:tcPr>
            <w:tcW w:w="20" w:type="dxa"/>
            <w:vAlign w:val="bottom"/>
          </w:tcPr>
          <w:p>
            <w:pPr>
              <w:spacing w:after="0"/>
              <w:rPr>
                <w:sz w:val="15"/>
                <w:szCs w:val="15"/>
                <w:color w:val="auto"/>
              </w:rPr>
            </w:pPr>
          </w:p>
        </w:tc>
        <w:tc>
          <w:tcPr>
            <w:tcW w:w="5300" w:type="dxa"/>
            <w:vAlign w:val="bottom"/>
            <w:gridSpan w:val="12"/>
          </w:tcPr>
          <w:p>
            <w:pPr>
              <w:spacing w:after="0"/>
              <w:rPr>
                <w:sz w:val="20"/>
                <w:szCs w:val="20"/>
                <w:color w:val="auto"/>
              </w:rPr>
            </w:pPr>
            <w:r>
              <w:rPr>
                <w:rFonts w:ascii="Arial" w:cs="Arial" w:eastAsia="Arial" w:hAnsi="Arial"/>
                <w:sz w:val="11"/>
                <w:szCs w:val="11"/>
                <w:color w:val="auto"/>
              </w:rPr>
              <w:t>Inline XBRL Taxonomy Extension Definition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0"/>
              </w:rPr>
              <w:t>Filed herewith</w:t>
            </w:r>
          </w:p>
        </w:tc>
      </w:tr>
      <w:tr>
        <w:trPr>
          <w:trHeight w:val="183"/>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101.LAB</w:t>
            </w:r>
          </w:p>
        </w:tc>
        <w:tc>
          <w:tcPr>
            <w:tcW w:w="20" w:type="dxa"/>
            <w:vAlign w:val="bottom"/>
          </w:tcPr>
          <w:p>
            <w:pPr>
              <w:spacing w:after="0"/>
              <w:rPr>
                <w:sz w:val="15"/>
                <w:szCs w:val="15"/>
                <w:color w:val="auto"/>
              </w:rPr>
            </w:pPr>
          </w:p>
        </w:tc>
        <w:tc>
          <w:tcPr>
            <w:tcW w:w="5300" w:type="dxa"/>
            <w:vAlign w:val="bottom"/>
            <w:gridSpan w:val="12"/>
          </w:tcPr>
          <w:p>
            <w:pPr>
              <w:spacing w:after="0"/>
              <w:rPr>
                <w:sz w:val="20"/>
                <w:szCs w:val="20"/>
                <w:color w:val="auto"/>
              </w:rPr>
            </w:pPr>
            <w:r>
              <w:rPr>
                <w:rFonts w:ascii="Arial" w:cs="Arial" w:eastAsia="Arial" w:hAnsi="Arial"/>
                <w:sz w:val="11"/>
                <w:szCs w:val="11"/>
                <w:color w:val="auto"/>
              </w:rPr>
              <w:t>XBRL Taxonomy Extension Label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0"/>
              </w:rPr>
              <w:t>Filed herewith</w:t>
            </w:r>
          </w:p>
        </w:tc>
      </w:tr>
      <w:tr>
        <w:trPr>
          <w:trHeight w:val="183"/>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101.PRE</w:t>
            </w:r>
          </w:p>
        </w:tc>
        <w:tc>
          <w:tcPr>
            <w:tcW w:w="20" w:type="dxa"/>
            <w:vAlign w:val="bottom"/>
          </w:tcPr>
          <w:p>
            <w:pPr>
              <w:spacing w:after="0"/>
              <w:rPr>
                <w:sz w:val="15"/>
                <w:szCs w:val="15"/>
                <w:color w:val="auto"/>
              </w:rPr>
            </w:pPr>
          </w:p>
        </w:tc>
        <w:tc>
          <w:tcPr>
            <w:tcW w:w="5300" w:type="dxa"/>
            <w:vAlign w:val="bottom"/>
            <w:gridSpan w:val="12"/>
          </w:tcPr>
          <w:p>
            <w:pPr>
              <w:spacing w:after="0"/>
              <w:rPr>
                <w:sz w:val="20"/>
                <w:szCs w:val="20"/>
                <w:color w:val="auto"/>
              </w:rPr>
            </w:pPr>
            <w:r>
              <w:rPr>
                <w:rFonts w:ascii="Arial" w:cs="Arial" w:eastAsia="Arial" w:hAnsi="Arial"/>
                <w:sz w:val="11"/>
                <w:szCs w:val="11"/>
                <w:color w:val="auto"/>
              </w:rPr>
              <w:t>Inline XBRL Taxonomy Extension Presentation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0"/>
              </w:rPr>
              <w:t>Filed herewith</w:t>
            </w:r>
          </w:p>
        </w:tc>
      </w:tr>
    </w:tbl>
    <w:p>
      <w:pPr>
        <w:spacing w:after="0" w:line="46" w:lineRule="exact"/>
        <w:rPr>
          <w:sz w:val="20"/>
          <w:szCs w:val="20"/>
          <w:color w:val="auto"/>
        </w:rPr>
      </w:pPr>
    </w:p>
    <w:p>
      <w:pPr>
        <w:ind w:left="1100" w:right="5220" w:hanging="1085"/>
        <w:spacing w:after="0" w:line="225" w:lineRule="auto"/>
        <w:tabs>
          <w:tab w:leader="none" w:pos="11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Cover Page with Interactive Data File (formatted as Inline XBRL with applicable taxonomy extension information contained in Exhibits 101)</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__________________________________________</w:t>
      </w:r>
    </w:p>
    <w:p>
      <w:pPr>
        <w:spacing w:after="0" w:line="9" w:lineRule="exact"/>
        <w:rPr>
          <w:sz w:val="20"/>
          <w:szCs w:val="20"/>
          <w:color w:val="auto"/>
        </w:rPr>
      </w:pPr>
    </w:p>
    <w:p>
      <w:pPr>
        <w:ind w:left="480" w:right="140" w:hanging="479"/>
        <w:spacing w:after="0" w:line="237" w:lineRule="auto"/>
        <w:tabs>
          <w:tab w:leader="none" w:pos="153"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66" w:lineRule="exact"/>
        <w:rPr>
          <w:sz w:val="20"/>
          <w:szCs w:val="20"/>
          <w:color w:val="auto"/>
        </w:rPr>
      </w:pPr>
    </w:p>
    <w:p>
      <w:pPr>
        <w:ind w:right="80" w:firstLine="304"/>
        <w:spacing w:after="0" w:line="259"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68"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Twilio Inc.</w:t>
      </w:r>
    </w:p>
    <w:p>
      <w:pPr>
        <w:spacing w:after="0" w:line="217" w:lineRule="exact"/>
        <w:rPr>
          <w:sz w:val="20"/>
          <w:szCs w:val="20"/>
          <w:color w:val="auto"/>
        </w:rPr>
      </w:pPr>
    </w:p>
    <w:p>
      <w:pPr>
        <w:ind w:left="1040"/>
        <w:spacing w:after="0"/>
        <w:tabs>
          <w:tab w:leader="none" w:pos="7980" w:val="left"/>
        </w:tabs>
        <w:rPr>
          <w:sz w:val="20"/>
          <w:szCs w:val="20"/>
          <w:color w:val="auto"/>
        </w:rPr>
      </w:pPr>
      <w:r>
        <w:rPr>
          <w:rFonts w:ascii="Arial" w:cs="Arial" w:eastAsia="Arial" w:hAnsi="Arial"/>
          <w:sz w:val="14"/>
          <w:szCs w:val="14"/>
          <w:color w:val="auto"/>
        </w:rPr>
        <w:t>August 5, 2022</w:t>
      </w:r>
      <w:r>
        <w:rPr>
          <w:sz w:val="20"/>
          <w:szCs w:val="20"/>
          <w:color w:val="auto"/>
        </w:rPr>
        <w:tab/>
      </w:r>
      <w:r>
        <w:rPr>
          <w:rFonts w:ascii="Arial" w:cs="Arial" w:eastAsia="Arial" w:hAnsi="Arial"/>
          <w:sz w:val="12"/>
          <w:szCs w:val="12"/>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319024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190240" cy="6350"/>
                    </a:xfrm>
                    <a:prstGeom prst="rect">
                      <a:avLst/>
                    </a:prstGeom>
                    <a:noFill/>
                  </pic:spPr>
                </pic:pic>
              </a:graphicData>
            </a:graphic>
          </wp:anchor>
        </w:drawing>
      </w:r>
    </w:p>
    <w:p>
      <w:pPr>
        <w:jc w:val="center"/>
        <w:ind w:left="5740"/>
        <w:spacing w:after="0"/>
        <w:rPr>
          <w:sz w:val="20"/>
          <w:szCs w:val="20"/>
          <w:color w:val="auto"/>
        </w:rPr>
      </w:pPr>
      <w:r>
        <w:rPr>
          <w:rFonts w:ascii="Arial" w:cs="Arial" w:eastAsia="Arial" w:hAnsi="Arial"/>
          <w:sz w:val="14"/>
          <w:szCs w:val="14"/>
          <w:color w:val="auto"/>
        </w:rPr>
        <w:t>Jeff Lawson</w:t>
      </w:r>
    </w:p>
    <w:p>
      <w:pPr>
        <w:jc w:val="center"/>
        <w:ind w:left="5740"/>
        <w:spacing w:after="0"/>
        <w:rPr>
          <w:sz w:val="20"/>
          <w:szCs w:val="20"/>
          <w:color w:val="auto"/>
        </w:rPr>
      </w:pPr>
      <w:r>
        <w:rPr>
          <w:rFonts w:ascii="Arial" w:cs="Arial" w:eastAsia="Arial" w:hAnsi="Arial"/>
          <w:sz w:val="14"/>
          <w:szCs w:val="14"/>
          <w:i w:val="1"/>
          <w:iCs w:val="1"/>
          <w:color w:val="auto"/>
        </w:rPr>
        <w:t>Director and Chief Executive Officer (Principal Executive Officer)</w:t>
      </w:r>
    </w:p>
    <w:p>
      <w:pPr>
        <w:spacing w:after="0" w:line="162" w:lineRule="exact"/>
        <w:rPr>
          <w:sz w:val="20"/>
          <w:szCs w:val="20"/>
          <w:color w:val="auto"/>
        </w:rPr>
      </w:pPr>
    </w:p>
    <w:p>
      <w:pPr>
        <w:ind w:left="1040"/>
        <w:spacing w:after="0"/>
        <w:tabs>
          <w:tab w:leader="none" w:pos="7480" w:val="left"/>
        </w:tabs>
        <w:rPr>
          <w:sz w:val="20"/>
          <w:szCs w:val="20"/>
          <w:color w:val="auto"/>
        </w:rPr>
      </w:pPr>
      <w:r>
        <w:rPr>
          <w:rFonts w:ascii="Arial" w:cs="Arial" w:eastAsia="Arial" w:hAnsi="Arial"/>
          <w:sz w:val="14"/>
          <w:szCs w:val="14"/>
          <w:color w:val="auto"/>
        </w:rPr>
        <w:t>August 5, 2022</w:t>
      </w:r>
      <w:r>
        <w:rPr>
          <w:sz w:val="20"/>
          <w:szCs w:val="20"/>
          <w:color w:val="auto"/>
        </w:rPr>
        <w:tab/>
      </w:r>
      <w:r>
        <w:rPr>
          <w:rFonts w:ascii="Arial" w:cs="Arial" w:eastAsia="Arial" w:hAnsi="Arial"/>
          <w:sz w:val="12"/>
          <w:szCs w:val="12"/>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319024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190240" cy="6350"/>
                    </a:xfrm>
                    <a:prstGeom prst="rect">
                      <a:avLst/>
                    </a:prstGeom>
                    <a:noFill/>
                  </pic:spPr>
                </pic:pic>
              </a:graphicData>
            </a:graphic>
          </wp:anchor>
        </w:drawing>
      </w:r>
    </w:p>
    <w:p>
      <w:pPr>
        <w:jc w:val="center"/>
        <w:ind w:left="5740"/>
        <w:spacing w:after="0"/>
        <w:rPr>
          <w:sz w:val="20"/>
          <w:szCs w:val="20"/>
          <w:color w:val="auto"/>
        </w:rPr>
      </w:pPr>
      <w:r>
        <w:rPr>
          <w:rFonts w:ascii="Arial" w:cs="Arial" w:eastAsia="Arial" w:hAnsi="Arial"/>
          <w:sz w:val="14"/>
          <w:szCs w:val="14"/>
          <w:color w:val="auto"/>
        </w:rPr>
        <w:t>Khozema Z. Shipchandler</w:t>
      </w:r>
    </w:p>
    <w:p>
      <w:pPr>
        <w:jc w:val="center"/>
        <w:ind w:left="5740"/>
        <w:spacing w:after="0"/>
        <w:rPr>
          <w:sz w:val="20"/>
          <w:szCs w:val="20"/>
          <w:color w:val="auto"/>
        </w:rPr>
      </w:pPr>
      <w:r>
        <w:rPr>
          <w:rFonts w:ascii="Arial" w:cs="Arial" w:eastAsia="Arial" w:hAnsi="Arial"/>
          <w:sz w:val="14"/>
          <w:szCs w:val="14"/>
          <w:i w:val="1"/>
          <w:iCs w:val="1"/>
          <w:color w:val="auto"/>
        </w:rPr>
        <w:t>Chief Operating Officer (Principal Accounting and Financial Officer)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868" w:right="319" w:bottom="1440" w:gutter="0" w:footer="0" w:header="0"/>
        </w:sectPr>
      </w:pPr>
    </w:p>
    <w:bookmarkStart w:id="74" w:name="page75"/>
    <w:bookmarkEnd w:id="74"/>
    <w:p>
      <w:pPr>
        <w:ind w:left="10580"/>
        <w:spacing w:after="0"/>
        <w:rPr>
          <w:sz w:val="20"/>
          <w:szCs w:val="20"/>
          <w:color w:val="auto"/>
        </w:rPr>
      </w:pPr>
      <w:r>
        <w:rPr>
          <w:rFonts w:ascii="Arial" w:cs="Arial" w:eastAsia="Arial" w:hAnsi="Arial"/>
          <w:sz w:val="12"/>
          <w:szCs w:val="1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263015" cy="3803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63015" cy="38036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April 28</w:t>
      </w:r>
      <w:r>
        <w:rPr>
          <w:rFonts w:ascii="Arial" w:cs="Arial" w:eastAsia="Arial" w:hAnsi="Arial"/>
          <w:sz w:val="17"/>
          <w:szCs w:val="17"/>
          <w:color w:val="auto"/>
          <w:vertAlign w:val="superscript"/>
        </w:rPr>
        <w:t>th</w:t>
      </w:r>
      <w:r>
        <w:rPr>
          <w:rFonts w:ascii="Arial" w:cs="Arial" w:eastAsia="Arial" w:hAnsi="Arial"/>
          <w:sz w:val="14"/>
          <w:szCs w:val="14"/>
          <w:color w:val="auto"/>
        </w:rPr>
        <w:t>, 2022</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Dear Elena,</w:t>
      </w:r>
    </w:p>
    <w:p>
      <w:pPr>
        <w:spacing w:after="0" w:line="129" w:lineRule="exact"/>
        <w:rPr>
          <w:sz w:val="20"/>
          <w:szCs w:val="20"/>
          <w:color w:val="auto"/>
        </w:rPr>
      </w:pPr>
    </w:p>
    <w:p>
      <w:pPr>
        <w:ind w:firstLine="487"/>
        <w:spacing w:after="0" w:line="333" w:lineRule="auto"/>
        <w:rPr>
          <w:sz w:val="20"/>
          <w:szCs w:val="20"/>
          <w:color w:val="auto"/>
        </w:rPr>
      </w:pPr>
      <w:r>
        <w:rPr>
          <w:rFonts w:ascii="Arial" w:cs="Arial" w:eastAsia="Arial" w:hAnsi="Arial"/>
          <w:sz w:val="12"/>
          <w:szCs w:val="12"/>
          <w:color w:val="auto"/>
        </w:rPr>
        <w:t>On behalf of Twilio Inc., a Delaware corporation (the “</w:t>
      </w:r>
      <w:r>
        <w:rPr>
          <w:rFonts w:ascii="Arial" w:cs="Arial" w:eastAsia="Arial" w:hAnsi="Arial"/>
          <w:sz w:val="12"/>
          <w:szCs w:val="12"/>
          <w:i w:val="1"/>
          <w:iCs w:val="1"/>
          <w:u w:val="single" w:color="auto"/>
          <w:color w:val="auto"/>
        </w:rPr>
        <w:t>Company</w:t>
      </w:r>
      <w:r>
        <w:rPr>
          <w:rFonts w:ascii="Arial" w:cs="Arial" w:eastAsia="Arial" w:hAnsi="Arial"/>
          <w:sz w:val="12"/>
          <w:szCs w:val="12"/>
          <w:color w:val="auto"/>
        </w:rPr>
        <w:t xml:space="preserve">”), I am pleased to oﬀer you the position of </w:t>
      </w:r>
      <w:r>
        <w:rPr>
          <w:rFonts w:ascii="Arial" w:cs="Arial" w:eastAsia="Arial" w:hAnsi="Arial"/>
          <w:sz w:val="12"/>
          <w:szCs w:val="12"/>
          <w:b w:val="1"/>
          <w:bCs w:val="1"/>
          <w:color w:val="auto"/>
        </w:rPr>
        <w:t>President of Revenue</w:t>
      </w:r>
      <w:r>
        <w:rPr>
          <w:rFonts w:ascii="Arial" w:cs="Arial" w:eastAsia="Arial" w:hAnsi="Arial"/>
          <w:sz w:val="12"/>
          <w:szCs w:val="12"/>
          <w:color w:val="auto"/>
        </w:rPr>
        <w:t xml:space="preserve"> with the Company, conditional upon your passing a background check pursuant to applicable law and upon your ability to demonstrate your authorization to work in the United States. The terms of your new position with the Company are as set forth below.</w:t>
      </w:r>
    </w:p>
    <w:p>
      <w:pPr>
        <w:spacing w:after="0" w:line="87" w:lineRule="exact"/>
        <w:rPr>
          <w:sz w:val="20"/>
          <w:szCs w:val="20"/>
          <w:color w:val="auto"/>
        </w:rPr>
      </w:pPr>
    </w:p>
    <w:p>
      <w:pPr>
        <w:ind w:firstLine="488"/>
        <w:spacing w:after="0" w:line="162" w:lineRule="exact"/>
        <w:tabs>
          <w:tab w:leader="none" w:pos="974" w:val="left"/>
        </w:tabs>
        <w:numPr>
          <w:ilvl w:val="0"/>
          <w:numId w:val="47"/>
        </w:numPr>
        <w:rPr>
          <w:rFonts w:ascii="Arial" w:cs="Arial" w:eastAsia="Arial" w:hAnsi="Arial"/>
          <w:sz w:val="12"/>
          <w:szCs w:val="12"/>
          <w:color w:val="auto"/>
        </w:rPr>
      </w:pPr>
      <w:r>
        <w:rPr>
          <w:rFonts w:ascii="Arial" w:cs="Arial" w:eastAsia="Arial" w:hAnsi="Arial"/>
          <w:sz w:val="12"/>
          <w:szCs w:val="12"/>
          <w:b w:val="1"/>
          <w:bCs w:val="1"/>
          <w:u w:val="single" w:color="auto"/>
          <w:color w:val="auto"/>
        </w:rPr>
        <w:t>Position</w:t>
      </w:r>
      <w:r>
        <w:rPr>
          <w:rFonts w:ascii="Arial" w:cs="Arial" w:eastAsia="Arial" w:hAnsi="Arial"/>
          <w:sz w:val="12"/>
          <w:szCs w:val="12"/>
          <w:color w:val="auto"/>
        </w:rPr>
        <w:t>. As</w:t>
      </w:r>
      <w:r>
        <w:rPr>
          <w:rFonts w:ascii="Arial" w:cs="Arial" w:eastAsia="Arial" w:hAnsi="Arial"/>
          <w:sz w:val="12"/>
          <w:szCs w:val="12"/>
          <w:b w:val="1"/>
          <w:bCs w:val="1"/>
          <w:color w:val="auto"/>
        </w:rPr>
        <w:t xml:space="preserve"> President of Revenue</w:t>
      </w:r>
      <w:r>
        <w:rPr>
          <w:rFonts w:ascii="Arial" w:cs="Arial" w:eastAsia="Arial" w:hAnsi="Arial"/>
          <w:sz w:val="12"/>
          <w:szCs w:val="12"/>
          <w:color w:val="auto"/>
        </w:rPr>
        <w:t>, this role is eligible to be fully remote in accordance with Twilio policies, but you will make yourself available to work from the Company’s</w:t>
      </w:r>
      <w:r>
        <w:rPr>
          <w:rFonts w:ascii="Arial" w:cs="Arial" w:eastAsia="Arial" w:hAnsi="Arial"/>
          <w:sz w:val="12"/>
          <w:szCs w:val="12"/>
          <w:b w:val="1"/>
          <w:bCs w:val="1"/>
          <w:color w:val="auto"/>
        </w:rPr>
        <w:t xml:space="preserve"> San Francisco </w:t>
      </w:r>
      <w:r>
        <w:rPr>
          <w:rFonts w:ascii="Arial" w:cs="Arial" w:eastAsia="Arial" w:hAnsi="Arial"/>
          <w:sz w:val="12"/>
          <w:szCs w:val="12"/>
          <w:color w:val="auto"/>
        </w:rPr>
        <w:t>oﬃce as needed. This role is classi</w:t>
      </w:r>
      <w:r>
        <w:rPr>
          <w:rFonts w:ascii="Arial Unicode MS" w:cs="Arial Unicode MS" w:eastAsia="Arial Unicode MS" w:hAnsi="Arial Unicode MS"/>
          <w:sz w:val="12"/>
          <w:szCs w:val="12"/>
          <w:color w:val="auto"/>
        </w:rPr>
        <w:t></w:t>
      </w:r>
      <w:r>
        <w:rPr>
          <w:rFonts w:ascii="Arial" w:cs="Arial" w:eastAsia="Arial" w:hAnsi="Arial"/>
          <w:sz w:val="12"/>
          <w:szCs w:val="12"/>
          <w:color w:val="auto"/>
        </w:rPr>
        <w:t>ed as exempt from overtime rules. The Company reserves the right to modify your job duties from time to time at its sole discretion.</w:t>
      </w:r>
    </w:p>
    <w:p>
      <w:pPr>
        <w:spacing w:after="0" w:line="124" w:lineRule="exact"/>
        <w:rPr>
          <w:rFonts w:ascii="Arial" w:cs="Arial" w:eastAsia="Arial" w:hAnsi="Arial"/>
          <w:sz w:val="12"/>
          <w:szCs w:val="12"/>
          <w:color w:val="auto"/>
        </w:rPr>
      </w:pPr>
    </w:p>
    <w:p>
      <w:pPr>
        <w:ind w:firstLine="488"/>
        <w:spacing w:after="0" w:line="154" w:lineRule="exact"/>
        <w:tabs>
          <w:tab w:leader="none" w:pos="974" w:val="left"/>
        </w:tabs>
        <w:numPr>
          <w:ilvl w:val="0"/>
          <w:numId w:val="47"/>
        </w:numPr>
        <w:rPr>
          <w:rFonts w:ascii="Arial" w:cs="Arial" w:eastAsia="Arial" w:hAnsi="Arial"/>
          <w:sz w:val="14"/>
          <w:szCs w:val="14"/>
          <w:color w:val="auto"/>
        </w:rPr>
      </w:pPr>
      <w:r>
        <w:rPr>
          <w:rFonts w:ascii="Arial" w:cs="Arial" w:eastAsia="Arial" w:hAnsi="Arial"/>
          <w:sz w:val="14"/>
          <w:szCs w:val="14"/>
          <w:b w:val="1"/>
          <w:bCs w:val="1"/>
          <w:u w:val="single" w:color="auto"/>
          <w:color w:val="auto"/>
        </w:rPr>
        <w:t>Start Date</w:t>
      </w:r>
      <w:r>
        <w:rPr>
          <w:rFonts w:ascii="Arial" w:cs="Arial" w:eastAsia="Arial" w:hAnsi="Arial"/>
          <w:sz w:val="14"/>
          <w:szCs w:val="14"/>
          <w:color w:val="auto"/>
        </w:rPr>
        <w:t>. Subject to the ful</w:t>
      </w:r>
      <w:r>
        <w:rPr>
          <w:rFonts w:ascii="Arial Unicode MS" w:cs="Arial Unicode MS" w:eastAsia="Arial Unicode MS" w:hAnsi="Arial Unicode MS"/>
          <w:sz w:val="14"/>
          <w:szCs w:val="14"/>
          <w:color w:val="auto"/>
        </w:rPr>
        <w:t></w:t>
      </w:r>
      <w:r>
        <w:rPr>
          <w:rFonts w:ascii="Arial" w:cs="Arial" w:eastAsia="Arial" w:hAnsi="Arial"/>
          <w:sz w:val="14"/>
          <w:szCs w:val="14"/>
          <w:color w:val="auto"/>
        </w:rPr>
        <w:t>llment of any conditions imposed by this letter agreement and unless otherwise agreed upon, your employment with the Company is anticipated to start on</w:t>
      </w:r>
      <w:r>
        <w:rPr>
          <w:rFonts w:ascii="Arial" w:cs="Arial" w:eastAsia="Arial" w:hAnsi="Arial"/>
          <w:sz w:val="14"/>
          <w:szCs w:val="14"/>
          <w:b w:val="1"/>
          <w:bCs w:val="1"/>
          <w:color w:val="auto"/>
        </w:rPr>
        <w:t xml:space="preserve"> May 4, 2022 </w:t>
      </w:r>
      <w:r>
        <w:rPr>
          <w:rFonts w:ascii="Arial" w:cs="Arial" w:eastAsia="Arial" w:hAnsi="Arial"/>
          <w:sz w:val="14"/>
          <w:szCs w:val="14"/>
          <w:color w:val="auto"/>
        </w:rPr>
        <w:t>(the “</w:t>
      </w:r>
      <w:r>
        <w:rPr>
          <w:rFonts w:ascii="Arial" w:cs="Arial" w:eastAsia="Arial" w:hAnsi="Arial"/>
          <w:sz w:val="14"/>
          <w:szCs w:val="14"/>
          <w:i w:val="1"/>
          <w:iCs w:val="1"/>
          <w:u w:val="single" w:color="auto"/>
          <w:color w:val="auto"/>
        </w:rPr>
        <w:t>Start Date</w:t>
      </w:r>
      <w:r>
        <w:rPr>
          <w:rFonts w:ascii="Arial" w:cs="Arial" w:eastAsia="Arial" w:hAnsi="Arial"/>
          <w:sz w:val="14"/>
          <w:szCs w:val="14"/>
          <w:color w:val="auto"/>
        </w:rPr>
        <w:t>”).</w:t>
      </w:r>
    </w:p>
    <w:p>
      <w:pPr>
        <w:spacing w:after="0" w:line="140" w:lineRule="exact"/>
        <w:rPr>
          <w:rFonts w:ascii="Arial" w:cs="Arial" w:eastAsia="Arial" w:hAnsi="Arial"/>
          <w:sz w:val="14"/>
          <w:szCs w:val="14"/>
          <w:color w:val="auto"/>
        </w:rPr>
      </w:pPr>
    </w:p>
    <w:p>
      <w:pPr>
        <w:ind w:firstLine="488"/>
        <w:spacing w:after="0" w:line="293" w:lineRule="auto"/>
        <w:tabs>
          <w:tab w:leader="none" w:pos="974" w:val="left"/>
        </w:tabs>
        <w:numPr>
          <w:ilvl w:val="0"/>
          <w:numId w:val="47"/>
        </w:numPr>
        <w:rPr>
          <w:rFonts w:ascii="Arial" w:cs="Arial" w:eastAsia="Arial" w:hAnsi="Arial"/>
          <w:sz w:val="12"/>
          <w:szCs w:val="12"/>
          <w:color w:val="auto"/>
        </w:rPr>
      </w:pPr>
      <w:r>
        <w:rPr>
          <w:rFonts w:ascii="Arial" w:cs="Arial" w:eastAsia="Arial" w:hAnsi="Arial"/>
          <w:sz w:val="12"/>
          <w:szCs w:val="12"/>
          <w:b w:val="1"/>
          <w:bCs w:val="1"/>
          <w:u w:val="single" w:color="auto"/>
          <w:color w:val="auto"/>
        </w:rPr>
        <w:t>Proof of Right to Work</w:t>
      </w:r>
      <w:r>
        <w:rPr>
          <w:rFonts w:ascii="Arial" w:cs="Arial" w:eastAsia="Arial" w:hAnsi="Arial"/>
          <w:sz w:val="12"/>
          <w:szCs w:val="12"/>
          <w:color w:val="auto"/>
        </w:rPr>
        <w:t>. For purposes of federal immigration law, you will be required to provide to the Company documentary evidence of your identity and eligibility for employment in</w:t>
      </w:r>
      <w:r>
        <w:rPr>
          <w:rFonts w:ascii="Arial" w:cs="Arial" w:eastAsia="Arial" w:hAnsi="Arial"/>
          <w:sz w:val="12"/>
          <w:szCs w:val="12"/>
          <w:b w:val="1"/>
          <w:bCs w:val="1"/>
          <w:color w:val="auto"/>
        </w:rPr>
        <w:t xml:space="preserve"> </w:t>
      </w:r>
      <w:r>
        <w:rPr>
          <w:rFonts w:ascii="Arial" w:cs="Arial" w:eastAsia="Arial" w:hAnsi="Arial"/>
          <w:sz w:val="12"/>
          <w:szCs w:val="12"/>
          <w:color w:val="auto"/>
        </w:rPr>
        <w:t>the United States. Such documentation must be provided to us within three (3) business days of your Start Date or our employment relationship with you may be terminated.</w:t>
      </w:r>
    </w:p>
    <w:p>
      <w:pPr>
        <w:spacing w:after="0" w:line="86" w:lineRule="exact"/>
        <w:rPr>
          <w:rFonts w:ascii="Arial" w:cs="Arial" w:eastAsia="Arial" w:hAnsi="Arial"/>
          <w:sz w:val="12"/>
          <w:szCs w:val="12"/>
          <w:color w:val="auto"/>
        </w:rPr>
      </w:pPr>
    </w:p>
    <w:p>
      <w:pPr>
        <w:ind w:firstLine="488"/>
        <w:spacing w:after="0" w:line="251" w:lineRule="auto"/>
        <w:tabs>
          <w:tab w:leader="none" w:pos="974" w:val="left"/>
        </w:tabs>
        <w:numPr>
          <w:ilvl w:val="0"/>
          <w:numId w:val="47"/>
        </w:numPr>
        <w:rPr>
          <w:rFonts w:ascii="Arial" w:cs="Arial" w:eastAsia="Arial" w:hAnsi="Arial"/>
          <w:sz w:val="14"/>
          <w:szCs w:val="14"/>
          <w:color w:val="auto"/>
        </w:rPr>
      </w:pPr>
      <w:r>
        <w:rPr>
          <w:rFonts w:ascii="Arial" w:cs="Arial" w:eastAsia="Arial" w:hAnsi="Arial"/>
          <w:sz w:val="14"/>
          <w:szCs w:val="14"/>
          <w:b w:val="1"/>
          <w:bCs w:val="1"/>
          <w:u w:val="single" w:color="auto"/>
          <w:color w:val="auto"/>
        </w:rPr>
        <w:t>Proof of Vaccination</w:t>
      </w:r>
      <w:r>
        <w:rPr>
          <w:rFonts w:ascii="Arial" w:cs="Arial" w:eastAsia="Arial" w:hAnsi="Arial"/>
          <w:sz w:val="14"/>
          <w:szCs w:val="14"/>
          <w:color w:val="auto"/>
        </w:rPr>
        <w:t>. Proof of COVID-19 vaccination is not required as a condition of employment but may be required to perform some in-person work, including but not limited to oﬃce</w:t>
      </w:r>
      <w:r>
        <w:rPr>
          <w:rFonts w:ascii="Arial" w:cs="Arial" w:eastAsia="Arial" w:hAnsi="Arial"/>
          <w:sz w:val="14"/>
          <w:szCs w:val="14"/>
          <w:b w:val="1"/>
          <w:bCs w:val="1"/>
          <w:color w:val="auto"/>
        </w:rPr>
        <w:t xml:space="preserve"> </w:t>
      </w:r>
      <w:r>
        <w:rPr>
          <w:rFonts w:ascii="Arial" w:cs="Arial" w:eastAsia="Arial" w:hAnsi="Arial"/>
          <w:sz w:val="14"/>
          <w:szCs w:val="14"/>
          <w:color w:val="auto"/>
        </w:rPr>
        <w:t>attendance, events, and activities, depending on current COVID-19 conditions and / or restrictions enacted by governments or venues.</w:t>
      </w:r>
    </w:p>
    <w:p>
      <w:pPr>
        <w:spacing w:after="0" w:line="132" w:lineRule="exact"/>
        <w:rPr>
          <w:rFonts w:ascii="Arial" w:cs="Arial" w:eastAsia="Arial" w:hAnsi="Arial"/>
          <w:sz w:val="14"/>
          <w:szCs w:val="14"/>
          <w:color w:val="auto"/>
        </w:rPr>
      </w:pPr>
    </w:p>
    <w:p>
      <w:pPr>
        <w:ind w:left="980" w:hanging="492"/>
        <w:spacing w:after="0"/>
        <w:tabs>
          <w:tab w:leader="none" w:pos="980" w:val="left"/>
        </w:tabs>
        <w:numPr>
          <w:ilvl w:val="0"/>
          <w:numId w:val="47"/>
        </w:numPr>
        <w:rPr>
          <w:rFonts w:ascii="Arial" w:cs="Arial" w:eastAsia="Arial" w:hAnsi="Arial"/>
          <w:sz w:val="14"/>
          <w:szCs w:val="14"/>
          <w:color w:val="auto"/>
        </w:rPr>
      </w:pPr>
      <w:r>
        <w:rPr>
          <w:rFonts w:ascii="Arial" w:cs="Arial" w:eastAsia="Arial" w:hAnsi="Arial"/>
          <w:sz w:val="14"/>
          <w:szCs w:val="14"/>
          <w:b w:val="1"/>
          <w:bCs w:val="1"/>
          <w:u w:val="single" w:color="auto"/>
          <w:color w:val="auto"/>
        </w:rPr>
        <w:t>Compensation</w:t>
      </w:r>
      <w:r>
        <w:rPr>
          <w:rFonts w:ascii="Arial" w:cs="Arial" w:eastAsia="Arial" w:hAnsi="Arial"/>
          <w:sz w:val="14"/>
          <w:szCs w:val="14"/>
          <w:u w:val="single" w:color="auto"/>
          <w:color w:val="auto"/>
        </w:rPr>
        <w:t>.</w:t>
      </w:r>
    </w:p>
    <w:p>
      <w:pPr>
        <w:spacing w:after="0" w:line="153" w:lineRule="exact"/>
        <w:rPr>
          <w:rFonts w:ascii="Arial" w:cs="Arial" w:eastAsia="Arial" w:hAnsi="Arial"/>
          <w:sz w:val="14"/>
          <w:szCs w:val="14"/>
          <w:color w:val="auto"/>
        </w:rPr>
      </w:pPr>
    </w:p>
    <w:p>
      <w:pPr>
        <w:ind w:firstLine="790"/>
        <w:spacing w:after="0" w:line="154" w:lineRule="exact"/>
        <w:tabs>
          <w:tab w:leader="none" w:pos="971" w:val="left"/>
        </w:tabs>
        <w:numPr>
          <w:ilvl w:val="1"/>
          <w:numId w:val="4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Base Salary. </w:t>
      </w:r>
      <w:r>
        <w:rPr>
          <w:rFonts w:ascii="Arial" w:cs="Arial" w:eastAsia="Arial" w:hAnsi="Arial"/>
          <w:sz w:val="12"/>
          <w:szCs w:val="12"/>
          <w:color w:val="auto"/>
        </w:rPr>
        <w:t>You will receive a gross base yearly salary, subject to applicable deduction and withholding, of</w:t>
      </w:r>
      <w:r>
        <w:rPr>
          <w:rFonts w:ascii="Arial" w:cs="Arial" w:eastAsia="Arial" w:hAnsi="Arial"/>
          <w:sz w:val="12"/>
          <w:szCs w:val="12"/>
          <w:b w:val="1"/>
          <w:bCs w:val="1"/>
          <w:color w:val="auto"/>
        </w:rPr>
        <w:t xml:space="preserve"> $1,000,000.00 USD</w:t>
      </w:r>
      <w:r>
        <w:rPr>
          <w:rFonts w:ascii="Arial" w:cs="Arial" w:eastAsia="Arial" w:hAnsi="Arial"/>
          <w:sz w:val="12"/>
          <w:szCs w:val="12"/>
          <w:color w:val="auto"/>
        </w:rPr>
        <w:t>. Your salary will be payable on a bi-weekly basis pursuant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to the Company's regular payroll policy. As an exempt employee, you are not eligible for overtime pay, and your compensation will not </w:t>
      </w:r>
      <w:r>
        <w:rPr>
          <w:rFonts w:ascii="Arial Unicode MS" w:cs="Arial Unicode MS" w:eastAsia="Arial Unicode MS" w:hAnsi="Arial Unicode MS"/>
          <w:sz w:val="12"/>
          <w:szCs w:val="12"/>
          <w:color w:val="auto"/>
        </w:rPr>
        <w:t></w:t>
      </w:r>
      <w:r>
        <w:rPr>
          <w:rFonts w:ascii="Arial" w:cs="Arial" w:eastAsia="Arial" w:hAnsi="Arial"/>
          <w:sz w:val="12"/>
          <w:szCs w:val="12"/>
          <w:color w:val="auto"/>
        </w:rPr>
        <w:t>uctuate according to the quantity of work performed.</w:t>
      </w:r>
    </w:p>
    <w:p>
      <w:pPr>
        <w:spacing w:after="0" w:line="140" w:lineRule="exact"/>
        <w:rPr>
          <w:rFonts w:ascii="Arial" w:cs="Arial" w:eastAsia="Arial" w:hAnsi="Arial"/>
          <w:sz w:val="12"/>
          <w:szCs w:val="12"/>
          <w:b w:val="1"/>
          <w:bCs w:val="1"/>
          <w:color w:val="auto"/>
        </w:rPr>
      </w:pPr>
    </w:p>
    <w:p>
      <w:pPr>
        <w:jc w:val="both"/>
        <w:ind w:firstLine="790"/>
        <w:spacing w:after="0" w:line="138" w:lineRule="exact"/>
        <w:tabs>
          <w:tab w:leader="none" w:pos="969" w:val="left"/>
        </w:tabs>
        <w:numPr>
          <w:ilvl w:val="1"/>
          <w:numId w:val="4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Restricted Stock Units. </w:t>
      </w:r>
      <w:r>
        <w:rPr>
          <w:rFonts w:ascii="Arial" w:cs="Arial" w:eastAsia="Arial" w:hAnsi="Arial"/>
          <w:sz w:val="12"/>
          <w:szCs w:val="12"/>
          <w:color w:val="auto"/>
        </w:rPr>
        <w:t>Subject to approval by the Company’s Board of Directors (the “</w:t>
      </w:r>
      <w:r>
        <w:rPr>
          <w:rFonts w:ascii="Arial" w:cs="Arial" w:eastAsia="Arial" w:hAnsi="Arial"/>
          <w:sz w:val="12"/>
          <w:szCs w:val="12"/>
          <w:i w:val="1"/>
          <w:iCs w:val="1"/>
          <w:u w:val="single" w:color="auto"/>
          <w:color w:val="auto"/>
        </w:rPr>
        <w:t>Board</w:t>
      </w:r>
      <w:r>
        <w:rPr>
          <w:rFonts w:ascii="Arial" w:cs="Arial" w:eastAsia="Arial" w:hAnsi="Arial"/>
          <w:sz w:val="12"/>
          <w:szCs w:val="12"/>
          <w:color w:val="auto"/>
        </w:rPr>
        <w:t>”), following your Start Date, you will be granted restricted stock units (the “</w:t>
      </w:r>
      <w:r>
        <w:rPr>
          <w:rFonts w:ascii="Arial" w:cs="Arial" w:eastAsia="Arial" w:hAnsi="Arial"/>
          <w:sz w:val="12"/>
          <w:szCs w:val="12"/>
          <w:i w:val="1"/>
          <w:iCs w:val="1"/>
          <w:u w:val="single" w:color="auto"/>
          <w:color w:val="auto"/>
        </w:rPr>
        <w:t>RSUs</w:t>
      </w:r>
      <w:r>
        <w:rPr>
          <w:rFonts w:ascii="Arial" w:cs="Arial" w:eastAsia="Arial" w:hAnsi="Arial"/>
          <w:sz w:val="12"/>
          <w:szCs w:val="12"/>
          <w:color w:val="auto"/>
        </w:rPr>
        <w:t>”) with a</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total value of approximately </w:t>
      </w:r>
      <w:r>
        <w:rPr>
          <w:rFonts w:ascii="Arial" w:cs="Arial" w:eastAsia="Arial" w:hAnsi="Arial"/>
          <w:sz w:val="12"/>
          <w:szCs w:val="12"/>
          <w:b w:val="1"/>
          <w:bCs w:val="1"/>
          <w:color w:val="auto"/>
        </w:rPr>
        <w:t>$30,000,000.00 USD</w:t>
      </w:r>
      <w:r>
        <w:rPr>
          <w:rFonts w:ascii="Arial" w:cs="Arial" w:eastAsia="Arial" w:hAnsi="Arial"/>
          <w:sz w:val="12"/>
          <w:szCs w:val="12"/>
          <w:color w:val="auto"/>
        </w:rPr>
        <w:t xml:space="preserve">. The number of RSUs subject to such grant will be determined by dividing $30,000,000.00 USD by the average closing market price on the New York Stock Exchange of one share of the Company’s Class A common stock over the 30-day period ending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ve business days before the eﬀective date of grant. Each RSU entitles you to one share of the Company’s Class A Common Stock if and when the RSU vests. The RSUs will vest over four years in accordance with the schedule set forth on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depending upon your Start Date. In General, the RSUs will commence vesting on the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rst to occur of February 15, May 15, August 15, or November 15 immediately following your Start Date and will vest in equal quarterly installments for 16 quarters, subject to your continued employment with the Company through each vesting date. Please carefully review the attached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for details relating to your speci</w:t>
      </w:r>
      <w:r>
        <w:rPr>
          <w:rFonts w:ascii="Arial Unicode MS" w:cs="Arial Unicode MS" w:eastAsia="Arial Unicode MS" w:hAnsi="Arial Unicode MS"/>
          <w:sz w:val="12"/>
          <w:szCs w:val="12"/>
          <w:color w:val="auto"/>
        </w:rPr>
        <w:t></w:t>
      </w:r>
      <w:r>
        <w:rPr>
          <w:rFonts w:ascii="Arial" w:cs="Arial" w:eastAsia="Arial" w:hAnsi="Arial"/>
          <w:sz w:val="12"/>
          <w:szCs w:val="12"/>
          <w:color w:val="auto"/>
        </w:rPr>
        <w:t>c vesting schedule. The RSUs will be subject to the terms and conditions of the equity incentive plan under which they are granted (the “</w:t>
      </w:r>
      <w:r>
        <w:rPr>
          <w:rFonts w:ascii="Arial" w:cs="Arial" w:eastAsia="Arial" w:hAnsi="Arial"/>
          <w:sz w:val="12"/>
          <w:szCs w:val="12"/>
          <w:i w:val="1"/>
          <w:iCs w:val="1"/>
          <w:u w:val="single" w:color="auto"/>
          <w:color w:val="auto"/>
        </w:rPr>
        <w:t>Plan</w:t>
      </w:r>
      <w:r>
        <w:rPr>
          <w:rFonts w:ascii="Arial" w:cs="Arial" w:eastAsia="Arial" w:hAnsi="Arial"/>
          <w:sz w:val="12"/>
          <w:szCs w:val="12"/>
          <w:color w:val="auto"/>
        </w:rPr>
        <w:t>”) and the RSU agreement thereunder, which you will be required to sign as a condition to receiving your RSUs.</w:t>
      </w:r>
    </w:p>
    <w:p>
      <w:pPr>
        <w:spacing w:after="0" w:line="140" w:lineRule="exact"/>
        <w:rPr>
          <w:rFonts w:ascii="Arial" w:cs="Arial" w:eastAsia="Arial" w:hAnsi="Arial"/>
          <w:sz w:val="12"/>
          <w:szCs w:val="12"/>
          <w:b w:val="1"/>
          <w:bCs w:val="1"/>
          <w:color w:val="auto"/>
        </w:rPr>
      </w:pPr>
    </w:p>
    <w:p>
      <w:pPr>
        <w:jc w:val="both"/>
        <w:ind w:firstLine="790"/>
        <w:spacing w:after="0" w:line="245" w:lineRule="auto"/>
        <w:tabs>
          <w:tab w:leader="none" w:pos="974" w:val="left"/>
        </w:tabs>
        <w:numPr>
          <w:ilvl w:val="1"/>
          <w:numId w:val="47"/>
        </w:numPr>
        <w:rPr>
          <w:rFonts w:ascii="Arial" w:cs="Arial" w:eastAsia="Arial" w:hAnsi="Arial"/>
          <w:sz w:val="12"/>
          <w:szCs w:val="12"/>
          <w:b w:val="1"/>
          <w:bCs w:val="1"/>
          <w:color w:val="auto"/>
        </w:rPr>
      </w:pPr>
      <w:r>
        <w:rPr>
          <w:rFonts w:ascii="Arial" w:cs="Arial" w:eastAsia="Arial" w:hAnsi="Arial"/>
          <w:sz w:val="12"/>
          <w:szCs w:val="12"/>
          <w:b w:val="1"/>
          <w:bCs w:val="1"/>
          <w:color w:val="auto"/>
        </w:rPr>
        <w:t>Options</w:t>
      </w:r>
      <w:r>
        <w:rPr>
          <w:rFonts w:ascii="Arial" w:cs="Arial" w:eastAsia="Arial" w:hAnsi="Arial"/>
          <w:sz w:val="12"/>
          <w:szCs w:val="12"/>
          <w:color w:val="auto"/>
        </w:rPr>
        <w:t>. Subject to approval by the Board, following your Start Date, you will be granted an option, with the award value of</w:t>
      </w:r>
      <w:r>
        <w:rPr>
          <w:rFonts w:ascii="Arial" w:cs="Arial" w:eastAsia="Arial" w:hAnsi="Arial"/>
          <w:sz w:val="12"/>
          <w:szCs w:val="12"/>
          <w:b w:val="1"/>
          <w:bCs w:val="1"/>
          <w:color w:val="auto"/>
        </w:rPr>
        <w:t xml:space="preserve"> $10,000,000.00 USD</w:t>
      </w:r>
      <w:r>
        <w:rPr>
          <w:rFonts w:ascii="Arial" w:cs="Arial" w:eastAsia="Arial" w:hAnsi="Arial"/>
          <w:sz w:val="12"/>
          <w:szCs w:val="12"/>
          <w:color w:val="auto"/>
        </w:rPr>
        <w:t>, to purchase shares of the Company’s</w:t>
      </w:r>
      <w:r>
        <w:rPr>
          <w:rFonts w:ascii="Arial" w:cs="Arial" w:eastAsia="Arial" w:hAnsi="Arial"/>
          <w:sz w:val="12"/>
          <w:szCs w:val="12"/>
          <w:b w:val="1"/>
          <w:bCs w:val="1"/>
          <w:color w:val="auto"/>
        </w:rPr>
        <w:t xml:space="preserve"> </w:t>
      </w:r>
      <w:r>
        <w:rPr>
          <w:rFonts w:ascii="Arial" w:cs="Arial" w:eastAsia="Arial" w:hAnsi="Arial"/>
          <w:sz w:val="12"/>
          <w:szCs w:val="12"/>
          <w:color w:val="auto"/>
        </w:rPr>
        <w:t>Class A Common Stock (the “</w:t>
      </w:r>
      <w:r>
        <w:rPr>
          <w:rFonts w:ascii="Arial" w:cs="Arial" w:eastAsia="Arial" w:hAnsi="Arial"/>
          <w:sz w:val="12"/>
          <w:szCs w:val="12"/>
          <w:i w:val="1"/>
          <w:iCs w:val="1"/>
          <w:u w:val="single" w:color="auto"/>
          <w:color w:val="auto"/>
        </w:rPr>
        <w:t>Option</w:t>
      </w:r>
      <w:r>
        <w:rPr>
          <w:rFonts w:ascii="Arial" w:cs="Arial" w:eastAsia="Arial" w:hAnsi="Arial"/>
          <w:sz w:val="12"/>
          <w:szCs w:val="12"/>
          <w:color w:val="auto"/>
        </w:rPr>
        <w:t>”), at an exercise price equal to the fair market value of a share of the Company’s Class A Common Stock on the date that the Option is granted. The Option value will be converted to a number of Class A Common Stock subject to such stock option in accordance with Twilio’s current equity award grant policies. Starting one month following your Grant Date, the Option shall vest in 48 equal monthly installments over the following four years, subject to your continued employment through each vesting date. The Option will be subject to the terms and conditions of the Plan under which it is granted and the stock option agreement thereunder, which you will be required to sign as a condition to receiving the Option.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404040"/>
        </w:rPr>
        <w:t>1</w:t>
      </w:r>
    </w:p>
    <w:p>
      <w:pPr>
        <w:sectPr>
          <w:pgSz w:w="11900" w:h="16838" w:orient="portrait"/>
          <w:cols w:equalWidth="0" w:num="1">
            <w:col w:w="11280"/>
          </w:cols>
          <w:pgMar w:left="300" w:top="309" w:right="319" w:bottom="1440" w:gutter="0" w:footer="0" w:header="0"/>
          <w:type w:val="continuous"/>
        </w:sectPr>
      </w:pPr>
    </w:p>
    <w:bookmarkStart w:id="75" w:name="page76"/>
    <w:bookmarkEnd w:id="75"/>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205105</wp:posOffset>
            </wp:positionV>
            <wp:extent cx="1263015" cy="3803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263015" cy="380365"/>
                    </a:xfrm>
                    <a:prstGeom prst="rect">
                      <a:avLst/>
                    </a:prstGeom>
                    <a:noFill/>
                  </pic:spPr>
                </pic:pic>
              </a:graphicData>
            </a:graphic>
          </wp:anchor>
        </w:drawing>
      </w:r>
    </w:p>
    <w:p>
      <w:pPr>
        <w:jc w:val="both"/>
        <w:ind w:firstLine="488"/>
        <w:spacing w:after="0" w:line="143" w:lineRule="exact"/>
        <w:tabs>
          <w:tab w:leader="none" w:pos="974" w:val="left"/>
        </w:tabs>
        <w:numPr>
          <w:ilvl w:val="0"/>
          <w:numId w:val="48"/>
        </w:numPr>
        <w:rPr>
          <w:rFonts w:ascii="Arial" w:cs="Arial" w:eastAsia="Arial" w:hAnsi="Arial"/>
          <w:sz w:val="14"/>
          <w:szCs w:val="14"/>
          <w:color w:val="auto"/>
        </w:rPr>
      </w:pPr>
      <w:r>
        <w:rPr>
          <w:rFonts w:ascii="Arial" w:cs="Arial" w:eastAsia="Arial" w:hAnsi="Arial"/>
          <w:sz w:val="14"/>
          <w:szCs w:val="14"/>
          <w:b w:val="1"/>
          <w:bCs w:val="1"/>
          <w:u w:val="single" w:color="auto"/>
          <w:color w:val="auto"/>
        </w:rPr>
        <w:t>Bene</w:t>
      </w:r>
      <w:r>
        <w:rPr>
          <w:rFonts w:ascii="Arial Unicode MS" w:cs="Arial Unicode MS" w:eastAsia="Arial Unicode MS" w:hAnsi="Arial Unicode MS"/>
          <w:sz w:val="14"/>
          <w:szCs w:val="14"/>
          <w:b w:val="1"/>
          <w:bCs w:val="1"/>
          <w:u w:val="single" w:color="auto"/>
          <w:color w:val="auto"/>
        </w:rPr>
        <w:t></w:t>
      </w:r>
      <w:r>
        <w:rPr>
          <w:rFonts w:ascii="Arial" w:cs="Arial" w:eastAsia="Arial" w:hAnsi="Arial"/>
          <w:sz w:val="14"/>
          <w:szCs w:val="14"/>
          <w:b w:val="1"/>
          <w:bCs w:val="1"/>
          <w:u w:val="single" w:color="auto"/>
          <w:color w:val="auto"/>
        </w:rPr>
        <w:t>ts</w:t>
      </w:r>
      <w:r>
        <w:rPr>
          <w:rFonts w:ascii="Arial" w:cs="Arial" w:eastAsia="Arial" w:hAnsi="Arial"/>
          <w:sz w:val="14"/>
          <w:szCs w:val="14"/>
          <w:color w:val="auto"/>
        </w:rPr>
        <w:t>. While employed with the Company, you will be eligible to participate in the Company’s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plans as outlined in Twilio’s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summary, which will be provided to you</w:t>
      </w:r>
      <w:r>
        <w:rPr>
          <w:rFonts w:ascii="Arial" w:cs="Arial" w:eastAsia="Arial" w:hAnsi="Arial"/>
          <w:sz w:val="14"/>
          <w:szCs w:val="14"/>
          <w:b w:val="1"/>
          <w:bCs w:val="1"/>
          <w:color w:val="auto"/>
        </w:rPr>
        <w:t xml:space="preserve"> </w:t>
      </w:r>
      <w:r>
        <w:rPr>
          <w:rFonts w:ascii="Arial" w:cs="Arial" w:eastAsia="Arial" w:hAnsi="Arial"/>
          <w:sz w:val="14"/>
          <w:szCs w:val="14"/>
          <w:color w:val="auto"/>
        </w:rPr>
        <w:t>separately. All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will be administered pursuant to Company policy and any applicable law. Eligibility and coverage under Company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 programs will be subject to the terms and conditions of the applicable plans or programs, which may change from time to time. The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 plans and packages oﬀered by the Company may be modi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at any time, with or without advance notice, at the Company’s sole discretion.</w:t>
      </w:r>
    </w:p>
    <w:p>
      <w:pPr>
        <w:spacing w:after="0" w:line="118" w:lineRule="exact"/>
        <w:rPr>
          <w:rFonts w:ascii="Arial" w:cs="Arial" w:eastAsia="Arial" w:hAnsi="Arial"/>
          <w:sz w:val="14"/>
          <w:szCs w:val="14"/>
          <w:color w:val="auto"/>
        </w:rPr>
      </w:pPr>
    </w:p>
    <w:p>
      <w:pPr>
        <w:ind w:firstLine="488"/>
        <w:spacing w:after="0" w:line="165" w:lineRule="exact"/>
        <w:tabs>
          <w:tab w:leader="none" w:pos="974" w:val="left"/>
        </w:tabs>
        <w:numPr>
          <w:ilvl w:val="0"/>
          <w:numId w:val="48"/>
        </w:numPr>
        <w:rPr>
          <w:rFonts w:ascii="Arial" w:cs="Arial" w:eastAsia="Arial" w:hAnsi="Arial"/>
          <w:sz w:val="12"/>
          <w:szCs w:val="12"/>
          <w:color w:val="auto"/>
        </w:rPr>
      </w:pPr>
      <w:r>
        <w:rPr>
          <w:rFonts w:ascii="Arial" w:cs="Arial" w:eastAsia="Arial" w:hAnsi="Arial"/>
          <w:sz w:val="12"/>
          <w:szCs w:val="12"/>
          <w:b w:val="1"/>
          <w:bCs w:val="1"/>
          <w:u w:val="single" w:color="auto"/>
          <w:color w:val="auto"/>
        </w:rPr>
        <w:t>Con</w:t>
      </w:r>
      <w:r>
        <w:rPr>
          <w:rFonts w:ascii="Arial Unicode MS" w:cs="Arial Unicode MS" w:eastAsia="Arial Unicode MS" w:hAnsi="Arial Unicode MS"/>
          <w:sz w:val="12"/>
          <w:szCs w:val="12"/>
          <w:b w:val="1"/>
          <w:bCs w:val="1"/>
          <w:u w:val="single" w:color="auto"/>
          <w:color w:val="auto"/>
        </w:rPr>
        <w:t></w:t>
      </w:r>
      <w:r>
        <w:rPr>
          <w:rFonts w:ascii="Arial" w:cs="Arial" w:eastAsia="Arial" w:hAnsi="Arial"/>
          <w:sz w:val="12"/>
          <w:szCs w:val="12"/>
          <w:b w:val="1"/>
          <w:bCs w:val="1"/>
          <w:u w:val="single" w:color="auto"/>
          <w:color w:val="auto"/>
        </w:rPr>
        <w:t>dentiality and Inventions Agreement</w:t>
      </w:r>
      <w:r>
        <w:rPr>
          <w:rFonts w:ascii="Arial" w:cs="Arial" w:eastAsia="Arial" w:hAnsi="Arial"/>
          <w:sz w:val="12"/>
          <w:szCs w:val="12"/>
          <w:color w:val="auto"/>
        </w:rPr>
        <w:t>. Your acceptance of this oﬀer and commencement of employment with the Company is contingent upon the execution and delivery to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of the Company’s Proprietary Information and Inventions Agreement (“</w:t>
      </w:r>
      <w:r>
        <w:rPr>
          <w:rFonts w:ascii="Arial" w:cs="Arial" w:eastAsia="Arial" w:hAnsi="Arial"/>
          <w:sz w:val="12"/>
          <w:szCs w:val="12"/>
          <w:i w:val="1"/>
          <w:iCs w:val="1"/>
          <w:u w:val="single" w:color="auto"/>
          <w:color w:val="auto"/>
        </w:rPr>
        <w:t>PIIA</w:t>
      </w:r>
      <w:r>
        <w:rPr>
          <w:rFonts w:ascii="Arial" w:cs="Arial" w:eastAsia="Arial" w:hAnsi="Arial"/>
          <w:sz w:val="12"/>
          <w:szCs w:val="12"/>
          <w:color w:val="auto"/>
        </w:rPr>
        <w:t>”) and Arbitration Agreement, which shall be sent separately for your review and execution.</w:t>
      </w:r>
    </w:p>
    <w:p>
      <w:pPr>
        <w:spacing w:after="0" w:line="140" w:lineRule="exact"/>
        <w:rPr>
          <w:rFonts w:ascii="Arial" w:cs="Arial" w:eastAsia="Arial" w:hAnsi="Arial"/>
          <w:sz w:val="12"/>
          <w:szCs w:val="12"/>
          <w:color w:val="auto"/>
        </w:rPr>
      </w:pPr>
    </w:p>
    <w:p>
      <w:pPr>
        <w:jc w:val="both"/>
        <w:ind w:firstLine="488"/>
        <w:spacing w:after="0" w:line="140" w:lineRule="exact"/>
        <w:tabs>
          <w:tab w:leader="none" w:pos="974" w:val="left"/>
        </w:tabs>
        <w:numPr>
          <w:ilvl w:val="0"/>
          <w:numId w:val="48"/>
        </w:numPr>
        <w:rPr>
          <w:rFonts w:ascii="Arial" w:cs="Arial" w:eastAsia="Arial" w:hAnsi="Arial"/>
          <w:sz w:val="14"/>
          <w:szCs w:val="14"/>
          <w:color w:val="auto"/>
        </w:rPr>
      </w:pPr>
      <w:r>
        <w:rPr>
          <w:rFonts w:ascii="Arial" w:cs="Arial" w:eastAsia="Arial" w:hAnsi="Arial"/>
          <w:sz w:val="14"/>
          <w:szCs w:val="14"/>
          <w:b w:val="1"/>
          <w:bCs w:val="1"/>
          <w:u w:val="single" w:color="auto"/>
          <w:color w:val="auto"/>
        </w:rPr>
        <w:t>At-Will Employment</w:t>
      </w:r>
      <w:r>
        <w:rPr>
          <w:rFonts w:ascii="Arial" w:cs="Arial" w:eastAsia="Arial" w:hAnsi="Arial"/>
          <w:sz w:val="14"/>
          <w:szCs w:val="14"/>
          <w:color w:val="auto"/>
        </w:rPr>
        <w:t>. Your employment with the Company will be on an “at will” basis, meaning that either you or the Company may terminate your employment at any time with or</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cause or advance notice. This is the full and complete agreement between you and the Company on this term and nothing in this agreement or in any document or statement, and nothing implied from any course of conduct shall limit the Company’s or your right to terminate at-will employment. Although your job duties, title, reporting relationship, compensation and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as well as the Company’s personnel policies and procedures, may change from time to time, the “at will” nature of your employment may only be changed in an express written agreement signed by you and a duly authorized oﬃcer of the Company.</w:t>
      </w:r>
    </w:p>
    <w:p>
      <w:pPr>
        <w:spacing w:after="0" w:line="142" w:lineRule="exact"/>
        <w:rPr>
          <w:rFonts w:ascii="Arial" w:cs="Arial" w:eastAsia="Arial" w:hAnsi="Arial"/>
          <w:sz w:val="14"/>
          <w:szCs w:val="14"/>
          <w:color w:val="auto"/>
        </w:rPr>
      </w:pPr>
    </w:p>
    <w:p>
      <w:pPr>
        <w:ind w:left="980" w:hanging="492"/>
        <w:spacing w:after="0"/>
        <w:tabs>
          <w:tab w:leader="none" w:pos="980" w:val="left"/>
        </w:tabs>
        <w:numPr>
          <w:ilvl w:val="0"/>
          <w:numId w:val="48"/>
        </w:numPr>
        <w:rPr>
          <w:rFonts w:ascii="Arial" w:cs="Arial" w:eastAsia="Arial" w:hAnsi="Arial"/>
          <w:sz w:val="14"/>
          <w:szCs w:val="14"/>
          <w:color w:val="auto"/>
        </w:rPr>
      </w:pPr>
      <w:r>
        <w:rPr>
          <w:rFonts w:ascii="Arial" w:cs="Arial" w:eastAsia="Arial" w:hAnsi="Arial"/>
          <w:sz w:val="14"/>
          <w:szCs w:val="14"/>
          <w:b w:val="1"/>
          <w:bCs w:val="1"/>
          <w:u w:val="single" w:color="auto"/>
          <w:color w:val="auto"/>
        </w:rPr>
        <w:t>Obligations to the Company</w:t>
      </w:r>
      <w:r>
        <w:rPr>
          <w:rFonts w:ascii="Arial" w:cs="Arial" w:eastAsia="Arial" w:hAnsi="Arial"/>
          <w:sz w:val="14"/>
          <w:szCs w:val="14"/>
          <w:color w:val="auto"/>
        </w:rPr>
        <w:t>.</w:t>
      </w:r>
    </w:p>
    <w:p>
      <w:pPr>
        <w:spacing w:after="0" w:line="165" w:lineRule="exact"/>
        <w:rPr>
          <w:rFonts w:ascii="Arial" w:cs="Arial" w:eastAsia="Arial" w:hAnsi="Arial"/>
          <w:sz w:val="14"/>
          <w:szCs w:val="14"/>
          <w:color w:val="auto"/>
        </w:rPr>
      </w:pPr>
    </w:p>
    <w:p>
      <w:pPr>
        <w:jc w:val="both"/>
        <w:ind w:firstLine="790"/>
        <w:spacing w:after="0" w:line="147" w:lineRule="exact"/>
        <w:tabs>
          <w:tab w:leader="none" w:pos="974" w:val="left"/>
        </w:tabs>
        <w:numPr>
          <w:ilvl w:val="1"/>
          <w:numId w:val="48"/>
        </w:numPr>
        <w:rPr>
          <w:rFonts w:ascii="Arial" w:cs="Arial" w:eastAsia="Arial" w:hAnsi="Arial"/>
          <w:sz w:val="12"/>
          <w:szCs w:val="12"/>
          <w:color w:val="auto"/>
        </w:rPr>
      </w:pPr>
      <w:r>
        <w:rPr>
          <w:rFonts w:ascii="Arial" w:cs="Arial" w:eastAsia="Arial" w:hAnsi="Arial"/>
          <w:sz w:val="12"/>
          <w:szCs w:val="12"/>
          <w:color w:val="auto"/>
        </w:rPr>
        <w:t xml:space="preserve">You agree that to the best of your ability and experience you will at all times loyally and conscientiously perform all of the duties and obligations required of you pursuant to the express and implicit terms hereof, and to the reasonable satisfaction of the Company. During your employment, and in return for the compensation paid to you in connection with such employment, you agree to devote all of your business time, best eﬀorts, skill, knowledge, attention and energy to the business of the Company, the advancement of the Company’s business and interests, and to the performance of your duties and responsibilities as an employee of the Company except as provided for in the approved Outside Activities form attached as </w:t>
      </w:r>
      <w:r>
        <w:rPr>
          <w:rFonts w:ascii="Arial" w:cs="Arial" w:eastAsia="Arial" w:hAnsi="Arial"/>
          <w:sz w:val="12"/>
          <w:szCs w:val="12"/>
          <w:u w:val="single" w:color="auto"/>
          <w:color w:val="auto"/>
        </w:rPr>
        <w:t>Exhibit B</w:t>
      </w:r>
      <w:r>
        <w:rPr>
          <w:rFonts w:ascii="Arial" w:cs="Arial" w:eastAsia="Arial" w:hAnsi="Arial"/>
          <w:sz w:val="12"/>
          <w:szCs w:val="12"/>
          <w:color w:val="auto"/>
        </w:rPr>
        <w:t>. The Company will be entitled to all of the bene</w:t>
      </w:r>
      <w:r>
        <w:rPr>
          <w:rFonts w:ascii="Arial Unicode MS" w:cs="Arial Unicode MS" w:eastAsia="Arial Unicode MS" w:hAnsi="Arial Unicode MS"/>
          <w:sz w:val="12"/>
          <w:szCs w:val="12"/>
          <w:color w:val="auto"/>
        </w:rPr>
        <w:t></w:t>
      </w:r>
      <w:r>
        <w:rPr>
          <w:rFonts w:ascii="Arial" w:cs="Arial" w:eastAsia="Arial" w:hAnsi="Arial"/>
          <w:sz w:val="12"/>
          <w:szCs w:val="12"/>
          <w:color w:val="auto"/>
        </w:rPr>
        <w:t>ts and pro</w:t>
      </w:r>
      <w:r>
        <w:rPr>
          <w:rFonts w:ascii="Arial Unicode MS" w:cs="Arial Unicode MS" w:eastAsia="Arial Unicode MS" w:hAnsi="Arial Unicode MS"/>
          <w:sz w:val="12"/>
          <w:szCs w:val="12"/>
          <w:color w:val="auto"/>
        </w:rPr>
        <w:t></w:t>
      </w:r>
      <w:r>
        <w:rPr>
          <w:rFonts w:ascii="Arial" w:cs="Arial" w:eastAsia="Arial" w:hAnsi="Arial"/>
          <w:sz w:val="12"/>
          <w:szCs w:val="12"/>
          <w:color w:val="auto"/>
        </w:rPr>
        <w:t>ts arising from or incident to all such work services and advice. You further agree that you will not directly or indirectly engage or participate in any business or outside activities that are competitive in any manner with the business of the Company or which con</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ict with the performance of your duties to the Company. Notwithstanding the foregoing, you may seek advance written authorization from the Company’s Vice President of Ethics, Corporate Compliance and Risk Management to engage in outside activities that do not materially interfere, on an individual or collective basis, with your performance of your duties and responsibilities to the Company or create a potential business or </w:t>
      </w:r>
      <w:r>
        <w:rPr>
          <w:rFonts w:ascii="Arial Unicode MS" w:cs="Arial Unicode MS" w:eastAsia="Arial Unicode MS" w:hAnsi="Arial Unicode MS"/>
          <w:sz w:val="12"/>
          <w:szCs w:val="12"/>
          <w:color w:val="auto"/>
        </w:rPr>
        <w:t></w:t>
      </w:r>
      <w:r>
        <w:rPr>
          <w:rFonts w:ascii="Arial" w:cs="Arial" w:eastAsia="Arial" w:hAnsi="Arial"/>
          <w:sz w:val="12"/>
          <w:szCs w:val="12"/>
          <w:color w:val="auto"/>
        </w:rPr>
        <w:t>duciary con</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ict. Engagements with any competing business while employed by the Company will be presumed to raise a business or </w:t>
      </w:r>
      <w:r>
        <w:rPr>
          <w:rFonts w:ascii="Arial Unicode MS" w:cs="Arial Unicode MS" w:eastAsia="Arial Unicode MS" w:hAnsi="Arial Unicode MS"/>
          <w:sz w:val="12"/>
          <w:szCs w:val="12"/>
          <w:color w:val="auto"/>
        </w:rPr>
        <w:t></w:t>
      </w:r>
      <w:r>
        <w:rPr>
          <w:rFonts w:ascii="Arial" w:cs="Arial" w:eastAsia="Arial" w:hAnsi="Arial"/>
          <w:sz w:val="12"/>
          <w:szCs w:val="12"/>
          <w:color w:val="auto"/>
        </w:rPr>
        <w:t>duciary con</w:t>
      </w:r>
      <w:r>
        <w:rPr>
          <w:rFonts w:ascii="Arial Unicode MS" w:cs="Arial Unicode MS" w:eastAsia="Arial Unicode MS" w:hAnsi="Arial Unicode MS"/>
          <w:sz w:val="12"/>
          <w:szCs w:val="12"/>
          <w:color w:val="auto"/>
        </w:rPr>
        <w:t></w:t>
      </w:r>
      <w:r>
        <w:rPr>
          <w:rFonts w:ascii="Arial" w:cs="Arial" w:eastAsia="Arial" w:hAnsi="Arial"/>
          <w:sz w:val="12"/>
          <w:szCs w:val="12"/>
          <w:color w:val="auto"/>
        </w:rPr>
        <w:t>ict.</w:t>
      </w:r>
    </w:p>
    <w:p>
      <w:pPr>
        <w:spacing w:after="0" w:line="197" w:lineRule="exact"/>
        <w:rPr>
          <w:rFonts w:ascii="Arial" w:cs="Arial" w:eastAsia="Arial" w:hAnsi="Arial"/>
          <w:sz w:val="12"/>
          <w:szCs w:val="12"/>
          <w:color w:val="auto"/>
        </w:rPr>
      </w:pPr>
    </w:p>
    <w:p>
      <w:pPr>
        <w:jc w:val="both"/>
        <w:ind w:firstLine="790"/>
        <w:spacing w:after="0" w:line="146" w:lineRule="exact"/>
        <w:tabs>
          <w:tab w:leader="none" w:pos="97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As an employee of Twilio, you must read and comply with Twilio's data protection and information security policies, each as updated from time to time. You must only process personal data relating to Twilio staﬀ, customers, end-users, suppliers and other third parties as necessary for the performance of your role and must protect the con</w:t>
      </w:r>
      <w:r>
        <w:rPr>
          <w:rFonts w:ascii="Arial Unicode MS" w:cs="Arial Unicode MS" w:eastAsia="Arial Unicode MS" w:hAnsi="Arial Unicode MS"/>
          <w:sz w:val="14"/>
          <w:szCs w:val="14"/>
          <w:color w:val="auto"/>
        </w:rPr>
        <w:t></w:t>
      </w:r>
      <w:r>
        <w:rPr>
          <w:rFonts w:ascii="Arial" w:cs="Arial" w:eastAsia="Arial" w:hAnsi="Arial"/>
          <w:sz w:val="14"/>
          <w:szCs w:val="14"/>
          <w:color w:val="auto"/>
        </w:rPr>
        <w:t>dentiality of that personal data at all times. Failure to comply with Twilio's data protection and information security policies is subject to discipline up to and including termination.</w:t>
      </w:r>
    </w:p>
    <w:p>
      <w:pPr>
        <w:spacing w:after="0" w:line="141" w:lineRule="exact"/>
        <w:rPr>
          <w:rFonts w:ascii="Arial" w:cs="Arial" w:eastAsia="Arial" w:hAnsi="Arial"/>
          <w:sz w:val="14"/>
          <w:szCs w:val="14"/>
          <w:color w:val="auto"/>
        </w:rPr>
      </w:pPr>
    </w:p>
    <w:p>
      <w:pPr>
        <w:jc w:val="both"/>
        <w:ind w:firstLine="488"/>
        <w:spacing w:after="0" w:line="146" w:lineRule="exact"/>
        <w:tabs>
          <w:tab w:leader="none" w:pos="971" w:val="left"/>
        </w:tabs>
        <w:numPr>
          <w:ilvl w:val="0"/>
          <w:numId w:val="48"/>
        </w:numPr>
        <w:rPr>
          <w:rFonts w:ascii="Arial" w:cs="Arial" w:eastAsia="Arial" w:hAnsi="Arial"/>
          <w:sz w:val="14"/>
          <w:szCs w:val="14"/>
          <w:color w:val="auto"/>
        </w:rPr>
      </w:pPr>
      <w:r>
        <w:rPr>
          <w:rFonts w:ascii="Arial" w:cs="Arial" w:eastAsia="Arial" w:hAnsi="Arial"/>
          <w:sz w:val="14"/>
          <w:szCs w:val="14"/>
          <w:b w:val="1"/>
          <w:bCs w:val="1"/>
          <w:u w:val="single" w:color="auto"/>
          <w:color w:val="auto"/>
        </w:rPr>
        <w:t>Standards of Conduct</w:t>
      </w:r>
      <w:r>
        <w:rPr>
          <w:rFonts w:ascii="Arial" w:cs="Arial" w:eastAsia="Arial" w:hAnsi="Arial"/>
          <w:sz w:val="14"/>
          <w:szCs w:val="14"/>
          <w:color w:val="auto"/>
        </w:rPr>
        <w:t>. As a Company employee, you must abide by Company rules and standards of conduct now existing or established from time to time by the Company. As a condition</w:t>
      </w:r>
      <w:r>
        <w:rPr>
          <w:rFonts w:ascii="Arial" w:cs="Arial" w:eastAsia="Arial" w:hAnsi="Arial"/>
          <w:sz w:val="14"/>
          <w:szCs w:val="14"/>
          <w:b w:val="1"/>
          <w:bCs w:val="1"/>
          <w:color w:val="auto"/>
        </w:rPr>
        <w:t xml:space="preserve"> </w:t>
      </w:r>
      <w:r>
        <w:rPr>
          <w:rFonts w:ascii="Arial" w:cs="Arial" w:eastAsia="Arial" w:hAnsi="Arial"/>
          <w:sz w:val="14"/>
          <w:szCs w:val="14"/>
          <w:color w:val="auto"/>
        </w:rPr>
        <w:t>of employment, you must read and abide by all Company policies, including but not limited to the policies contained in the Company’s Employee Handbook and Code of Conduct, as adopted or modi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by the Company from time to time.</w:t>
      </w:r>
    </w:p>
    <w:p>
      <w:pPr>
        <w:spacing w:after="0" w:line="141" w:lineRule="exact"/>
        <w:rPr>
          <w:rFonts w:ascii="Arial" w:cs="Arial" w:eastAsia="Arial" w:hAnsi="Arial"/>
          <w:sz w:val="14"/>
          <w:szCs w:val="14"/>
          <w:color w:val="auto"/>
        </w:rPr>
      </w:pPr>
    </w:p>
    <w:p>
      <w:pPr>
        <w:ind w:left="960" w:hanging="472"/>
        <w:spacing w:after="0"/>
        <w:tabs>
          <w:tab w:leader="none" w:pos="960" w:val="left"/>
        </w:tabs>
        <w:numPr>
          <w:ilvl w:val="0"/>
          <w:numId w:val="48"/>
        </w:numPr>
        <w:rPr>
          <w:rFonts w:ascii="Arial" w:cs="Arial" w:eastAsia="Arial" w:hAnsi="Arial"/>
          <w:sz w:val="14"/>
          <w:szCs w:val="14"/>
          <w:color w:val="auto"/>
        </w:rPr>
      </w:pPr>
      <w:r>
        <w:rPr>
          <w:rFonts w:ascii="Arial" w:cs="Arial" w:eastAsia="Arial" w:hAnsi="Arial"/>
          <w:sz w:val="14"/>
          <w:szCs w:val="14"/>
          <w:b w:val="1"/>
          <w:bCs w:val="1"/>
          <w:u w:val="single" w:color="auto"/>
          <w:color w:val="auto"/>
        </w:rPr>
        <w:t>Miscellaneous</w:t>
      </w:r>
      <w:r>
        <w:rPr>
          <w:rFonts w:ascii="Arial" w:cs="Arial" w:eastAsia="Arial" w:hAnsi="Arial"/>
          <w:sz w:val="14"/>
          <w:szCs w:val="14"/>
          <w:color w:val="auto"/>
        </w:rPr>
        <w:t>.</w:t>
      </w:r>
    </w:p>
    <w:p>
      <w:pPr>
        <w:spacing w:after="0" w:line="165" w:lineRule="exact"/>
        <w:rPr>
          <w:rFonts w:ascii="Arial" w:cs="Arial" w:eastAsia="Arial" w:hAnsi="Arial"/>
          <w:sz w:val="14"/>
          <w:szCs w:val="14"/>
          <w:color w:val="auto"/>
        </w:rPr>
      </w:pPr>
    </w:p>
    <w:p>
      <w:pPr>
        <w:jc w:val="both"/>
        <w:ind w:firstLine="790"/>
        <w:spacing w:after="0" w:line="145" w:lineRule="exact"/>
        <w:tabs>
          <w:tab w:leader="none" w:pos="974" w:val="left"/>
        </w:tabs>
        <w:numPr>
          <w:ilvl w:val="1"/>
          <w:numId w:val="48"/>
        </w:numPr>
        <w:rPr>
          <w:rFonts w:ascii="Arial" w:cs="Arial" w:eastAsia="Arial" w:hAnsi="Arial"/>
          <w:sz w:val="12"/>
          <w:szCs w:val="12"/>
          <w:color w:val="auto"/>
        </w:rPr>
      </w:pPr>
      <w:r>
        <w:rPr>
          <w:rFonts w:ascii="Arial" w:cs="Arial" w:eastAsia="Arial" w:hAnsi="Arial"/>
          <w:sz w:val="12"/>
          <w:szCs w:val="12"/>
          <w:color w:val="auto"/>
        </w:rPr>
        <w:t>You acknowledge that the Company has directed you not to bring with you any con</w:t>
      </w:r>
      <w:r>
        <w:rPr>
          <w:rFonts w:ascii="Arial Unicode MS" w:cs="Arial Unicode MS" w:eastAsia="Arial Unicode MS" w:hAnsi="Arial Unicode MS"/>
          <w:sz w:val="12"/>
          <w:szCs w:val="12"/>
          <w:color w:val="auto"/>
        </w:rPr>
        <w:t></w:t>
      </w:r>
      <w:r>
        <w:rPr>
          <w:rFonts w:ascii="Arial" w:cs="Arial" w:eastAsia="Arial" w:hAnsi="Arial"/>
          <w:sz w:val="12"/>
          <w:szCs w:val="12"/>
          <w:color w:val="auto"/>
        </w:rPr>
        <w:t>dential or proprietary material of any former employer or to violate any other obligations you may have to any former employer. You represent and warrant that you are not subject to any agreement or understanding with any current or prior employer or business (or any other entity or person) which would, in any manner, preclude you from ful</w:t>
      </w:r>
      <w:r>
        <w:rPr>
          <w:rFonts w:ascii="Arial Unicode MS" w:cs="Arial Unicode MS" w:eastAsia="Arial Unicode MS" w:hAnsi="Arial Unicode MS"/>
          <w:sz w:val="12"/>
          <w:szCs w:val="12"/>
          <w:color w:val="auto"/>
        </w:rPr>
        <w:t></w:t>
      </w:r>
      <w:r>
        <w:rPr>
          <w:rFonts w:ascii="Arial" w:cs="Arial" w:eastAsia="Arial" w:hAnsi="Arial"/>
          <w:sz w:val="12"/>
          <w:szCs w:val="12"/>
          <w:color w:val="auto"/>
        </w:rPr>
        <w:t>lling any of the duties or obligations you may have with the Company or which would result in any additional payment from the Company.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404040"/>
        </w:rPr>
        <w:t>2</w:t>
      </w:r>
    </w:p>
    <w:p>
      <w:pPr>
        <w:sectPr>
          <w:pgSz w:w="11900" w:h="16838" w:orient="portrait"/>
          <w:cols w:equalWidth="0" w:num="1">
            <w:col w:w="11280"/>
          </w:cols>
          <w:pgMar w:left="300" w:top="1440" w:right="319" w:bottom="1440" w:gutter="0" w:footer="0" w:header="0"/>
        </w:sectPr>
      </w:pPr>
    </w:p>
    <w:bookmarkStart w:id="76" w:name="page77"/>
    <w:bookmarkEnd w:id="76"/>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205105</wp:posOffset>
            </wp:positionV>
            <wp:extent cx="1263015" cy="3803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263015" cy="380365"/>
                    </a:xfrm>
                    <a:prstGeom prst="rect">
                      <a:avLst/>
                    </a:prstGeom>
                    <a:noFill/>
                  </pic:spPr>
                </pic:pic>
              </a:graphicData>
            </a:graphic>
          </wp:anchor>
        </w:drawing>
      </w:r>
    </w:p>
    <w:p>
      <w:pPr>
        <w:jc w:val="both"/>
        <w:ind w:firstLine="790"/>
        <w:spacing w:after="0" w:line="139" w:lineRule="exact"/>
        <w:tabs>
          <w:tab w:leader="none" w:pos="971"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This agreement, the PIIA, and the Arbitration Agreement constitute the entire agreement between you and the Company regarding the terms and conditions of your employment. You agree that no agreements or representations, verbal or written, with respect to the subject matter of our oﬀer have been made to you other than those set forth in this letter agreement. To the extent any such agreements or representations were made, this agreement supersedes any and all previous oﬀers, statements, agreements and representations made in the course of discussions and negotiations for this oﬀer. Changes to the terms of this agreement, other than the changes to employment terms reserved to the Company’s discretion, require a written modi</w:t>
      </w:r>
      <w:r>
        <w:rPr>
          <w:rFonts w:ascii="Arial Unicode MS" w:cs="Arial Unicode MS" w:eastAsia="Arial Unicode MS" w:hAnsi="Arial Unicode MS"/>
          <w:sz w:val="12"/>
          <w:szCs w:val="12"/>
          <w:color w:val="auto"/>
        </w:rPr>
        <w:t></w:t>
      </w:r>
      <w:r>
        <w:rPr>
          <w:rFonts w:ascii="Arial" w:cs="Arial" w:eastAsia="Arial" w:hAnsi="Arial"/>
          <w:sz w:val="12"/>
          <w:szCs w:val="12"/>
          <w:color w:val="auto"/>
        </w:rPr>
        <w:t>cation signed by an authorized oﬃcer of the Company. If any provision of this oﬀer letter agreement is determined to be invalid or unenforceable, in whole or in part, this determination shall not aﬀect any other provision of this oﬀer letter agreement and the provision in question shall be modi</w:t>
      </w:r>
      <w:r>
        <w:rPr>
          <w:rFonts w:ascii="Arial Unicode MS" w:cs="Arial Unicode MS" w:eastAsia="Arial Unicode MS" w:hAnsi="Arial Unicode MS"/>
          <w:sz w:val="12"/>
          <w:szCs w:val="12"/>
          <w:color w:val="auto"/>
        </w:rPr>
        <w:t></w:t>
      </w:r>
      <w:r>
        <w:rPr>
          <w:rFonts w:ascii="Arial" w:cs="Arial" w:eastAsia="Arial" w:hAnsi="Arial"/>
          <w:sz w:val="12"/>
          <w:szCs w:val="12"/>
          <w:color w:val="auto"/>
        </w:rPr>
        <w:t>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eﬀective for all purposes.</w:t>
      </w:r>
    </w:p>
    <w:p>
      <w:pPr>
        <w:spacing w:after="0" w:line="101" w:lineRule="exact"/>
        <w:rPr>
          <w:rFonts w:ascii="Arial" w:cs="Arial" w:eastAsia="Arial" w:hAnsi="Arial"/>
          <w:sz w:val="12"/>
          <w:szCs w:val="12"/>
          <w:color w:val="auto"/>
        </w:rPr>
      </w:pPr>
    </w:p>
    <w:p>
      <w:pPr>
        <w:ind w:firstLine="790"/>
        <w:spacing w:after="0" w:line="251" w:lineRule="auto"/>
        <w:tabs>
          <w:tab w:leader="none" w:pos="974" w:val="left"/>
        </w:tabs>
        <w:numPr>
          <w:ilvl w:val="0"/>
          <w:numId w:val="49"/>
        </w:numPr>
        <w:rPr>
          <w:rFonts w:ascii="Arial" w:cs="Arial" w:eastAsia="Arial" w:hAnsi="Arial"/>
          <w:sz w:val="14"/>
          <w:szCs w:val="14"/>
          <w:color w:val="auto"/>
        </w:rPr>
      </w:pPr>
      <w:r>
        <w:rPr>
          <w:rFonts w:ascii="Arial" w:cs="Arial" w:eastAsia="Arial" w:hAnsi="Arial"/>
          <w:sz w:val="14"/>
          <w:szCs w:val="14"/>
          <w:color w:val="auto"/>
        </w:rPr>
        <w:t>You represent and warrant that the information you provided to us during the hiring process is true and accurate, and you acknowledge that this oﬀer is contingent on your consent to, and the successful completion of reference and background checks.</w:t>
      </w:r>
    </w:p>
    <w:p>
      <w:pPr>
        <w:spacing w:after="0" w:line="110" w:lineRule="exact"/>
        <w:rPr>
          <w:sz w:val="20"/>
          <w:szCs w:val="20"/>
          <w:color w:val="auto"/>
        </w:rPr>
      </w:pPr>
    </w:p>
    <w:p>
      <w:pPr>
        <w:jc w:val="both"/>
        <w:ind w:right="140"/>
        <w:spacing w:after="0" w:line="154" w:lineRule="exact"/>
        <w:rPr>
          <w:sz w:val="20"/>
          <w:szCs w:val="20"/>
          <w:color w:val="auto"/>
        </w:rPr>
      </w:pPr>
      <w:r>
        <w:rPr>
          <w:rFonts w:ascii="Arial" w:cs="Arial" w:eastAsia="Arial" w:hAnsi="Arial"/>
          <w:sz w:val="14"/>
          <w:szCs w:val="14"/>
          <w:color w:val="auto"/>
        </w:rPr>
        <w:t xml:space="preserve">We are all delighted to be able to extend you this oﬀer which will remain open for 10 </w:t>
      </w:r>
      <w:r>
        <w:rPr>
          <w:rFonts w:ascii="Arial" w:cs="Arial" w:eastAsia="Arial" w:hAnsi="Arial"/>
          <w:sz w:val="14"/>
          <w:szCs w:val="14"/>
          <w:b w:val="1"/>
          <w:bCs w:val="1"/>
          <w:i w:val="1"/>
          <w:iCs w:val="1"/>
          <w:color w:val="auto"/>
        </w:rPr>
        <w:t>calendar</w:t>
      </w:r>
      <w:r>
        <w:rPr>
          <w:rFonts w:ascii="Arial" w:cs="Arial" w:eastAsia="Arial" w:hAnsi="Arial"/>
          <w:sz w:val="14"/>
          <w:szCs w:val="14"/>
          <w:color w:val="auto"/>
        </w:rPr>
        <w:t xml:space="preserve"> days from the </w:t>
      </w:r>
      <w:r>
        <w:rPr>
          <w:rFonts w:ascii="Arial" w:cs="Arial" w:eastAsia="Arial" w:hAnsi="Arial"/>
          <w:sz w:val="14"/>
          <w:szCs w:val="14"/>
          <w:b w:val="1"/>
          <w:bCs w:val="1"/>
          <w:color w:val="auto"/>
        </w:rPr>
        <w:t>Company's</w:t>
      </w:r>
      <w:r>
        <w:rPr>
          <w:rFonts w:ascii="Arial" w:cs="Arial" w:eastAsia="Arial" w:hAnsi="Arial"/>
          <w:sz w:val="14"/>
          <w:szCs w:val="14"/>
          <w:color w:val="auto"/>
        </w:rPr>
        <w:t xml:space="preserve"> signing date below. To indicate your acceptance of the Company’s oﬀer as set forth above, please sign and date (i) this letter in the space provided below, (ii) the PIIA, and (iii) the Arbitration Agreement. This letter may not be modi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or amended except by a written agreement, signed by the Company and by you.</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404040"/>
        </w:rPr>
        <w:t>3</w:t>
      </w:r>
    </w:p>
    <w:p>
      <w:pPr>
        <w:sectPr>
          <w:pgSz w:w="11900" w:h="16838" w:orient="portrait"/>
          <w:cols w:equalWidth="0" w:num="1">
            <w:col w:w="11280"/>
          </w:cols>
          <w:pgMar w:left="300" w:top="1440" w:right="319" w:bottom="1440" w:gutter="0" w:footer="0" w:header="0"/>
        </w:sectPr>
      </w:pPr>
    </w:p>
    <w:bookmarkStart w:id="77" w:name="page78"/>
    <w:bookmarkEnd w:id="77"/>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205105</wp:posOffset>
            </wp:positionV>
            <wp:extent cx="1263015" cy="3803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263015" cy="3803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Very truly yours,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TWILIO INC.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 Christy Lake</w:t>
      </w:r>
    </w:p>
    <w:p>
      <w:pPr>
        <w:spacing w:after="0"/>
        <w:rPr>
          <w:sz w:val="20"/>
          <w:szCs w:val="20"/>
          <w:color w:val="auto"/>
        </w:rPr>
      </w:pPr>
      <w:r>
        <w:rPr>
          <w:rFonts w:ascii="Arial" w:cs="Arial" w:eastAsia="Arial" w:hAnsi="Arial"/>
          <w:sz w:val="14"/>
          <w:szCs w:val="14"/>
          <w:color w:val="auto"/>
        </w:rPr>
        <w:t>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Christy Lake</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Chief People Officer</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222222"/>
        </w:rPr>
        <w:t>April 28, 2022</w:t>
      </w:r>
    </w:p>
    <w:p>
      <w:pPr>
        <w:spacing w:after="0"/>
        <w:rPr>
          <w:sz w:val="20"/>
          <w:szCs w:val="20"/>
          <w:color w:val="auto"/>
        </w:rPr>
      </w:pPr>
      <w:r>
        <w:rPr>
          <w:rFonts w:ascii="Arial" w:cs="Arial" w:eastAsia="Arial" w:hAnsi="Arial"/>
          <w:sz w:val="14"/>
          <w:szCs w:val="14"/>
          <w:color w:val="auto"/>
        </w:rPr>
        <w:t>___________________________</w:t>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ACCEPTED AND AGREED:</w:t>
      </w:r>
    </w:p>
    <w:p>
      <w:pPr>
        <w:spacing w:after="0" w:line="123"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I agree to and accept employment with the Company on the terms and conditions set forth in this letter agreement. I understand and agree that my employment with the Company is “at will” and may be terminated by me or the Company at any time, with or without cause or notice.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 Elena Donio</w:t>
      </w:r>
    </w:p>
    <w:p>
      <w:pPr>
        <w:spacing w:after="0"/>
        <w:rPr>
          <w:sz w:val="20"/>
          <w:szCs w:val="20"/>
          <w:color w:val="auto"/>
        </w:rPr>
      </w:pPr>
      <w:r>
        <w:rPr>
          <w:rFonts w:ascii="Arial" w:cs="Arial" w:eastAsia="Arial" w:hAnsi="Arial"/>
          <w:sz w:val="14"/>
          <w:szCs w:val="14"/>
          <w:color w:val="auto"/>
        </w:rPr>
        <w:t>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ELENA DONIO</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April 29, 2022</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404040"/>
        </w:rPr>
        <w:t>4</w:t>
      </w:r>
    </w:p>
    <w:p>
      <w:pPr>
        <w:sectPr>
          <w:pgSz w:w="11900" w:h="16838" w:orient="portrait"/>
          <w:cols w:equalWidth="0" w:num="1">
            <w:col w:w="10900"/>
          </w:cols>
          <w:pgMar w:left="300" w:top="1440" w:right="699" w:bottom="1440" w:gutter="0" w:footer="0" w:header="0"/>
        </w:sectPr>
      </w:pPr>
    </w:p>
    <w:bookmarkStart w:id="78" w:name="page79"/>
    <w:bookmarkEnd w:id="78"/>
    <w:p>
      <w:pPr>
        <w:jc w:val="right"/>
        <w:spacing w:after="0"/>
        <w:rPr>
          <w:sz w:val="20"/>
          <w:szCs w:val="20"/>
          <w:color w:val="auto"/>
        </w:rPr>
      </w:pPr>
      <w:r>
        <w:rPr>
          <w:rFonts w:ascii="Arial" w:cs="Arial" w:eastAsia="Arial" w:hAnsi="Arial"/>
          <w:sz w:val="12"/>
          <w:szCs w:val="12"/>
          <w:b w:val="1"/>
          <w:bCs w:val="1"/>
          <w:color w:val="auto"/>
        </w:rPr>
        <w:t>Exhibit 31.1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RULE 13a-14(a) OR 15d-14(a)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SARBANES-OXLEY ACT OF 2002</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I, Jeff Lawson, certify that:</w:t>
      </w:r>
    </w:p>
    <w:p>
      <w:pPr>
        <w:spacing w:after="0" w:line="136" w:lineRule="exact"/>
        <w:rPr>
          <w:sz w:val="20"/>
          <w:szCs w:val="20"/>
          <w:color w:val="auto"/>
        </w:rPr>
      </w:pPr>
    </w:p>
    <w:p>
      <w:pPr>
        <w:ind w:left="980" w:hanging="492"/>
        <w:spacing w:after="0"/>
        <w:tabs>
          <w:tab w:leader="none" w:pos="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Twilio Inc.;</w:t>
      </w:r>
    </w:p>
    <w:p>
      <w:pPr>
        <w:spacing w:after="0" w:line="136" w:lineRule="exact"/>
        <w:rPr>
          <w:rFonts w:ascii="Arial" w:cs="Arial" w:eastAsia="Arial" w:hAnsi="Arial"/>
          <w:sz w:val="12"/>
          <w:szCs w:val="12"/>
          <w:color w:val="auto"/>
        </w:rPr>
      </w:pPr>
    </w:p>
    <w:p>
      <w:pPr>
        <w:ind w:right="40" w:firstLine="488"/>
        <w:spacing w:after="0" w:line="275" w:lineRule="auto"/>
        <w:tabs>
          <w:tab w:leader="none" w:pos="974"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2"/>
          <w:szCs w:val="12"/>
          <w:color w:val="auto"/>
        </w:rPr>
      </w:pPr>
    </w:p>
    <w:p>
      <w:pPr>
        <w:ind w:right="140" w:firstLine="488"/>
        <w:spacing w:after="0" w:line="275" w:lineRule="auto"/>
        <w:tabs>
          <w:tab w:leader="none" w:pos="974"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2"/>
          <w:szCs w:val="12"/>
          <w:color w:val="auto"/>
        </w:rPr>
      </w:pPr>
    </w:p>
    <w:p>
      <w:pPr>
        <w:ind w:right="320" w:firstLine="488"/>
        <w:spacing w:after="0" w:line="275" w:lineRule="auto"/>
        <w:tabs>
          <w:tab w:leader="none" w:pos="974"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9" w:lineRule="exact"/>
        <w:rPr>
          <w:rFonts w:ascii="Arial" w:cs="Arial" w:eastAsia="Arial" w:hAnsi="Arial"/>
          <w:sz w:val="12"/>
          <w:szCs w:val="12"/>
          <w:color w:val="auto"/>
        </w:rPr>
      </w:pPr>
    </w:p>
    <w:p>
      <w:pPr>
        <w:ind w:right="80" w:firstLine="975"/>
        <w:spacing w:after="0" w:line="275" w:lineRule="auto"/>
        <w:tabs>
          <w:tab w:leader="none" w:pos="1454" w:val="left"/>
        </w:tabs>
        <w:numPr>
          <w:ilvl w:val="1"/>
          <w:numId w:val="5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2"/>
          <w:szCs w:val="12"/>
          <w:color w:val="auto"/>
        </w:rPr>
      </w:pPr>
    </w:p>
    <w:p>
      <w:pPr>
        <w:ind w:right="300" w:firstLine="975"/>
        <w:spacing w:after="0" w:line="275" w:lineRule="auto"/>
        <w:tabs>
          <w:tab w:leader="none" w:pos="1461" w:val="left"/>
        </w:tabs>
        <w:numPr>
          <w:ilvl w:val="1"/>
          <w:numId w:val="5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2"/>
          <w:szCs w:val="12"/>
          <w:color w:val="auto"/>
        </w:rPr>
      </w:pPr>
    </w:p>
    <w:p>
      <w:pPr>
        <w:ind w:right="100" w:firstLine="975"/>
        <w:spacing w:after="0" w:line="275" w:lineRule="auto"/>
        <w:tabs>
          <w:tab w:leader="none" w:pos="1454" w:val="left"/>
        </w:tabs>
        <w:numPr>
          <w:ilvl w:val="1"/>
          <w:numId w:val="5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2"/>
          <w:szCs w:val="12"/>
          <w:color w:val="auto"/>
        </w:rPr>
      </w:pPr>
    </w:p>
    <w:p>
      <w:pPr>
        <w:ind w:right="140" w:firstLine="975"/>
        <w:spacing w:after="0" w:line="275" w:lineRule="auto"/>
        <w:tabs>
          <w:tab w:leader="none" w:pos="1461" w:val="left"/>
        </w:tabs>
        <w:numPr>
          <w:ilvl w:val="1"/>
          <w:numId w:val="5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2"/>
          <w:szCs w:val="12"/>
          <w:color w:val="auto"/>
        </w:rPr>
      </w:pPr>
    </w:p>
    <w:p>
      <w:pPr>
        <w:ind w:right="500" w:firstLine="488"/>
        <w:spacing w:after="0" w:line="275" w:lineRule="auto"/>
        <w:tabs>
          <w:tab w:leader="none" w:pos="974"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Arial" w:cs="Arial" w:eastAsia="Arial" w:hAnsi="Arial"/>
          <w:sz w:val="12"/>
          <w:szCs w:val="12"/>
          <w:color w:val="auto"/>
        </w:rPr>
      </w:pPr>
    </w:p>
    <w:p>
      <w:pPr>
        <w:ind w:right="20" w:firstLine="975"/>
        <w:spacing w:after="0" w:line="275" w:lineRule="auto"/>
        <w:tabs>
          <w:tab w:leader="none" w:pos="1454" w:val="left"/>
        </w:tabs>
        <w:numPr>
          <w:ilvl w:val="1"/>
          <w:numId w:val="5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2"/>
          <w:szCs w:val="12"/>
          <w:color w:val="auto"/>
        </w:rPr>
      </w:pPr>
    </w:p>
    <w:p>
      <w:pPr>
        <w:ind w:left="1460" w:hanging="485"/>
        <w:spacing w:after="0"/>
        <w:tabs>
          <w:tab w:leader="none" w:pos="1460" w:val="left"/>
        </w:tabs>
        <w:numPr>
          <w:ilvl w:val="1"/>
          <w:numId w:val="5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Date: August 5, 2022</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02666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026660" cy="63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Jeff Lawson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Chief Executive Officer (Principal Executive Officer)</w:t>
      </w:r>
    </w:p>
    <w:p>
      <w:pPr>
        <w:sectPr>
          <w:pgSz w:w="11900" w:h="16838" w:orient="portrait"/>
          <w:cols w:equalWidth="0" w:num="1">
            <w:col w:w="11280"/>
          </w:cols>
          <w:pgMar w:left="300" w:top="839" w:right="319" w:bottom="1440" w:gutter="0" w:footer="0" w:header="0"/>
        </w:sectPr>
      </w:pPr>
    </w:p>
    <w:bookmarkStart w:id="79" w:name="page80"/>
    <w:bookmarkEnd w:id="79"/>
    <w:p>
      <w:pPr>
        <w:jc w:val="right"/>
        <w:spacing w:after="0"/>
        <w:rPr>
          <w:sz w:val="20"/>
          <w:szCs w:val="20"/>
          <w:color w:val="auto"/>
        </w:rPr>
      </w:pPr>
      <w:r>
        <w:rPr>
          <w:rFonts w:ascii="Arial" w:cs="Arial" w:eastAsia="Arial" w:hAnsi="Arial"/>
          <w:sz w:val="12"/>
          <w:szCs w:val="12"/>
          <w:b w:val="1"/>
          <w:bCs w:val="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RULE 13a-14(a) OR 15d-14(a)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I, Khozema Z. Shipchandler certify that:</w:t>
      </w:r>
    </w:p>
    <w:p>
      <w:pPr>
        <w:spacing w:after="0" w:line="136" w:lineRule="exact"/>
        <w:rPr>
          <w:sz w:val="20"/>
          <w:szCs w:val="20"/>
          <w:color w:val="auto"/>
        </w:rPr>
      </w:pPr>
    </w:p>
    <w:p>
      <w:pPr>
        <w:ind w:left="980" w:hanging="492"/>
        <w:spacing w:after="0"/>
        <w:tabs>
          <w:tab w:leader="none" w:pos="9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Twilio Inc.;</w:t>
      </w:r>
    </w:p>
    <w:p>
      <w:pPr>
        <w:spacing w:after="0" w:line="146" w:lineRule="exact"/>
        <w:rPr>
          <w:rFonts w:ascii="Arial" w:cs="Arial" w:eastAsia="Arial" w:hAnsi="Arial"/>
          <w:sz w:val="12"/>
          <w:szCs w:val="12"/>
          <w:color w:val="auto"/>
        </w:rPr>
      </w:pPr>
    </w:p>
    <w:p>
      <w:pPr>
        <w:ind w:right="40" w:firstLine="488"/>
        <w:spacing w:after="0" w:line="275" w:lineRule="auto"/>
        <w:tabs>
          <w:tab w:leader="none" w:pos="974"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Arial" w:cs="Arial" w:eastAsia="Arial" w:hAnsi="Arial"/>
          <w:sz w:val="12"/>
          <w:szCs w:val="12"/>
          <w:color w:val="auto"/>
        </w:rPr>
      </w:pPr>
    </w:p>
    <w:p>
      <w:pPr>
        <w:ind w:right="140" w:firstLine="488"/>
        <w:spacing w:after="0" w:line="275" w:lineRule="auto"/>
        <w:tabs>
          <w:tab w:leader="none" w:pos="974"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2"/>
          <w:szCs w:val="12"/>
          <w:color w:val="auto"/>
        </w:rPr>
      </w:pPr>
    </w:p>
    <w:p>
      <w:pPr>
        <w:ind w:right="320" w:firstLine="488"/>
        <w:spacing w:after="0" w:line="275" w:lineRule="auto"/>
        <w:tabs>
          <w:tab w:leader="none" w:pos="974"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2"/>
          <w:szCs w:val="12"/>
          <w:color w:val="auto"/>
        </w:rPr>
      </w:pPr>
    </w:p>
    <w:p>
      <w:pPr>
        <w:ind w:right="80" w:firstLine="975"/>
        <w:spacing w:after="0" w:line="275" w:lineRule="auto"/>
        <w:tabs>
          <w:tab w:leader="none" w:pos="1454"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2"/>
          <w:szCs w:val="12"/>
          <w:color w:val="auto"/>
        </w:rPr>
      </w:pPr>
    </w:p>
    <w:p>
      <w:pPr>
        <w:ind w:right="300" w:firstLine="975"/>
        <w:spacing w:after="0" w:line="275" w:lineRule="auto"/>
        <w:tabs>
          <w:tab w:leader="none" w:pos="1461"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2"/>
          <w:szCs w:val="12"/>
          <w:color w:val="auto"/>
        </w:rPr>
      </w:pPr>
    </w:p>
    <w:p>
      <w:pPr>
        <w:ind w:right="100" w:firstLine="975"/>
        <w:spacing w:after="0" w:line="275" w:lineRule="auto"/>
        <w:tabs>
          <w:tab w:leader="none" w:pos="1454" w:val="left"/>
        </w:tabs>
        <w:numPr>
          <w:ilvl w:val="1"/>
          <w:numId w:val="5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2"/>
          <w:szCs w:val="12"/>
          <w:color w:val="auto"/>
        </w:rPr>
      </w:pPr>
    </w:p>
    <w:p>
      <w:pPr>
        <w:ind w:right="140" w:firstLine="975"/>
        <w:spacing w:after="0" w:line="275" w:lineRule="auto"/>
        <w:tabs>
          <w:tab w:leader="none" w:pos="1461" w:val="left"/>
        </w:tabs>
        <w:numPr>
          <w:ilvl w:val="1"/>
          <w:numId w:val="5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9" w:lineRule="exact"/>
        <w:rPr>
          <w:rFonts w:ascii="Arial" w:cs="Arial" w:eastAsia="Arial" w:hAnsi="Arial"/>
          <w:sz w:val="12"/>
          <w:szCs w:val="12"/>
          <w:color w:val="auto"/>
        </w:rPr>
      </w:pPr>
    </w:p>
    <w:p>
      <w:pPr>
        <w:ind w:right="500" w:firstLine="488"/>
        <w:spacing w:after="0" w:line="275" w:lineRule="auto"/>
        <w:tabs>
          <w:tab w:leader="none" w:pos="974"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Arial" w:cs="Arial" w:eastAsia="Arial" w:hAnsi="Arial"/>
          <w:sz w:val="12"/>
          <w:szCs w:val="12"/>
          <w:color w:val="auto"/>
        </w:rPr>
      </w:pPr>
    </w:p>
    <w:p>
      <w:pPr>
        <w:ind w:right="20" w:firstLine="975"/>
        <w:spacing w:after="0" w:line="275" w:lineRule="auto"/>
        <w:tabs>
          <w:tab w:leader="none" w:pos="1454" w:val="left"/>
        </w:tabs>
        <w:numPr>
          <w:ilvl w:val="1"/>
          <w:numId w:val="5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2"/>
          <w:szCs w:val="12"/>
          <w:color w:val="auto"/>
        </w:rPr>
      </w:pPr>
    </w:p>
    <w:p>
      <w:pPr>
        <w:ind w:left="1460" w:hanging="485"/>
        <w:spacing w:after="0"/>
        <w:tabs>
          <w:tab w:leader="none" w:pos="1460" w:val="left"/>
        </w:tabs>
        <w:numPr>
          <w:ilvl w:val="1"/>
          <w:numId w:val="5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Date: August 5, 2022</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308038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080385" cy="635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Khozema Z. Shipchandler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Chief Operating Officer (Principal Accounting and Financial Officer)</w:t>
      </w:r>
    </w:p>
    <w:p>
      <w:pPr>
        <w:sectPr>
          <w:pgSz w:w="11900" w:h="16838" w:orient="portrait"/>
          <w:cols w:equalWidth="0" w:num="1">
            <w:col w:w="11280"/>
          </w:cols>
          <w:pgMar w:left="300" w:top="707" w:right="319" w:bottom="1440" w:gutter="0" w:footer="0" w:header="0"/>
        </w:sectPr>
      </w:pPr>
    </w:p>
    <w:bookmarkStart w:id="80" w:name="page81"/>
    <w:bookmarkEnd w:id="80"/>
    <w:p>
      <w:pPr>
        <w:jc w:val="right"/>
        <w:spacing w:after="0"/>
        <w:rPr>
          <w:sz w:val="20"/>
          <w:szCs w:val="20"/>
          <w:color w:val="auto"/>
        </w:rPr>
      </w:pPr>
      <w:r>
        <w:rPr>
          <w:rFonts w:ascii="Arial" w:cs="Arial" w:eastAsia="Arial" w:hAnsi="Arial"/>
          <w:sz w:val="12"/>
          <w:szCs w:val="12"/>
          <w:b w:val="1"/>
          <w:bCs w:val="1"/>
          <w:color w:val="auto"/>
        </w:rPr>
        <w:t>Exhibit 32.1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 AND CHIEF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26" w:lineRule="exact"/>
        <w:rPr>
          <w:sz w:val="20"/>
          <w:szCs w:val="20"/>
          <w:color w:val="auto"/>
        </w:rPr>
      </w:pPr>
    </w:p>
    <w:p>
      <w:pPr>
        <w:jc w:val="both"/>
        <w:ind w:right="60" w:firstLine="487"/>
        <w:spacing w:after="0" w:line="261" w:lineRule="auto"/>
        <w:rPr>
          <w:sz w:val="20"/>
          <w:szCs w:val="20"/>
          <w:color w:val="auto"/>
        </w:rPr>
      </w:pPr>
      <w:r>
        <w:rPr>
          <w:rFonts w:ascii="Arial" w:cs="Arial" w:eastAsia="Arial" w:hAnsi="Arial"/>
          <w:sz w:val="12"/>
          <w:szCs w:val="12"/>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Jeff Lawson, Chief Executive Officer of Twilio Inc. (the “Company”), and Khozema Z. Shipchandler, Chief Operating Officer of the Company, each hereby certifies that, to the best of his knowledge:</w:t>
      </w:r>
    </w:p>
    <w:p>
      <w:pPr>
        <w:spacing w:after="0" w:line="118" w:lineRule="exact"/>
        <w:rPr>
          <w:sz w:val="20"/>
          <w:szCs w:val="20"/>
          <w:color w:val="auto"/>
        </w:rPr>
      </w:pPr>
    </w:p>
    <w:p>
      <w:pPr>
        <w:ind w:right="380" w:firstLine="488"/>
        <w:spacing w:after="0" w:line="275" w:lineRule="auto"/>
        <w:tabs>
          <w:tab w:leader="none" w:pos="974"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Company’s Quarterly Report on Form 10-Q for the quarter ended June 30, 2022, to which this Certification is attached as Exhibit 32.1 (the “Periodic Report”), fully complies with the requirements of Section 13(a) or Section 15(d) of the Exchange Act; and</w:t>
      </w:r>
    </w:p>
    <w:p>
      <w:pPr>
        <w:spacing w:after="0" w:line="99" w:lineRule="exact"/>
        <w:rPr>
          <w:rFonts w:ascii="Arial" w:cs="Arial" w:eastAsia="Arial" w:hAnsi="Arial"/>
          <w:sz w:val="12"/>
          <w:szCs w:val="12"/>
          <w:color w:val="auto"/>
        </w:rPr>
      </w:pPr>
    </w:p>
    <w:p>
      <w:pPr>
        <w:ind w:left="980" w:hanging="492"/>
        <w:spacing w:after="0"/>
        <w:tabs>
          <w:tab w:leader="none" w:pos="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color w:val="auto"/>
        </w:rPr>
        <w:t>Date: August 5, 2022</w:t>
      </w:r>
    </w:p>
    <w:p>
      <w:pPr>
        <w:spacing w:after="0" w:line="126" w:lineRule="exact"/>
        <w:rPr>
          <w:sz w:val="20"/>
          <w:szCs w:val="20"/>
          <w:color w:val="auto"/>
        </w:rPr>
      </w:pPr>
    </w:p>
    <w:p>
      <w:pPr>
        <w:ind w:left="2200"/>
        <w:spacing w:after="0"/>
        <w:rPr>
          <w:sz w:val="20"/>
          <w:szCs w:val="20"/>
          <w:color w:val="auto"/>
        </w:rPr>
      </w:pPr>
      <w:r>
        <w:rPr>
          <w:rFonts w:ascii="Arial" w:cs="Arial" w:eastAsia="Arial" w:hAnsi="Arial"/>
          <w:sz w:val="12"/>
          <w:szCs w:val="12"/>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13335</wp:posOffset>
            </wp:positionV>
            <wp:extent cx="308038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080385" cy="6350"/>
                    </a:xfrm>
                    <a:prstGeom prst="rect">
                      <a:avLst/>
                    </a:prstGeom>
                    <a:noFill/>
                  </pic:spPr>
                </pic:pic>
              </a:graphicData>
            </a:graphic>
          </wp:anchor>
        </w:drawing>
      </w:r>
    </w:p>
    <w:p>
      <w:pPr>
        <w:spacing w:after="0" w:line="35" w:lineRule="exact"/>
        <w:rPr>
          <w:sz w:val="20"/>
          <w:szCs w:val="20"/>
          <w:color w:val="auto"/>
        </w:rPr>
      </w:pPr>
    </w:p>
    <w:p>
      <w:pPr>
        <w:ind w:left="2200"/>
        <w:spacing w:after="0"/>
        <w:rPr>
          <w:sz w:val="20"/>
          <w:szCs w:val="20"/>
          <w:color w:val="auto"/>
        </w:rPr>
      </w:pPr>
      <w:r>
        <w:rPr>
          <w:rFonts w:ascii="Arial" w:cs="Arial" w:eastAsia="Arial" w:hAnsi="Arial"/>
          <w:sz w:val="12"/>
          <w:szCs w:val="12"/>
          <w:color w:val="auto"/>
        </w:rPr>
        <w:t>Jeff Lawson</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2"/>
          <w:szCs w:val="12"/>
          <w:i w:val="1"/>
          <w:iCs w:val="1"/>
          <w:color w:val="auto"/>
        </w:rPr>
        <w:t>Chief Executive Officer (Principal Executive Officer)</w:t>
      </w:r>
    </w:p>
    <w:p>
      <w:pPr>
        <w:spacing w:after="0" w:line="217" w:lineRule="exact"/>
        <w:rPr>
          <w:sz w:val="20"/>
          <w:szCs w:val="20"/>
          <w:color w:val="auto"/>
        </w:rPr>
      </w:pPr>
    </w:p>
    <w:p>
      <w:pPr>
        <w:ind w:left="2200"/>
        <w:spacing w:after="0"/>
        <w:rPr>
          <w:sz w:val="20"/>
          <w:szCs w:val="20"/>
          <w:color w:val="auto"/>
        </w:rPr>
      </w:pPr>
      <w:r>
        <w:rPr>
          <w:rFonts w:ascii="Arial" w:cs="Arial" w:eastAsia="Arial" w:hAnsi="Arial"/>
          <w:sz w:val="12"/>
          <w:szCs w:val="12"/>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13335</wp:posOffset>
            </wp:positionV>
            <wp:extent cx="308038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080385" cy="6350"/>
                    </a:xfrm>
                    <a:prstGeom prst="rect">
                      <a:avLst/>
                    </a:prstGeom>
                    <a:noFill/>
                  </pic:spPr>
                </pic:pic>
              </a:graphicData>
            </a:graphic>
          </wp:anchor>
        </w:drawing>
      </w:r>
    </w:p>
    <w:p>
      <w:pPr>
        <w:spacing w:after="0" w:line="35" w:lineRule="exact"/>
        <w:rPr>
          <w:sz w:val="20"/>
          <w:szCs w:val="20"/>
          <w:color w:val="auto"/>
        </w:rPr>
      </w:pPr>
    </w:p>
    <w:p>
      <w:pPr>
        <w:ind w:left="2200"/>
        <w:spacing w:after="0"/>
        <w:rPr>
          <w:sz w:val="20"/>
          <w:szCs w:val="20"/>
          <w:color w:val="auto"/>
        </w:rPr>
      </w:pPr>
      <w:r>
        <w:rPr>
          <w:rFonts w:ascii="Arial" w:cs="Arial" w:eastAsia="Arial" w:hAnsi="Arial"/>
          <w:sz w:val="12"/>
          <w:szCs w:val="12"/>
          <w:color w:val="auto"/>
        </w:rPr>
        <w:t>Khozema Z. Shipchandler</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12"/>
          <w:szCs w:val="12"/>
          <w:i w:val="1"/>
          <w:iCs w:val="1"/>
          <w:color w:val="auto"/>
        </w:rPr>
        <w:t>Chief Operating Officer (Principal Accounting and Financial Officer)</w:t>
      </w:r>
    </w:p>
    <w:sectPr>
      <w:pgSz w:w="11900" w:h="16838" w:orient="portrait"/>
      <w:cols w:equalWidth="0" w:num="1">
        <w:col w:w="11280"/>
      </w:cols>
      <w:pgMar w:left="300" w:top="70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2"/>
    </w:lvl>
    <w:lvl w:ilvl="1">
      <w:lvlJc w:val="left"/>
      <w:lvlText w:val="(%2)"/>
      <w:numFmt w:val="lowerLetter"/>
      <w:start w:val="1"/>
    </w:lvl>
  </w:abstractNum>
  <w:abstractNum w:abstractNumId="7">
    <w:nsid w:val="8138641"/>
    <w:multiLevelType w:val="hybridMultilevel"/>
    <w:lvl w:ilvl="0">
      <w:lvlJc w:val="left"/>
      <w:lvlText w:val="(%1)"/>
      <w:numFmt w:val="lowerLetter"/>
      <w:start w:val="2"/>
    </w:lvl>
  </w:abstractNum>
  <w:abstractNum w:abstractNumId="8">
    <w:nsid w:val="1E7FF521"/>
    <w:multiLevelType w:val="hybridMultilevel"/>
    <w:lvl w:ilvl="0">
      <w:lvlJc w:val="left"/>
      <w:lvlText w:val="(%1)"/>
      <w:numFmt w:val="lowerLetter"/>
      <w:start w:val="3"/>
    </w:lvl>
  </w:abstractNum>
  <w:abstractNum w:abstractNumId="9">
    <w:nsid w:val="7C3DBD3D"/>
    <w:multiLevelType w:val="hybridMultilevel"/>
    <w:lvl w:ilvl="0">
      <w:lvlJc w:val="left"/>
      <w:lvlText w:val="(%1)"/>
      <w:numFmt w:val="lowerLetter"/>
      <w:start w:val="4"/>
    </w:lvl>
  </w:abstractNum>
  <w:abstractNum w:abstractNumId="10">
    <w:nsid w:val="737B8DDC"/>
    <w:multiLevelType w:val="hybridMultilevel"/>
    <w:lvl w:ilvl="0">
      <w:lvlJc w:val="left"/>
      <w:lvlText w:val="(%1)"/>
      <w:numFmt w:val="lowerLetter"/>
      <w:start w:val="5"/>
    </w:lvl>
  </w:abstractNum>
  <w:abstractNum w:abstractNumId="11">
    <w:nsid w:val="6CEAF087"/>
    <w:multiLevelType w:val="hybridMultilevel"/>
    <w:lvl w:ilvl="0">
      <w:lvlJc w:val="left"/>
      <w:lvlText w:val="(%1)"/>
      <w:numFmt w:val="lowerLetter"/>
      <w:start w:val="6"/>
    </w:lvl>
  </w:abstractNum>
  <w:abstractNum w:abstractNumId="12">
    <w:nsid w:val="22221A70"/>
    <w:multiLevelType w:val="hybridMultilevel"/>
    <w:lvl w:ilvl="0">
      <w:lvlJc w:val="left"/>
      <w:lvlText w:val="(%1)"/>
      <w:numFmt w:val="lowerLetter"/>
      <w:start w:val="7"/>
    </w:lvl>
  </w:abstractNum>
  <w:abstractNum w:abstractNumId="13">
    <w:nsid w:val="4516DDE9"/>
    <w:multiLevelType w:val="hybridMultilevel"/>
    <w:lvl w:ilvl="0">
      <w:lvlJc w:val="left"/>
      <w:lvlText w:val="(%1)"/>
      <w:numFmt w:val="lowerLetter"/>
      <w:start w:val="8"/>
    </w:lvl>
  </w:abstractNum>
  <w:abstractNum w:abstractNumId="14">
    <w:nsid w:val="3006C83E"/>
    <w:multiLevelType w:val="hybridMultilevel"/>
    <w:lvl w:ilvl="0">
      <w:lvlJc w:val="left"/>
      <w:lvlText w:val="(%1)"/>
      <w:numFmt w:val="lowerRoman"/>
      <w:start w:val="1"/>
    </w:lvl>
  </w:abstractNum>
  <w:abstractNum w:abstractNumId="15">
    <w:nsid w:val="614FD4A1"/>
    <w:multiLevelType w:val="hybridMultilevel"/>
    <w:lvl w:ilvl="0">
      <w:lvlJc w:val="left"/>
      <w:lvlText w:val="%1."/>
      <w:numFmt w:val="decimal"/>
      <w:start w:val="3"/>
    </w:lvl>
  </w:abstractNum>
  <w:abstractNum w:abstractNumId="16">
    <w:nsid w:val="419AC241"/>
    <w:multiLevelType w:val="hybridMultilevel"/>
    <w:lvl w:ilvl="0">
      <w:lvlJc w:val="left"/>
      <w:lvlText w:val="(%1)"/>
      <w:numFmt w:val="lowerLetter"/>
      <w:start w:val="1"/>
    </w:lvl>
  </w:abstractNum>
  <w:abstractNum w:abstractNumId="17">
    <w:nsid w:val="5577F8E1"/>
    <w:multiLevelType w:val="hybridMultilevel"/>
    <w:lvl w:ilvl="0">
      <w:lvlJc w:val="left"/>
      <w:lvlText w:val="(%1)"/>
      <w:numFmt w:val="lowerLetter"/>
      <w:start w:val="2"/>
    </w:lvl>
  </w:abstractNum>
  <w:abstractNum w:abstractNumId="18">
    <w:nsid w:val="440BADFC"/>
    <w:multiLevelType w:val="hybridMultilevel"/>
    <w:lvl w:ilvl="0">
      <w:lvlJc w:val="left"/>
      <w:lvlText w:val="(%1)"/>
      <w:numFmt w:val="lowerLetter"/>
      <w:start w:val="3"/>
    </w:lvl>
  </w:abstractNum>
  <w:abstractNum w:abstractNumId="19">
    <w:nsid w:val="5072367"/>
    <w:multiLevelType w:val="hybridMultilevel"/>
    <w:lvl w:ilvl="0">
      <w:lvlJc w:val="left"/>
      <w:lvlText w:val="(%1)"/>
      <w:numFmt w:val="lowerLetter"/>
      <w:start w:val="4"/>
    </w:lvl>
  </w:abstractNum>
  <w:abstractNum w:abstractNumId="20">
    <w:nsid w:val="3804823E"/>
    <w:multiLevelType w:val="hybridMultilevel"/>
    <w:lvl w:ilvl="0">
      <w:lvlJc w:val="left"/>
      <w:lvlText w:val="%1."/>
      <w:numFmt w:val="decimal"/>
      <w:start w:val="12"/>
    </w:lvl>
  </w:abstractNum>
  <w:abstractNum w:abstractNumId="21">
    <w:nsid w:val="77465F01"/>
    <w:multiLevelType w:val="hybridMultilevel"/>
    <w:lvl w:ilvl="0">
      <w:lvlJc w:val="left"/>
      <w:lvlText w:val="%1"/>
      <w:numFmt w:val="decimal"/>
      <w:start w:val="1"/>
    </w:lvl>
    <w:lvl w:ilvl="1">
      <w:lvlJc w:val="left"/>
      <w:lvlText w:val="(%2)"/>
      <w:numFmt w:val="decimal"/>
      <w:start w:val="1"/>
    </w:lvl>
  </w:abstractNum>
  <w:abstractNum w:abstractNumId="22">
    <w:nsid w:val="7724C67E"/>
    <w:multiLevelType w:val="hybridMultilevel"/>
    <w:lvl w:ilvl="0">
      <w:lvlJc w:val="left"/>
      <w:lvlText w:val="(%1)"/>
      <w:numFmt w:val="decimal"/>
      <w:start w:val="3"/>
    </w:lvl>
    <w:lvl w:ilvl="1">
      <w:lvlJc w:val="left"/>
      <w:lvlText w:val="%2"/>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2"/>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2"/>
    </w:lvl>
  </w:abstractNum>
  <w:abstractNum w:abstractNumId="27">
    <w:nsid w:val="2D517796"/>
    <w:multiLevelType w:val="hybridMultilevel"/>
    <w:lvl w:ilvl="0">
      <w:lvlJc w:val="left"/>
      <w:lvlText w:val="(%1)"/>
      <w:numFmt w:val="lowerLetter"/>
      <w:start w:val="3"/>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04"/>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6"/>
    </w:lvl>
    <w:lvl w:ilvl="1">
      <w:lvlJc w:val="left"/>
      <w:lvlText w:val="%2."/>
      <w:numFmt w:val="lowerLetter"/>
      <w:start w:val="1"/>
    </w:lvl>
  </w:abstractNum>
  <w:abstractNum w:abstractNumId="48">
    <w:nsid w:val="3DC240FB"/>
    <w:multiLevelType w:val="hybridMultilevel"/>
    <w:lvl w:ilvl="0">
      <w:lvlJc w:val="left"/>
      <w:lvlText w:val="%1."/>
      <w:numFmt w:val="lowerLetter"/>
      <w:start w:val="2"/>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89" Type="http://schemas.openxmlformats.org/officeDocument/2006/relationships/hyperlink" Target="https://www.sec.gov/Archives/edgar/data/0001447669/000119312522151997/d27611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2022-08-05T15:46:51Z</dcterms:created>
  <dcterms:modified xsi:type="dcterms:W3CDTF">2022-08-05T15:46:51Z</dcterms:modified>
</cp:coreProperties>
</file>