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Twilio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001-37806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26-2574840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101 Spear Street, First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1024"/>
          </w:cols>
          <w:pgMar w:left="436" w:top="368" w:right="439" w:bottom="1440" w:gutter="0" w:footer="0" w:header="0"/>
          <w:type w:val="continuous"/>
        </w:sectPr>
      </w:pPr>
    </w:p>
    <w:p>
      <w:pPr>
        <w:spacing w:after="0" w:line="163" w:lineRule="exact"/>
        <w:rPr>
          <w:sz w:val="24"/>
          <w:szCs w:val="24"/>
          <w:color w:val="auto"/>
        </w:rPr>
      </w:pPr>
    </w:p>
    <w:p>
      <w:pPr>
        <w:ind w:left="4944"/>
        <w:spacing w:after="0"/>
        <w:rPr>
          <w:sz w:val="20"/>
          <w:szCs w:val="20"/>
          <w:color w:val="auto"/>
        </w:rPr>
      </w:pPr>
      <w:r>
        <w:rPr>
          <w:rFonts w:ascii="Arial" w:cs="Arial" w:eastAsia="Arial" w:hAnsi="Arial"/>
          <w:sz w:val="18"/>
          <w:szCs w:val="18"/>
          <w:b w:val="1"/>
          <w:bCs w:val="1"/>
          <w:color w:val="auto"/>
        </w:rPr>
        <w:t>(415) 390-2337</w:t>
      </w:r>
    </w:p>
    <w:p>
      <w:pPr>
        <w:spacing w:after="0" w:line="27" w:lineRule="exact"/>
        <w:rPr>
          <w:sz w:val="24"/>
          <w:szCs w:val="24"/>
          <w:color w:val="auto"/>
        </w:rPr>
      </w:pPr>
    </w:p>
    <w:p>
      <w:pPr>
        <w:ind w:left="3544"/>
        <w:spacing w:after="0"/>
        <w:rPr>
          <w:sz w:val="20"/>
          <w:szCs w:val="20"/>
          <w:color w:val="auto"/>
        </w:rPr>
      </w:pPr>
      <w:r>
        <w:rPr>
          <w:rFonts w:ascii="Arial" w:cs="Arial" w:eastAsia="Arial" w:hAnsi="Arial"/>
          <w:sz w:val="16"/>
          <w:szCs w:val="16"/>
          <w:b w:val="1"/>
          <w:bCs w:val="1"/>
          <w:color w:val="auto"/>
        </w:rPr>
        <w:t>Registrant’s telephone number, including area</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code</w:t>
      </w:r>
    </w:p>
    <w:p>
      <w:pPr>
        <w:spacing w:after="0" w:line="229" w:lineRule="exact"/>
        <w:rPr>
          <w:sz w:val="24"/>
          <w:szCs w:val="24"/>
          <w:color w:val="auto"/>
        </w:rPr>
      </w:pPr>
    </w:p>
    <w:p>
      <w:pPr>
        <w:sectPr>
          <w:pgSz w:w="11900" w:h="16838" w:orient="portrait"/>
          <w:cols w:equalWidth="0" w:num="2">
            <w:col w:w="7084" w:space="40"/>
            <w:col w:w="3900"/>
          </w:cols>
          <w:pgMar w:left="436" w:top="368" w:right="439" w:bottom="1440" w:gutter="0" w:footer="0" w:header="0"/>
          <w:type w:val="continuous"/>
        </w:sectPr>
      </w:pPr>
    </w:p>
    <w:p>
      <w:pPr>
        <w:spacing w:after="0" w:line="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TWLO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Twilio Inc. (the “</w:t>
      </w:r>
      <w:r>
        <w:rPr>
          <w:rFonts w:ascii="Arial" w:cs="Arial" w:eastAsia="Arial" w:hAnsi="Arial"/>
          <w:sz w:val="18"/>
          <w:szCs w:val="18"/>
          <w:u w:val="single" w:color="auto"/>
          <w:color w:val="auto"/>
        </w:rPr>
        <w:t>Company</w:t>
      </w:r>
      <w:r>
        <w:rPr>
          <w:rFonts w:ascii="Arial" w:cs="Arial" w:eastAsia="Arial" w:hAnsi="Arial"/>
          <w:sz w:val="18"/>
          <w:szCs w:val="18"/>
          <w:color w:val="auto"/>
        </w:rPr>
        <w:t>”) is filing this Current Report on Form 8-K to file the consent of KPMG, LLP (“</w:t>
      </w:r>
      <w:r>
        <w:rPr>
          <w:rFonts w:ascii="Arial" w:cs="Arial" w:eastAsia="Arial" w:hAnsi="Arial"/>
          <w:sz w:val="18"/>
          <w:szCs w:val="18"/>
          <w:u w:val="single" w:color="auto"/>
          <w:color w:val="auto"/>
        </w:rPr>
        <w:t>KPMG</w:t>
      </w:r>
      <w:r>
        <w:rPr>
          <w:rFonts w:ascii="Arial" w:cs="Arial" w:eastAsia="Arial" w:hAnsi="Arial"/>
          <w:sz w:val="18"/>
          <w:szCs w:val="18"/>
          <w:color w:val="auto"/>
        </w:rPr>
        <w:t>”) to the incorporation by reference in the registration statement (File No. 333-231794) on Form S-3 of the Company of their report with respect to the consolidated balance sheets of the Company as of December 31, 2019 and 2018, related consolidated statements of operations, comprehensive loss, stockholders’ equity, and cash flows for each of the years in the three-year period ended December 31, 2019, and the related notes, which report appears in the Company’s Annual Report on Form 10-K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consent of KPMG is filed herewith as Exhibit 23.1.</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
        <w:r>
          <w:rPr>
            <w:rFonts w:ascii="Arial" w:cs="Arial" w:eastAsia="Arial" w:hAnsi="Arial"/>
            <w:sz w:val="16"/>
            <w:szCs w:val="16"/>
            <w:u w:val="single" w:color="auto"/>
            <w:color w:val="0000EE"/>
          </w:rPr>
          <w:t>Consent of KPMG, independent registered public accounting firm</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Extensible Business Reporting Language)</w:t>
      </w:r>
    </w:p>
    <w:p>
      <w:pPr>
        <w:sectPr>
          <w:pgSz w:w="11900" w:h="16838" w:orient="portrait"/>
          <w:cols w:equalWidth="0" w:num="1">
            <w:col w:w="10940"/>
          </w:cols>
          <w:pgMar w:left="440" w:top="297" w:right="51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TWILIO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Khozema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Khozema Shipchandler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Twilio Inc.:</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333-231794) on Form S-3 and the registration statement (No. 333-212191, 333-224812, 333-229580 and 333-236819) on Form S-8 of Twilio Inc. of our reports dated March 2, 2020, with respect to the consolidated balance sheets of Twilio Inc. as of December 31, 2019 and 2018, the related consolidated statements of operations, comprehensive income, stockholders’ equity, and cash flows for each of the years in the three-year period ended December 31, 2019, and the related notes, and the effectiveness of internal control over financial reporting as of December 31, 2019, which reports appear in the December 31, 2019 annual report on Form 10-K of Twilio Inc.</w:t>
      </w:r>
    </w:p>
    <w:p>
      <w:pPr>
        <w:spacing w:after="0" w:line="19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audit report on the effectiveness of internal control over financial reporting as of December 31, 2019, contains an explanatory paragraph that states that the Company acquired SendGrid, Inc. (SendGrid) during fiscal 2019, and management excluded from its assessment of the effectiveness of the Company’s internal control over financial reporting as of December 31, 2019, SendGrid’s internal control over financial reporting associated with $271.4 million, or 5%, of the Company’s total assets and $177.1 million, or 16%, of total revenues included in the consolidated financial statements as of and for the year ended December 31, 2019. Our audit of internal control over financial reporting of the Company also excluded an evaluation of the internal control over financial reporting of SendGrid.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report on the consolidated financial statements refers to the change in the method of accounting for leases on the adoption of Financial Accounting Standards Board’s Accounting Standards Codification (ASC) Topic 842, Leases, as of January 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2020-08-05T14:57:21Z</dcterms:created>
  <dcterms:modified xsi:type="dcterms:W3CDTF">2020-08-05T14:57:21Z</dcterms:modified>
</cp:coreProperties>
</file>