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0001582090</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TWILIO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001-37806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 Spear Street, Fifth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20" w:type="dxa"/>
            <w:vAlign w:val="bottom"/>
          </w:tcPr>
          <w:p>
            <w:pPr>
              <w:spacing w:after="0"/>
              <w:rPr>
                <w:sz w:val="13"/>
                <w:szCs w:val="13"/>
                <w:color w:val="auto"/>
              </w:rPr>
            </w:pPr>
          </w:p>
        </w:tc>
        <w:tc>
          <w:tcPr>
            <w:tcW w:w="40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415-390-2337</w:t>
            </w:r>
          </w:p>
        </w:tc>
        <w:tc>
          <w:tcPr>
            <w:tcW w:w="0" w:type="dxa"/>
            <w:vAlign w:val="bottom"/>
          </w:tcPr>
          <w:p>
            <w:pPr>
              <w:spacing w:after="0"/>
              <w:rPr>
                <w:sz w:val="1"/>
                <w:szCs w:val="1"/>
                <w:color w:val="auto"/>
              </w:rPr>
            </w:pP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7"/>
              </w:rPr>
              <w:t>Sachem Head Capital Management LP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 of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1000000</w:t>
            </w:r>
          </w:p>
        </w:tc>
        <w:tc>
          <w:tcPr>
            <w:tcW w:w="26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184140000.00 151773860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80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Open market</w:t>
            </w:r>
          </w:p>
        </w:tc>
        <w:tc>
          <w:tcPr>
            <w:tcW w:w="19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02/21/2024 </w:t>
            </w:r>
            <w:r>
              <w:rPr>
                <w:rFonts w:ascii="Times New Roman" w:cs="Times New Roman" w:eastAsia="Times New Roman" w:hAnsi="Times New Roman"/>
                <w:sz w:val="43"/>
                <w:szCs w:val="43"/>
                <w:color w:val="auto"/>
                <w:vertAlign w:val="subscript"/>
              </w:rPr>
              <w:t>purchases</w:t>
            </w:r>
          </w:p>
        </w:tc>
        <w:tc>
          <w:tcPr>
            <w:tcW w:w="19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N/A</w:t>
            </w:r>
          </w:p>
        </w:tc>
        <w:tc>
          <w:tcPr>
            <w:tcW w:w="23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1000000</w:t>
            </w:r>
          </w:p>
        </w:tc>
        <w:tc>
          <w:tcPr>
            <w:tcW w:w="17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02/21/2024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Sachem Head Capital Management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West 55th Street</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05/12/2026 675000</w:t>
            </w:r>
          </w:p>
        </w:tc>
        <w:tc>
          <w:tcPr>
            <w:tcW w:w="158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130639500.00</w:t>
            </w:r>
          </w:p>
        </w:tc>
        <w:tc>
          <w:tcPr>
            <w:tcW w:w="0" w:type="dxa"/>
            <w:vAlign w:val="bottom"/>
          </w:tcPr>
          <w:p>
            <w:pPr>
              <w:spacing w:after="0"/>
              <w:rPr>
                <w:sz w:val="1"/>
                <w:szCs w:val="1"/>
                <w:color w:val="auto"/>
              </w:rPr>
            </w:pPr>
          </w:p>
        </w:tc>
      </w:tr>
      <w:tr>
        <w:trPr>
          <w:trHeight w:val="161"/>
        </w:trPr>
        <w:tc>
          <w:tcPr>
            <w:tcW w:w="3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34th Floor</w:t>
            </w: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Sachem Head Capital Management LP (SHCM) is the investment manager of certain funds that are selling the shares.</w:t>
      </w:r>
    </w:p>
    <w:p>
      <w:pPr>
        <w:spacing w:after="0" w:line="26" w:lineRule="exact"/>
        <w:rPr>
          <w:sz w:val="20"/>
          <w:szCs w:val="20"/>
          <w:color w:val="auto"/>
        </w:rPr>
      </w:pPr>
    </w:p>
    <w:p>
      <w:pPr>
        <w:ind w:left="940" w:right="2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Andrew Stafman, partner of SHCM, is a director of the Issuer. The aggregate market value is based on the sale price on 05/27/2026. The number of securities outstanding is as of 04/17/2026. The shares proposed to be sold were</w:t>
      </w:r>
    </w:p>
    <w:p>
      <w:pPr>
        <w:ind w:left="940"/>
        <w:spacing w:after="0"/>
        <w:rPr>
          <w:sz w:val="20"/>
          <w:szCs w:val="20"/>
          <w:color w:val="auto"/>
        </w:rPr>
      </w:pPr>
      <w:r>
        <w:rPr>
          <w:rFonts w:ascii="Times New Roman" w:cs="Times New Roman" w:eastAsia="Times New Roman" w:hAnsi="Times New Roman"/>
          <w:sz w:val="22"/>
          <w:szCs w:val="22"/>
          <w:color w:val="auto"/>
        </w:rPr>
        <w:t>acquired and paid for between 02/21/2024 and 03/07/2024.</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Adamski, as General Counsel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2026-05-27T18:45:44Z</dcterms:created>
  <dcterms:modified xsi:type="dcterms:W3CDTF">2026-05-27T18:45:44Z</dcterms:modified>
</cp:coreProperties>
</file>