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p>
      <w:pPr>
        <w:pStyle w:val="TextBody"/>
        <w:bidi w:val="0"/>
        <w:spacing w:lineRule="auto" w:line="288" w:before="160" w:after="283"/>
        <w:jc w:val="center"/>
        <w:rPr/>
      </w:pPr>
      <w:r>
        <w:rPr>
          <w:rFonts w:ascii="Times New Roman;serif" w:hAnsi="Times New Roman;serif"/>
          <w:b/>
          <w:color w:val="000000"/>
          <w:sz w:val="26"/>
        </w:rPr>
        <w:t>FORM 10-Q</w:t>
      </w:r>
      <w:r>
        <w:rPr>
          <w:color w:val="000000"/>
        </w:rPr>
        <w:t xml:space="preserve">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tbl>
      <w:tblPr>
        <w:tblW w:w="9810" w:type="dxa"/>
        <w:jc w:val="center"/>
        <w:tblInd w:w="0" w:type="dxa"/>
        <w:tblLayout w:type="fixed"/>
        <w:tblCellMar>
          <w:top w:w="28" w:type="dxa"/>
          <w:left w:w="28" w:type="dxa"/>
          <w:bottom w:w="28" w:type="dxa"/>
          <w:right w:w="28" w:type="dxa"/>
        </w:tblCellMar>
      </w:tblPr>
      <w:tblGrid>
        <w:gridCol w:w="141"/>
        <w:gridCol w:w="124"/>
        <w:gridCol w:w="126"/>
        <w:gridCol w:w="2759"/>
        <w:gridCol w:w="2759"/>
        <w:gridCol w:w="390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8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001-37806</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TWILIO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101 Spear Street, Fifth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California 94105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(415) 390-2337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w:t>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July 24, 2026, 153,575,220 shares of the registrant’s Class A common stock were outstanding.</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40" w:after="283"/>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No</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2"/>
        <w:gridCol w:w="249"/>
        <w:gridCol w:w="250"/>
        <w:gridCol w:w="2958"/>
        <w:gridCol w:w="2958"/>
        <w:gridCol w:w="2964"/>
        <w:gridCol w:w="158"/>
        <w:gridCol w:w="158"/>
        <w:gridCol w:w="228"/>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3b731bae0e4bdfb06f99b2e7905049_16">
              <w:r>
                <w:rPr>
                  <w:rStyle w:val="InternetLink"/>
                  <w:rFonts w:ascii="Times New Roman;serif" w:hAnsi="Times New Roman;serif"/>
                  <w:b/>
                  <w:color w:val="0000FF"/>
                  <w:sz w:val="18"/>
                  <w:u w:val="single"/>
                </w:rPr>
                <w:t>PART I - FINANCIAL INFORMATION</w:t>
              </w:r>
            </w:hyperlink>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0">
              <w:r>
                <w:rPr>
                  <w:rStyle w:val="InternetLink"/>
                  <w:rFonts w:ascii="Times New Roman;serif" w:hAnsi="Times New Roman;serif"/>
                  <w:b w:val="false"/>
                  <w:color w:val="0000FF"/>
                  <w:sz w:val="20"/>
                  <w:u w:val="single"/>
                </w:rPr>
                <w:t>Item 1.</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0">
              <w:r>
                <w:rPr>
                  <w:rStyle w:val="InternetLink"/>
                  <w:rFonts w:ascii="Times New Roman;serif" w:hAnsi="Times New Roman;serif"/>
                  <w:b w:val="false"/>
                  <w:color w:val="0000FF"/>
                  <w:sz w:val="20"/>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0">
              <w:r>
                <w:rPr>
                  <w:rStyle w:val="InternetLink"/>
                  <w:rFonts w:ascii="Times New Roman;serif" w:hAnsi="Times New Roman;serif"/>
                  <w:b w:val="false"/>
                  <w:color w:val="0000FF"/>
                  <w:sz w:val="20"/>
                  <w:u w:val="singl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3">
              <w:r>
                <w:rPr>
                  <w:rStyle w:val="InternetLink"/>
                  <w:rFonts w:ascii="Times New Roman;serif" w:hAnsi="Times New Roman;serif"/>
                  <w:b w:val="false"/>
                  <w:color w:val="000080"/>
                  <w:sz w:val="20"/>
                  <w:u w:val="single"/>
                </w:rPr>
                <w:t xml:space="preserve">Condensed Consolidated Balance Sheets as of </w:t>
              </w:r>
            </w:hyperlink>
            <w:hyperlink w:anchor="i7a3b731bae0e4bdfb06f99b2e7905049_43">
              <w:r>
                <w:rPr>
                  <w:rStyle w:val="InternetLink"/>
                  <w:rFonts w:ascii="Times New Roman;serif" w:hAnsi="Times New Roman;serif"/>
                  <w:b w:val="false"/>
                  <w:color w:val="000080"/>
                  <w:sz w:val="20"/>
                  <w:u w:val="single"/>
                </w:rPr>
                <w:t>June 30, 2026</w:t>
              </w:r>
            </w:hyperlink>
            <w:hyperlink w:anchor="i7a3b731bae0e4bdfb06f99b2e7905049_43">
              <w:r>
                <w:rPr>
                  <w:rStyle w:val="InternetLink"/>
                  <w:rFonts w:ascii="Times New Roman;serif" w:hAnsi="Times New Roman;serif"/>
                  <w:b w:val="false"/>
                  <w:color w:val="000080"/>
                  <w:sz w:val="20"/>
                  <w:u w:val="single"/>
                </w:rPr>
                <w:t xml:space="preserve"> and December 31,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3">
              <w:r>
                <w:rPr>
                  <w:rStyle w:val="InternetLink"/>
                  <w:rFonts w:ascii="Times New Roman;serif" w:hAnsi="Times New Roman;serif"/>
                  <w:b w:val="false"/>
                  <w:color w:val="0000FF"/>
                  <w:sz w:val="20"/>
                  <w:u w:val="singl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6">
              <w:r>
                <w:rPr>
                  <w:rStyle w:val="InternetLink"/>
                  <w:rFonts w:ascii="Times New Roman;serif" w:hAnsi="Times New Roman;serif"/>
                  <w:b w:val="false"/>
                  <w:color w:val="000080"/>
                  <w:sz w:val="20"/>
                  <w:u w:val="single"/>
                </w:rPr>
                <w:t xml:space="preserve">Condensed Consolidated Statements of Operations for the Three </w:t>
              </w:r>
            </w:hyperlink>
            <w:hyperlink w:anchor="i7a3b731bae0e4bdfb06f99b2e7905049_46">
              <w:r>
                <w:rPr>
                  <w:rStyle w:val="InternetLink"/>
                  <w:rFonts w:ascii="Times New Roman;serif" w:hAnsi="Times New Roman;serif"/>
                  <w:b w:val="false"/>
                  <w:color w:val="000080"/>
                  <w:sz w:val="20"/>
                  <w:u w:val="single"/>
                </w:rPr>
                <w:t xml:space="preserve">and Six </w:t>
              </w:r>
            </w:hyperlink>
            <w:hyperlink w:anchor="i7a3b731bae0e4bdfb06f99b2e7905049_46">
              <w:r>
                <w:rPr>
                  <w:rStyle w:val="InternetLink"/>
                  <w:rFonts w:ascii="Times New Roman;serif" w:hAnsi="Times New Roman;serif"/>
                  <w:b w:val="false"/>
                  <w:color w:val="000080"/>
                  <w:sz w:val="20"/>
                  <w:u w:val="single"/>
                </w:rPr>
                <w:t xml:space="preserve">Months Ended </w:t>
              </w:r>
            </w:hyperlink>
            <w:hyperlink w:anchor="i7a3b731bae0e4bdfb06f99b2e7905049_46">
              <w:r>
                <w:rPr>
                  <w:rStyle w:val="InternetLink"/>
                  <w:rFonts w:ascii="Times New Roman;serif" w:hAnsi="Times New Roman;serif"/>
                  <w:b w:val="false"/>
                  <w:color w:val="000080"/>
                  <w:sz w:val="20"/>
                  <w:u w:val="single"/>
                </w:rPr>
                <w:t>June 30</w:t>
              </w:r>
            </w:hyperlink>
            <w:hyperlink w:anchor="i7a3b731bae0e4bdfb06f99b2e7905049_46">
              <w:r>
                <w:rPr>
                  <w:rStyle w:val="InternetLink"/>
                  <w:rFonts w:ascii="Times New Roman;serif" w:hAnsi="Times New Roman;serif"/>
                  <w:b w:val="false"/>
                  <w:color w:val="000080"/>
                  <w:sz w:val="20"/>
                  <w:u w:val="single"/>
                </w:rPr>
                <w:t>,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6">
              <w:r>
                <w:rPr>
                  <w:rStyle w:val="InternetLink"/>
                  <w:rFonts w:ascii="Times New Roman;serif" w:hAnsi="Times New Roman;serif"/>
                  <w:b w:val="false"/>
                  <w:color w:val="0000FF"/>
                  <w:sz w:val="20"/>
                  <w:u w:val="single"/>
                </w:rPr>
                <w:t>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9">
              <w:r>
                <w:rPr>
                  <w:rStyle w:val="InternetLink"/>
                  <w:rFonts w:ascii="Times New Roman;serif" w:hAnsi="Times New Roman;serif"/>
                  <w:b w:val="false"/>
                  <w:color w:val="000080"/>
                  <w:sz w:val="20"/>
                  <w:u w:val="single"/>
                </w:rPr>
                <w:t>Condensed Consolidated Statements of Comprehensive Income for the Three</w:t>
              </w:r>
            </w:hyperlink>
            <w:hyperlink w:anchor="i7a3b731bae0e4bdfb06f99b2e7905049_49">
              <w:r>
                <w:rPr>
                  <w:rStyle w:val="InternetLink"/>
                  <w:rFonts w:ascii="Times New Roman;serif" w:hAnsi="Times New Roman;serif"/>
                  <w:b w:val="false"/>
                  <w:color w:val="000080"/>
                  <w:sz w:val="20"/>
                  <w:u w:val="single"/>
                </w:rPr>
                <w:t xml:space="preserve"> and Six</w:t>
              </w:r>
            </w:hyperlink>
            <w:hyperlink w:anchor="i7a3b731bae0e4bdfb06f99b2e7905049_49">
              <w:r>
                <w:rPr>
                  <w:rStyle w:val="InternetLink"/>
                  <w:rFonts w:ascii="Times New Roman;serif" w:hAnsi="Times New Roman;serif"/>
                  <w:b w:val="false"/>
                  <w:color w:val="000080"/>
                  <w:sz w:val="20"/>
                  <w:u w:val="single"/>
                </w:rPr>
                <w:t xml:space="preserve"> Months Ended </w:t>
              </w:r>
            </w:hyperlink>
            <w:hyperlink w:anchor="i7a3b731bae0e4bdfb06f99b2e7905049_49">
              <w:r>
                <w:rPr>
                  <w:rStyle w:val="InternetLink"/>
                  <w:rFonts w:ascii="Times New Roman;serif" w:hAnsi="Times New Roman;serif"/>
                  <w:b w:val="false"/>
                  <w:color w:val="000080"/>
                  <w:sz w:val="20"/>
                  <w:u w:val="single"/>
                </w:rPr>
                <w:t>June</w:t>
              </w:r>
            </w:hyperlink>
            <w:hyperlink w:anchor="i7a3b731bae0e4bdfb06f99b2e7905049_49">
              <w:r>
                <w:rPr>
                  <w:rStyle w:val="InternetLink"/>
                  <w:rFonts w:ascii="Times New Roman;serif" w:hAnsi="Times New Roman;serif"/>
                  <w:b w:val="false"/>
                  <w:color w:val="000080"/>
                  <w:sz w:val="20"/>
                  <w:u w:val="single"/>
                </w:rPr>
                <w:t xml:space="preserve"> 3</w:t>
              </w:r>
            </w:hyperlink>
            <w:hyperlink w:anchor="i7a3b731bae0e4bdfb06f99b2e7905049_49">
              <w:r>
                <w:rPr>
                  <w:rStyle w:val="InternetLink"/>
                  <w:rFonts w:ascii="Times New Roman;serif" w:hAnsi="Times New Roman;serif"/>
                  <w:b w:val="false"/>
                  <w:color w:val="000080"/>
                  <w:sz w:val="20"/>
                  <w:u w:val="single"/>
                </w:rPr>
                <w:t>0</w:t>
              </w:r>
            </w:hyperlink>
            <w:hyperlink w:anchor="i7a3b731bae0e4bdfb06f99b2e7905049_49">
              <w:r>
                <w:rPr>
                  <w:rStyle w:val="InternetLink"/>
                  <w:rFonts w:ascii="Times New Roman;serif" w:hAnsi="Times New Roman;serif"/>
                  <w:b w:val="false"/>
                  <w:color w:val="000080"/>
                  <w:sz w:val="20"/>
                  <w:u w:val="single"/>
                </w:rPr>
                <w:t>,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49">
              <w:r>
                <w:rPr>
                  <w:rStyle w:val="InternetLink"/>
                  <w:rFonts w:ascii="Times New Roman;serif" w:hAnsi="Times New Roman;serif"/>
                  <w:b w:val="false"/>
                  <w:color w:val="0000FF"/>
                  <w:sz w:val="20"/>
                  <w:u w:val="single"/>
                </w:rPr>
                <w:t>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2">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7a3b731bae0e4bdfb06f99b2e7905049_52">
              <w:r>
                <w:rPr>
                  <w:rStyle w:val="InternetLink"/>
                  <w:rFonts w:ascii="Times New Roman;serif" w:hAnsi="Times New Roman;serif"/>
                  <w:b w:val="false"/>
                  <w:color w:val="000080"/>
                  <w:sz w:val="20"/>
                  <w:u w:val="single"/>
                </w:rPr>
                <w:t xml:space="preserve">and Six </w:t>
              </w:r>
            </w:hyperlink>
            <w:hyperlink w:anchor="i7a3b731bae0e4bdfb06f99b2e7905049_52">
              <w:r>
                <w:rPr>
                  <w:rStyle w:val="InternetLink"/>
                  <w:rFonts w:ascii="Times New Roman;serif" w:hAnsi="Times New Roman;serif"/>
                  <w:b w:val="false"/>
                  <w:color w:val="000080"/>
                  <w:sz w:val="20"/>
                  <w:u w:val="single"/>
                </w:rPr>
                <w:t xml:space="preserve">Months Ended </w:t>
              </w:r>
            </w:hyperlink>
            <w:hyperlink w:anchor="i7a3b731bae0e4bdfb06f99b2e7905049_52">
              <w:r>
                <w:rPr>
                  <w:rStyle w:val="InternetLink"/>
                  <w:rFonts w:ascii="Times New Roman;serif" w:hAnsi="Times New Roman;serif"/>
                  <w:b w:val="false"/>
                  <w:color w:val="000080"/>
                  <w:sz w:val="20"/>
                  <w:u w:val="single"/>
                </w:rPr>
                <w:t>June</w:t>
              </w:r>
            </w:hyperlink>
            <w:hyperlink w:anchor="i7a3b731bae0e4bdfb06f99b2e7905049_52">
              <w:r>
                <w:rPr>
                  <w:rStyle w:val="InternetLink"/>
                  <w:rFonts w:ascii="Times New Roman;serif" w:hAnsi="Times New Roman;serif"/>
                  <w:b w:val="false"/>
                  <w:color w:val="000080"/>
                  <w:sz w:val="20"/>
                  <w:u w:val="single"/>
                </w:rPr>
                <w:t xml:space="preserve"> 3</w:t>
              </w:r>
            </w:hyperlink>
            <w:hyperlink w:anchor="i7a3b731bae0e4bdfb06f99b2e7905049_52">
              <w:r>
                <w:rPr>
                  <w:rStyle w:val="InternetLink"/>
                  <w:rFonts w:ascii="Times New Roman;serif" w:hAnsi="Times New Roman;serif"/>
                  <w:b w:val="false"/>
                  <w:color w:val="000080"/>
                  <w:sz w:val="20"/>
                  <w:u w:val="single"/>
                </w:rPr>
                <w:t>0</w:t>
              </w:r>
            </w:hyperlink>
            <w:hyperlink w:anchor="i7a3b731bae0e4bdfb06f99b2e7905049_52">
              <w:r>
                <w:rPr>
                  <w:rStyle w:val="InternetLink"/>
                  <w:rFonts w:ascii="Times New Roman;serif" w:hAnsi="Times New Roman;serif"/>
                  <w:b w:val="false"/>
                  <w:color w:val="000080"/>
                  <w:sz w:val="20"/>
                  <w:u w:val="single"/>
                </w:rPr>
                <w:t>,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2">
              <w:r>
                <w:rPr>
                  <w:rStyle w:val="InternetLink"/>
                  <w:rFonts w:ascii="Times New Roman;serif" w:hAnsi="Times New Roman;serif"/>
                  <w:b w:val="false"/>
                  <w:color w:val="0000FF"/>
                  <w:sz w:val="20"/>
                  <w:u w:val="single"/>
                </w:rPr>
                <w:t>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5">
              <w:r>
                <w:rPr>
                  <w:rStyle w:val="InternetLink"/>
                  <w:rFonts w:ascii="Times New Roman;serif" w:hAnsi="Times New Roman;serif"/>
                  <w:b w:val="false"/>
                  <w:color w:val="000080"/>
                  <w:sz w:val="20"/>
                  <w:u w:val="single"/>
                </w:rPr>
                <w:t xml:space="preserve">Condensed Consolidated Statements of Cash Flows for the </w:t>
              </w:r>
            </w:hyperlink>
            <w:hyperlink w:anchor="i7a3b731bae0e4bdfb06f99b2e7905049_55">
              <w:r>
                <w:rPr>
                  <w:rStyle w:val="InternetLink"/>
                  <w:rFonts w:ascii="Times New Roman;serif" w:hAnsi="Times New Roman;serif"/>
                  <w:b w:val="false"/>
                  <w:color w:val="000080"/>
                  <w:sz w:val="20"/>
                  <w:u w:val="single"/>
                </w:rPr>
                <w:t>Six</w:t>
              </w:r>
            </w:hyperlink>
            <w:hyperlink w:anchor="i7a3b731bae0e4bdfb06f99b2e7905049_55">
              <w:r>
                <w:rPr>
                  <w:rStyle w:val="InternetLink"/>
                  <w:rFonts w:ascii="Times New Roman;serif" w:hAnsi="Times New Roman;serif"/>
                  <w:b w:val="false"/>
                  <w:color w:val="000080"/>
                  <w:sz w:val="20"/>
                  <w:u w:val="single"/>
                </w:rPr>
                <w:t xml:space="preserve"> Months Ended </w:t>
              </w:r>
            </w:hyperlink>
            <w:hyperlink w:anchor="i7a3b731bae0e4bdfb06f99b2e7905049_55">
              <w:r>
                <w:rPr>
                  <w:rStyle w:val="InternetLink"/>
                  <w:rFonts w:ascii="Times New Roman;serif" w:hAnsi="Times New Roman;serif"/>
                  <w:b w:val="false"/>
                  <w:color w:val="000080"/>
                  <w:sz w:val="20"/>
                  <w:u w:val="single"/>
                </w:rPr>
                <w:t>June 30</w:t>
              </w:r>
            </w:hyperlink>
            <w:hyperlink w:anchor="i7a3b731bae0e4bdfb06f99b2e7905049_55">
              <w:r>
                <w:rPr>
                  <w:rStyle w:val="InternetLink"/>
                  <w:rFonts w:ascii="Times New Roman;serif" w:hAnsi="Times New Roman;serif"/>
                  <w:b w:val="false"/>
                  <w:color w:val="000080"/>
                  <w:sz w:val="20"/>
                  <w:u w:val="single"/>
                </w:rPr>
                <w:t>,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5">
              <w:r>
                <w:rPr>
                  <w:rStyle w:val="InternetLink"/>
                  <w:rFonts w:ascii="Times New Roman;serif" w:hAnsi="Times New Roman;serif"/>
                  <w:b w:val="false"/>
                  <w:color w:val="0000FF"/>
                  <w:sz w:val="20"/>
                  <w:u w:val="single"/>
                </w:rPr>
                <w:t>10</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8">
              <w:r>
                <w:rPr>
                  <w:rStyle w:val="InternetLink"/>
                  <w:rFonts w:ascii="Times New Roman;serif" w:hAnsi="Times New Roman;serif"/>
                  <w:b w:val="false"/>
                  <w:color w:val="0000FF"/>
                  <w:sz w:val="20"/>
                  <w:u w:val="single"/>
                </w:rPr>
                <w:t>Notes to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8">
              <w:r>
                <w:rPr>
                  <w:rStyle w:val="InternetLink"/>
                  <w:rFonts w:ascii="Times New Roman;serif" w:hAnsi="Times New Roman;serif"/>
                  <w:b w:val="false"/>
                  <w:color w:val="0000FF"/>
                  <w:sz w:val="20"/>
                  <w:u w:val="single"/>
                </w:rPr>
                <w:t>11</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199">
              <w:r>
                <w:rPr>
                  <w:rStyle w:val="InternetLink"/>
                  <w:rFonts w:ascii="Times New Roman;serif" w:hAnsi="Times New Roman;serif"/>
                  <w:b w:val="false"/>
                  <w:color w:val="0000FF"/>
                  <w:sz w:val="20"/>
                  <w:u w:val="single"/>
                </w:rPr>
                <w:t>Item 2.</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19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199">
              <w:r>
                <w:rPr>
                  <w:rStyle w:val="InternetLink"/>
                  <w:rFonts w:ascii="Times New Roman;serif" w:hAnsi="Times New Roman;serif"/>
                  <w:b w:val="false"/>
                  <w:color w:val="0000FF"/>
                  <w:sz w:val="20"/>
                  <w:u w:val="single"/>
                </w:rPr>
                <w:t>25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47">
              <w:r>
                <w:rPr>
                  <w:rStyle w:val="InternetLink"/>
                  <w:rFonts w:ascii="Times New Roman;serif" w:hAnsi="Times New Roman;serif"/>
                  <w:b w:val="false"/>
                  <w:color w:val="0000FF"/>
                  <w:sz w:val="20"/>
                  <w:u w:val="single"/>
                </w:rPr>
                <w:t>Item 3.</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47">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47">
              <w:r>
                <w:rPr>
                  <w:rStyle w:val="InternetLink"/>
                  <w:rFonts w:ascii="Times New Roman;serif" w:hAnsi="Times New Roman;serif"/>
                  <w:b w:val="false"/>
                  <w:color w:val="0000FF"/>
                  <w:sz w:val="20"/>
                  <w:u w:val="single"/>
                </w:rPr>
                <w:t>41</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50">
              <w:r>
                <w:rPr>
                  <w:rStyle w:val="InternetLink"/>
                  <w:rFonts w:ascii="Times New Roman;serif" w:hAnsi="Times New Roman;serif"/>
                  <w:b w:val="false"/>
                  <w:color w:val="0000FF"/>
                  <w:sz w:val="20"/>
                  <w:u w:val="single"/>
                </w:rPr>
                <w:t>Item 4.</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50">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50">
              <w:r>
                <w:rPr>
                  <w:rStyle w:val="InternetLink"/>
                  <w:rFonts w:ascii="Times New Roman;serif" w:hAnsi="Times New Roman;serif"/>
                  <w:b w:val="false"/>
                  <w:color w:val="0000FF"/>
                  <w:sz w:val="20"/>
                  <w:u w:val="single"/>
                </w:rPr>
                <w:t>41</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3b731bae0e4bdfb06f99b2e7905049_256">
              <w:r>
                <w:rPr>
                  <w:rStyle w:val="InternetLink"/>
                  <w:rFonts w:ascii="Times New Roman;serif" w:hAnsi="Times New Roman;serif"/>
                  <w:b/>
                  <w:color w:val="0000FF"/>
                  <w:sz w:val="18"/>
                  <w:u w:val="single"/>
                </w:rPr>
                <w:t>PART II - 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59">
              <w:r>
                <w:rPr>
                  <w:rStyle w:val="InternetLink"/>
                  <w:rFonts w:ascii="Times New Roman;serif" w:hAnsi="Times New Roman;serif"/>
                  <w:b w:val="false"/>
                  <w:color w:val="0000FF"/>
                  <w:sz w:val="20"/>
                  <w:u w:val="single"/>
                </w:rPr>
                <w:t>Item 1.</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59">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59">
              <w:r>
                <w:rPr>
                  <w:rStyle w:val="InternetLink"/>
                  <w:rFonts w:ascii="Times New Roman;serif" w:hAnsi="Times New Roman;serif"/>
                  <w:b w:val="false"/>
                  <w:color w:val="0000FF"/>
                  <w:sz w:val="20"/>
                  <w:u w:val="single"/>
                </w:rPr>
                <w:t>43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62">
              <w:r>
                <w:rPr>
                  <w:rStyle w:val="InternetLink"/>
                  <w:rFonts w:ascii="Times New Roman;serif" w:hAnsi="Times New Roman;serif"/>
                  <w:b w:val="false"/>
                  <w:color w:val="0000FF"/>
                  <w:sz w:val="20"/>
                  <w:u w:val="single"/>
                </w:rPr>
                <w:t>Item 1A.</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62">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62">
              <w:r>
                <w:rPr>
                  <w:rStyle w:val="InternetLink"/>
                  <w:rFonts w:ascii="Times New Roman;serif" w:hAnsi="Times New Roman;serif"/>
                  <w:b w:val="false"/>
                  <w:color w:val="0000FF"/>
                  <w:sz w:val="20"/>
                  <w:u w:val="single"/>
                </w:rPr>
                <w:t>43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86">
              <w:r>
                <w:rPr>
                  <w:rStyle w:val="InternetLink"/>
                  <w:rFonts w:ascii="Times New Roman;serif" w:hAnsi="Times New Roman;serif"/>
                  <w:b w:val="false"/>
                  <w:color w:val="0000FF"/>
                  <w:sz w:val="20"/>
                  <w:u w:val="single"/>
                </w:rPr>
                <w:t>Item 2.</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86">
              <w:r>
                <w:rPr>
                  <w:rStyle w:val="InternetLink"/>
                  <w:rFonts w:ascii="Times New Roman;serif" w:hAnsi="Times New Roman;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86">
              <w:r>
                <w:rPr>
                  <w:rStyle w:val="InternetLink"/>
                  <w:rFonts w:ascii="Times New Roman;serif" w:hAnsi="Times New Roman;serif"/>
                  <w:b w:val="false"/>
                  <w:color w:val="0000FF"/>
                  <w:sz w:val="20"/>
                  <w:u w:val="single"/>
                </w:rPr>
                <w:t>73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89">
              <w:r>
                <w:rPr>
                  <w:rStyle w:val="InternetLink"/>
                  <w:rFonts w:ascii="Times New Roman;serif" w:hAnsi="Times New Roman;serif"/>
                  <w:b w:val="false"/>
                  <w:color w:val="0000FF"/>
                  <w:sz w:val="20"/>
                  <w:u w:val="single"/>
                </w:rPr>
                <w:t>Item 5.</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89">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289">
              <w:r>
                <w:rPr>
                  <w:rStyle w:val="InternetLink"/>
                  <w:rFonts w:ascii="Times New Roman;serif" w:hAnsi="Times New Roman;serif"/>
                  <w:b w:val="false"/>
                  <w:color w:val="0000FF"/>
                  <w:sz w:val="20"/>
                  <w:u w:val="single"/>
                </w:rPr>
                <w:t>73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56">
              <w:r>
                <w:rPr>
                  <w:rStyle w:val="InternetLink"/>
                  <w:rFonts w:ascii="Times New Roman;serif" w:hAnsi="Times New Roman;serif"/>
                  <w:b w:val="false"/>
                  <w:color w:val="0000FF"/>
                  <w:sz w:val="20"/>
                  <w:u w:val="single"/>
                </w:rPr>
                <w:t>Item 6.</w:t>
              </w:r>
            </w:hyperlink>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56">
              <w:r>
                <w:rPr>
                  <w:rStyle w:val="InternetLink"/>
                  <w:rFonts w:ascii="Times New Roman;serif" w:hAnsi="Times New Roman;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56">
              <w:r>
                <w:rPr>
                  <w:rStyle w:val="InternetLink"/>
                  <w:rFonts w:ascii="Times New Roman;serif" w:hAnsi="Times New Roman;serif"/>
                  <w:b w:val="false"/>
                  <w:color w:val="0000FF"/>
                  <w:sz w:val="20"/>
                  <w:u w:val="single"/>
                </w:rPr>
                <w:t>74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65">
              <w:r>
                <w:rPr>
                  <w:rStyle w:val="InternetLink"/>
                  <w:rFonts w:ascii="Times New Roman;serif" w:hAnsi="Times New Roman;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3b731bae0e4bdfb06f99b2e7905049_565">
              <w:r>
                <w:rPr>
                  <w:rStyle w:val="InternetLink"/>
                  <w:rFonts w:ascii="Times New Roman;serif" w:hAnsi="Times New Roman;serif"/>
                  <w:b w:val="false"/>
                  <w:color w:val="0000FF"/>
                  <w:sz w:val="20"/>
                  <w:u w:val="single"/>
                </w:rPr>
                <w:t>74</w:t>
              </w:r>
            </w:hyperlink>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409" w:type="dxa"/>
        <w:jc w:val="center"/>
        <w:tblInd w:w="0" w:type="dxa"/>
        <w:tblLayout w:type="fixed"/>
        <w:tblCellMar>
          <w:top w:w="28" w:type="dxa"/>
          <w:left w:w="28" w:type="dxa"/>
          <w:bottom w:w="28" w:type="dxa"/>
          <w:right w:w="28" w:type="dxa"/>
        </w:tblCellMar>
      </w:tblPr>
      <w:tblGrid>
        <w:gridCol w:w="1400"/>
        <w:gridCol w:w="1222"/>
        <w:gridCol w:w="1232"/>
        <w:gridCol w:w="109"/>
        <w:gridCol w:w="109"/>
        <w:gridCol w:w="109"/>
        <w:gridCol w:w="196"/>
        <w:gridCol w:w="961"/>
        <w:gridCol w:w="109"/>
        <w:gridCol w:w="109"/>
        <w:gridCol w:w="109"/>
        <w:gridCol w:w="109"/>
        <w:gridCol w:w="262"/>
        <w:gridCol w:w="1167"/>
        <w:gridCol w:w="206"/>
      </w:tblGrid>
      <w:tr>
        <w:trPr/>
        <w:tc>
          <w:tcPr>
            <w:tcW w:w="140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682,335 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1,788,007 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636,736 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3,576,728 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5,291,787 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222,648 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887,008 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1,949,344 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16,148,190 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(8,342,464)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7,821,546 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9,770,890 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51"/>
        <w:gridCol w:w="1184"/>
        <w:gridCol w:w="119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6"/>
      </w:tblGrid>
      <w:tr>
        <w:trPr/>
        <w:tc>
          <w:tcPr>
            <w:tcW w:w="155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265" w:type="dxa"/>
            <w:gridSpan w:val="2"/>
            <w:tcBorders/>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152,785,292 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152,582,316 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159,708,166 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158,711,170 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94" w:type="dxa"/>
        <w:jc w:val="left"/>
        <w:tblInd w:w="0" w:type="dxa"/>
        <w:tblLayout w:type="fixed"/>
        <w:tblCellMar>
          <w:top w:w="28" w:type="dxa"/>
          <w:left w:w="28" w:type="dxa"/>
          <w:bottom w:w="28" w:type="dxa"/>
          <w:right w:w="28" w:type="dxa"/>
        </w:tblCellMar>
      </w:tblPr>
      <w:tblGrid>
        <w:gridCol w:w="1505"/>
        <w:gridCol w:w="1325"/>
        <w:gridCol w:w="133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196"/>
        <w:gridCol w:w="646"/>
        <w:gridCol w:w="109"/>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marketable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change in market value of effective foreign currency </w:t>
              <w:br/>
              <w:t>       forward exchange contracts,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(loss) income from equity</w:t>
              <w:br/>
              <w:t>       method investment,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w:t>
              <w:br/>
              <w:t>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 2026</w:t>
      </w:r>
    </w:p>
    <w:tbl>
      <w:tblPr>
        <w:tblW w:w="11747" w:type="dxa"/>
        <w:jc w:val="center"/>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35"/>
        <w:gridCol w:w="685"/>
        <w:gridCol w:w="131"/>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152,105,999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16,294,528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(4,317)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(8,506,279)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7,784,084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1,067,209 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1,067,209 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income tax valuation allowance related to previously settled capped call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153,571,872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16,488,013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(5,270)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(7,505,089)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8,977,808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ind w:left="0" w:right="0" w:firstLine="720"/>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2026</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152,411,346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16,148,190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15,668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(8,342,464)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7,821,546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1,157,348 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1,157,348 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3,340,269 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Release of tax valuation allowance related to previously settled capped call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153,571,872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16,488,013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(5,270)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(7,505,089)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8,977,808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 2025</w:t>
      </w:r>
    </w:p>
    <w:p>
      <w:pPr>
        <w:pStyle w:val="TextBody"/>
        <w:bidi w:val="0"/>
        <w:spacing w:before="0" w:after="0"/>
        <w:jc w:val="left"/>
        <w:rPr/>
      </w:pPr>
      <w:r>
        <w:rPr/>
      </w:r>
    </w:p>
    <w:tbl>
      <w:tblPr>
        <w:tblW w:w="11747" w:type="dxa"/>
        <w:jc w:val="center"/>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153,254,342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15,625,545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10,358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(7,631,765)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8,004,291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1,631,186 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(1,809,818)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153,576,158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15,805,141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24,716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(7,786,089)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8,043,922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2025</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152,610,697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15,476,124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(7,522,010)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7,952,966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3,343,830 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(3,032,011)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153,576,158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15,805,141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24,716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(7,786,089)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8,043,922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TWILIO</w:t>
      </w:r>
      <w:r>
        <w:rPr>
          <w:color w:val="000000"/>
        </w:rPr>
        <w:t> </w:t>
      </w:r>
      <w:r>
        <w:rPr>
          <w:rFonts w:ascii="Times New Roman;serif" w:hAnsi="Times New Roman;serif"/>
          <w:b/>
          <w:color w:val="000000"/>
          <w:sz w:val="20"/>
        </w:rPr>
        <w:t>INC</w:t>
      </w:r>
      <w:r>
        <w:rPr>
          <w:rFonts w:ascii="Times New Roman;serif" w:hAnsi="Times New Roman;serif"/>
          <w:b/>
          <w:color w:val="000000"/>
          <w:sz w:val="16"/>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03"/>
        <w:gridCol w:w="2180"/>
        <w:gridCol w:w="2187"/>
        <w:gridCol w:w="109"/>
        <w:gridCol w:w="109"/>
        <w:gridCol w:w="109"/>
        <w:gridCol w:w="196"/>
        <w:gridCol w:w="871"/>
        <w:gridCol w:w="109"/>
        <w:gridCol w:w="109"/>
        <w:gridCol w:w="109"/>
        <w:gridCol w:w="109"/>
        <w:gridCol w:w="196"/>
        <w:gridCol w:w="736"/>
        <w:gridCol w:w="109"/>
        <w:gridCol w:w="109"/>
        <w:gridCol w:w="155"/>
      </w:tblGrid>
      <w:tr>
        <w:trPr/>
        <w:tc>
          <w:tcPr>
            <w:tcW w:w="270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264" w:type="dxa"/>
            <w:gridSpan w:val="2"/>
            <w:tcBorders/>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related to release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 and payments related to prior period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shares of Class A common stock issued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Twilio Inc. (the “Company”) was incorporated in the state of Delaware on March 13, 2008. Twilio provides the infrastructure for customer engagement in the AI era. By combining global communications, memory, and AI orchestration with identity, governance, and observability, the Company enables businesses to deliver continuous, contextual, personal, and secure conversations across every channel and participant — human or AI.</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unaudited condensed consolidated financial statements should be read in conjunction with the consolidated financial statements and notes included in the Company’s Annual Report on Form 10-K filed with the SEC on February 24, 2026 (“Annual Report”). Certain prior year amounts in the unaudited condensed consolidated financial statements have been reclassified to conform to current year presentation.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December 31, 2025, included herein, was derived from the audited financial statements as of that date, but may not include all disclosures including certain notes required by U.S. GAAP on an annual reporting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income, stockholders’ equity and cash flows for the interim periods, but are not necessarily indicative of the results of operations to be anticipated for the full year 2026 or any future period.</w:t>
      </w:r>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Principles of Consolidation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Company and its wholly owned subsidiaries. All intercompany balances and transactions have been eliminated.</w:t>
      </w: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Use of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values of acquired intangible assets, goodwill and equity method investments; valuation allowances against deferred tax assets;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for contracts with durations of more than one year was $138.2 million as of June 30, 2026, of which 70% is expected to be recognized over the next 12 months and 96% is expected to be recognized over the next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(e)</w:t>
      </w:r>
      <w:r>
        <w:rPr>
          <w:rFonts w:ascii="Times New Roman;serif" w:hAnsi="Times New Roman;serif"/>
          <w:b/>
          <w:i/>
          <w:color w:val="000000"/>
          <w:sz w:val="20"/>
        </w:rPr>
        <w:t>Deferred Revenue and Customer Deposits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recorded $153.0 million and $158.7 million as its deferred revenue and customer deposits, respectively, that are included in deferred revenue and customer deposits in the accompanying unaudited condensed consolidated balance sheets. During the three months ended June 30, 2026 and 2025, the Company recognized $36.2 million and $35.0 million of revenue, respectively, that was included in the deferred revenue and customer deposits balances as of the end of the previous year. During the six months ended June 30, 2026 and 2025, the Company recognized $113.0 million and $105.1 million of revenue, respectively, that was included in the deferred revenue and customer deposits balances as of the end of the previous year.</w:t>
      </w:r>
    </w:p>
    <w:p>
      <w:pPr>
        <w:pStyle w:val="TextBody"/>
        <w:bidi w:val="0"/>
        <w:spacing w:lineRule="auto" w:line="288" w:before="240" w:after="283"/>
        <w:ind w:left="0" w:right="0" w:firstLine="540"/>
        <w:jc w:val="left"/>
        <w:rPr/>
      </w:pPr>
      <w:r>
        <w:rPr>
          <w:rFonts w:ascii="Times New Roman;serif" w:hAnsi="Times New Roman;serif"/>
          <w:b/>
          <w:i/>
          <w:color w:val="000000"/>
          <w:sz w:val="20"/>
        </w:rPr>
        <w:t>(f)</w:t>
      </w:r>
      <w:r>
        <w:rPr>
          <w:rFonts w:ascii="Times New Roman;serif" w:hAnsi="Times New Roman;serif"/>
          <w:b/>
          <w:i/>
          <w:color w:val="000000"/>
          <w:sz w:val="20"/>
        </w:rPr>
        <w:t>Concentration of Credit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June 30, 2026, and December 31, 2025, the allowance for doubtful accounts was $27.1 million and $21.5 million, respectively, and is recorded in accounts receivable, net, in the accompanying unaudited condensed consolidated balance sheets.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and 2025, no customer organization accounted for more than 10% of the Company’s total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no customer organization represented more than 10% of the Company’s gross accounts receivable.</w:t>
      </w:r>
    </w:p>
    <w:p>
      <w:pPr>
        <w:pStyle w:val="TextBody"/>
        <w:bidi w:val="0"/>
        <w:spacing w:lineRule="auto" w:line="288" w:before="240" w:after="283"/>
        <w:ind w:left="0" w:right="0" w:firstLine="540"/>
        <w:jc w:val="left"/>
        <w:rPr/>
      </w:pPr>
      <w:r>
        <w:rPr>
          <w:rFonts w:ascii="Times New Roman;serif" w:hAnsi="Times New Roman;serif"/>
          <w:b/>
          <w:i/>
          <w:color w:val="000000"/>
          <w:sz w:val="20"/>
        </w:rPr>
        <w:t>(g)</w:t>
      </w:r>
      <w:r>
        <w:rPr>
          <w:rFonts w:ascii="Times New Roman;serif" w:hAnsi="Times New Roman;serif"/>
          <w:b/>
          <w:i/>
          <w:color w:val="000000"/>
          <w:sz w:val="20"/>
        </w:rPr>
        <w:t>Segment Reporting</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operates in and reports its results in a single operating and reportable segment. Operating and reportable segments are determined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which requires financial information to be reported based on how the chief operating decision maker (“CODM”), who is the Company's Chief Executive Officer, reviews and manages the business, and establishes criteria for aggregating operating segments into reportable segments. The financial information of the Company regularly provided to the CODM is on a consolidated level and consolidated net income is its measure of profitability. This measure of profitability is used by the CODM to allocate resources and assess performance of the Company by comparing its actual results to the comparable results in prior periods and to any internally or externally set expectations. The consolidated financial information provided to the CODM, including significant expenses, is presented in a manner consistent with the information already disclosed in the accompanying unaudited condensed consolidated financial statements and the notes thereof. </w:t>
      </w:r>
    </w:p>
    <w:p>
      <w:pPr>
        <w:pStyle w:val="TextBody"/>
        <w:bidi w:val="0"/>
        <w:spacing w:lineRule="auto" w:line="288" w:before="240" w:after="283"/>
        <w:ind w:left="0" w:right="0" w:firstLine="540"/>
        <w:jc w:val="left"/>
        <w:rPr/>
      </w:pPr>
      <w:r>
        <w:rPr>
          <w:rFonts w:ascii="Times New Roman;serif" w:hAnsi="Times New Roman;serif"/>
          <w:b/>
          <w:i/>
          <w:color w:val="000000"/>
          <w:sz w:val="20"/>
        </w:rPr>
        <w:t>(h)</w:t>
      </w:r>
      <w:r>
        <w:rPr>
          <w:rFonts w:ascii="Times New Roman;serif" w:hAnsi="Times New Roman;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 September 2025, the Financial Accounting Standards Board (“FASB”) issued Accounting Standards Update (“ASU”) 2025-06, </w:t>
      </w:r>
      <w:r>
        <w:rPr>
          <w:color w:val="000000"/>
        </w:rPr>
        <w:t>“</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modernizes the accounting for internal-use software by replacing the previous stage-based model and aligning the capitalization process with current development practices, especially agile and iterative methods. ASU 2025-06 is effective for annual reporting periods beginning after December 15, 2027, and may be applied prospectively, retrospectively, or using a modified transition approach. Early adoption is permitted. The Company is in process of evaluating the impact of the adoption of this ASU on its consolidated financial statements.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which requires disaggregation of certain expenses in the notes to the financial statements to provide enhanced transparency into the expense captions presented on the face of the statements of operations. ASU 2024-03 is effective for annual reporting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December 15, 2026, and interim periods beginning after December 15, 2027, and may be applied prospectively or retrospectively. Early adoption is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the financial assets measured at fair value on a recurring basis: </w:t>
      </w:r>
    </w:p>
    <w:tbl>
      <w:tblPr>
        <w:tblW w:w="10962"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571"/>
        <w:gridCol w:w="109"/>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2,429,328 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15" w:type="dxa"/>
        <w:jc w:val="left"/>
        <w:tblInd w:w="0" w:type="dxa"/>
        <w:tblLayout w:type="fixed"/>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196"/>
        <w:gridCol w:w="646"/>
        <w:gridCol w:w="109"/>
        <w:gridCol w:w="109"/>
        <w:gridCol w:w="109"/>
        <w:gridCol w:w="109"/>
        <w:gridCol w:w="207"/>
        <w:gridCol w:w="428"/>
        <w:gridCol w:w="116"/>
        <w:gridCol w:w="109"/>
        <w:gridCol w:w="109"/>
        <w:gridCol w:w="109"/>
        <w:gridCol w:w="235"/>
        <w:gridCol w:w="488"/>
        <w:gridCol w:w="133"/>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December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gridSpan w:val="4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debt securities and </w:t>
              <w:br/>
              <w:t>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1,788,007 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2,280,029 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Debt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objective when investing excess cash is preservation of capital, hence the Company’s debt securities primarily consist of U.S. Treasury securities, high credit quality corporate debt securities and commercial paper. Because the Company views its debt securities as available to support current operations, it has classified all available for sale securities as short-term.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earned on debt securities was $17.8 million and $35.3 million in the three and six months ended June 30, 2026, respectively, and $17.9 million and $36.8 million in the three and six months ended June 30, 2025, respectively. The interest is recorded as other income, net, in the accompanying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contractual maturities of debt securities: </w:t>
      </w:r>
    </w:p>
    <w:tbl>
      <w:tblPr>
        <w:tblW w:w="7497"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Strategic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held strategic investments with a carrying value of $24.2 million and $24.5 million, respectively, recorded as other long-term assets in the accompanying unaudited condensed consolidated balance sheets. There were no significant impairments or adjustments recorded in the three and six months ended June 30, 2026 and 2025 related to these securities.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Liabilities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June 30, 2026, and December 31, 2025, the aggregate fair value of these liabilities and the associated unrealized losses were not significant.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not measured at fair value on a recurring basis are its Senior Notes due 2029 (“2029 Notes”) and its Senior Notes due 2031 (“2031 Notes”). As of June 30, 2026, the fair values of the 2029 Notes and 2031 Notes were $487.6 million and $477.1 million, respectively. As of December 31, 2025, the fair values of the 2029 Notes and 2031 Notes were $489.7 million and $483.9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Property and Equipment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7342"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226"/>
        <w:gridCol w:w="849"/>
        <w:gridCol w:w="125"/>
        <w:gridCol w:w="109"/>
        <w:gridCol w:w="109"/>
        <w:gridCol w:w="109"/>
        <w:gridCol w:w="295"/>
        <w:gridCol w:w="1108"/>
        <w:gridCol w:w="23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Data center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(406,853)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176,963 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$17.7 million and $22.3 million in the three months ended June 30, 2026 and 2025, respectively, and $34.6 million and $44.1 million in the six months ended June 30, 2026 and 2025,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capitalized $22.8 million and $17.6 million in internal</w:t>
        <w:noBreakHyphen/>
        <w:t>use software development costs in the three months ended June 30, 2026 and 2025, respectively, and $46.1 million and $33.9 million in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Derivatives and Hedging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outstanding foreign currency forward contracts designated as cash flow hedges had a total sell notional value of $330.6 million. The notional value represents the amount that will be sold upon maturity of the forward contract. As of June 30, 2026, these contracts had maturities of up to seventeen months. Gains and losses associated with these foreign currency forward contracts were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unaudited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June 30, 2026,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goodwill balance as of June 30, 2026 and December 31, 2025, and the changes during the period, were as follows:</w:t>
      </w:r>
    </w:p>
    <w:tbl>
      <w:tblPr>
        <w:tblW w:w="4638" w:type="dxa"/>
        <w:jc w:val="left"/>
        <w:tblInd w:w="0" w:type="dxa"/>
        <w:tblLayout w:type="fixed"/>
        <w:tblCellMar>
          <w:top w:w="28" w:type="dxa"/>
          <w:left w:w="28" w:type="dxa"/>
          <w:bottom w:w="28" w:type="dxa"/>
          <w:right w:w="28" w:type="dxa"/>
        </w:tblCellMar>
      </w:tblPr>
      <w:tblGrid>
        <w:gridCol w:w="1117"/>
        <w:gridCol w:w="985"/>
        <w:gridCol w:w="988"/>
        <w:gridCol w:w="109"/>
        <w:gridCol w:w="109"/>
        <w:gridCol w:w="109"/>
        <w:gridCol w:w="196"/>
        <w:gridCol w:w="87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Measurement period adjustment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5,292,457 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7847"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(370,302)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(272,686)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(719,331)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(719,331)</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tbl>
      <w:tblPr>
        <w:tblW w:w="8065"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(260,216)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(691,330)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(691,330)</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was $11.3 million and $27.1 million for the three months ended June 30, 2026 and 2025, respectively, and $28.0 million and $54.2 million for the six months ended June 30, 2026 and 2025,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estimated future amortization expense is as follows: </w:t>
      </w:r>
    </w:p>
    <w:tbl>
      <w:tblPr>
        <w:tblW w:w="4150" w:type="dxa"/>
        <w:jc w:val="left"/>
        <w:tblInd w:w="0" w:type="dxa"/>
        <w:tblLayout w:type="fixed"/>
        <w:tblCellMar>
          <w:top w:w="28" w:type="dxa"/>
          <w:left w:w="28" w:type="dxa"/>
          <w:bottom w:w="28" w:type="dxa"/>
          <w:right w:w="28" w:type="dxa"/>
        </w:tblCellMar>
      </w:tblPr>
      <w:tblGrid>
        <w:gridCol w:w="786"/>
        <w:gridCol w:w="693"/>
        <w:gridCol w:w="695"/>
        <w:gridCol w:w="109"/>
        <w:gridCol w:w="109"/>
        <w:gridCol w:w="109"/>
        <w:gridCol w:w="297"/>
        <w:gridCol w:w="1118"/>
        <w:gridCol w:w="234"/>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108,849 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Balance Sheet Components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w:t>
      </w:r>
    </w:p>
    <w:tbl>
      <w:tblPr>
        <w:tblW w:w="6937" w:type="dxa"/>
        <w:jc w:val="left"/>
        <w:tblInd w:w="0" w:type="dxa"/>
        <w:tblLayout w:type="fixed"/>
        <w:tblCellMar>
          <w:top w:w="28" w:type="dxa"/>
          <w:left w:w="28" w:type="dxa"/>
          <w:bottom w:w="28" w:type="dxa"/>
          <w:right w:w="28" w:type="dxa"/>
        </w:tblCellMar>
      </w:tblPr>
      <w:tblGrid>
        <w:gridCol w:w="1252"/>
        <w:gridCol w:w="1096"/>
        <w:gridCol w:w="1101"/>
        <w:gridCol w:w="109"/>
        <w:gridCol w:w="109"/>
        <w:gridCol w:w="109"/>
        <w:gridCol w:w="226"/>
        <w:gridCol w:w="849"/>
        <w:gridCol w:w="125"/>
        <w:gridCol w:w="109"/>
        <w:gridCol w:w="109"/>
        <w:gridCol w:w="109"/>
        <w:gridCol w:w="295"/>
        <w:gridCol w:w="1108"/>
        <w:gridCol w:w="231"/>
      </w:tblGrid>
      <w:tr>
        <w:trPr/>
        <w:tc>
          <w:tcPr>
            <w:tcW w:w="125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Prepaid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307,263 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330,011 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469,650 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 the three months ended June 30, 2026, the Company recorded a $32.8 million impairment loss on prepaid assets, which contributed to a decrease in prepaid expenses from December 31, 2025. The impairment loss was due to the Company’s determination that it would be unable to consume certain network services that were prepaid in previous periods due to operational and financial challenges experienced by two network service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162" w:type="dxa"/>
        <w:jc w:val="left"/>
        <w:tblInd w:w="0" w:type="dxa"/>
        <w:tblLayout w:type="fixed"/>
        <w:tblCellMar>
          <w:top w:w="28" w:type="dxa"/>
          <w:left w:w="28" w:type="dxa"/>
          <w:bottom w:w="28" w:type="dxa"/>
          <w:right w:w="28" w:type="dxa"/>
        </w:tblCellMar>
      </w:tblPr>
      <w:tblGrid>
        <w:gridCol w:w="1331"/>
        <w:gridCol w:w="1169"/>
        <w:gridCol w:w="1174"/>
        <w:gridCol w:w="109"/>
        <w:gridCol w:w="109"/>
        <w:gridCol w:w="109"/>
        <w:gridCol w:w="226"/>
        <w:gridCol w:w="849"/>
        <w:gridCol w:w="125"/>
        <w:gridCol w:w="109"/>
        <w:gridCol w:w="109"/>
        <w:gridCol w:w="109"/>
        <w:gridCol w:w="295"/>
        <w:gridCol w:w="1108"/>
        <w:gridCol w:w="2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Company-wide bonus program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bonus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557,698 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608,119 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Long-term debt, net, consists of the following:</w:t>
      </w:r>
    </w:p>
    <w:tbl>
      <w:tblPr>
        <w:tblW w:w="5573"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226"/>
        <w:gridCol w:w="849"/>
        <w:gridCol w:w="125"/>
        <w:gridCol w:w="109"/>
        <w:gridCol w:w="109"/>
        <w:gridCol w:w="109"/>
        <w:gridCol w:w="295"/>
        <w:gridCol w:w="1108"/>
        <w:gridCol w:w="23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495,635 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993,162 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of its covenants under the related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Revenue by Geographic Area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IP address or the mailing address of the customer at the time of registration. The following table sets forth revenue by geographic area:</w:t>
      </w:r>
    </w:p>
    <w:tbl>
      <w:tblPr>
        <w:tblW w:w="8434"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23" w:type="dxa"/>
        <w:jc w:val="left"/>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Lease and Other Commitments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its facilities under various non-cancelable operating lease agreements. In the three and six months ended June 30, 2026, the Company did not enter into any significant new lease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commitments with its cloud infrastructure provider, network service providers and other vendors. The Company had $1.5 billion of non-cancelable purchase commitments as of June 30, 2026 with remaining terms up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 xml:space="preserve">Legal Matters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accrues for contingencies associated with legal matters when it believes that a loss is probable and that it can be reasonably estimated. To the extent there is a reasonable possibility that a loss may be incurred that is in excess of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Legal fees and other costs related to litigation and other legal proceedings are expensed as incurred and are included in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Indemnification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Other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liabilities accrued for non-income-based taxes were $23.1 million for domestic jurisdictions and $22.1 million for jurisdictions outside of the United States. As of December 31, 2025, these liabilities were $21.1 million and $21.8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authorized 100,000,000 shares of preferred stock, par value $0.001 per share, of which no shares were issued and outstanding.</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authorized 1,000,000,000 shares of Class A common stock, par value $0.001 per share. As of June 30, 2026 and December 31, 2025, 153,571,872 and 152,411,346 shares of Class A common stock, respectively, were issued and outstanding.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9273" w:type="dxa"/>
        <w:jc w:val="left"/>
        <w:tblInd w:w="0" w:type="dxa"/>
        <w:tblLayout w:type="fixed"/>
        <w:tblCellMar>
          <w:top w:w="28" w:type="dxa"/>
          <w:left w:w="28" w:type="dxa"/>
          <w:bottom w:w="28" w:type="dxa"/>
          <w:right w:w="28" w:type="dxa"/>
        </w:tblCellMar>
      </w:tblPr>
      <w:tblGrid>
        <w:gridCol w:w="1985"/>
        <w:gridCol w:w="1747"/>
        <w:gridCol w:w="1758"/>
        <w:gridCol w:w="109"/>
        <w:gridCol w:w="109"/>
        <w:gridCol w:w="109"/>
        <w:gridCol w:w="520"/>
        <w:gridCol w:w="441"/>
        <w:gridCol w:w="401"/>
        <w:gridCol w:w="109"/>
        <w:gridCol w:w="109"/>
        <w:gridCol w:w="109"/>
        <w:gridCol w:w="611"/>
        <w:gridCol w:w="478"/>
        <w:gridCol w:w="678"/>
      </w:tblGrid>
      <w:tr>
        <w:trPr/>
        <w:tc>
          <w:tcPr>
            <w:tcW w:w="198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767,453 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902,120 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12,168,065 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13,663,977 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221,021 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265,225 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awards available for grant under 2016 equity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10,529,415 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28,543,969 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Shares of Class A common stock reserved for issuance pursuant to ESPP</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12,133,808 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10,836,938 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35,819,762 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54,212,229 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amount as of June 30, 2026 reflects the number of shares of Class A common stock reserved for issuance pursuant to the ESPP governing the current offering period as of that date. See Note 12 for further details.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and 2025, the Company repurchased 0.5 million and 1.8 million shares of its Class A common stock, respectively, for an aggregate purchase price of $66.0 million and $176.7 million, respectively. In the six months ended June 30, 2026 and 2025, the Company repurchased 2.6 million and 3.0 million shares of its Class A common stock, respectively, for an aggregate purchase price of $319.4 million and $306.9 million, respectively. As of June 30, 2026, approximately $826.0 million of the amount authorized in January 2025 for share repurchases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12. Stock-Based Compensation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Stock Option and Incentive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2016 Stock Option and Incentive Plan (the “Prior Equity Plan”) that originally became effective on June 21, 2016, and was scheduled to expire in June 2026, was amended on June 16, 2026 (the “Amendment Date”), pursuant to the Company’s stockholders’ approval. The amended 2016 Stock Option and Incentive Plan (the “Amended Equity Plan”) superseded the Prior Equity Plan and will expire on June 16, 2036. As of its effective date, the Amended Equity Plan reduced the number of shares reserved for issuance under the plan to a maximum of 10,500,000 shares of the Company’s Class A common stock, which will be increased by the amount of any shares subject to awards granted under the Amended Equity Plan (or the Prior Equity Plan prior to the Amendment Date) that are forfeited, canceled, reacquired by the Company prior to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 otherwise terminated. The Amended Equity Plan does not provide for automatic annual increases of available shares in the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types of awards permitted for granting under the Amended Equity Plan remain unchanged and include stock options, restricted stock units (“RSUs”), restricted stock awards, stock appreciation rights, unrestricted stock awards, performance share awards, dividend equivalent rights and cash-based awards by the Company to be granted to its employees, directors and consultants.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the Company’s outstanding equity awards were granted under equity incentive plans that are no longer active but continue to govern the outstanding equity awards granted thereunder.</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2016 Employee Stock Purchase Plan (the “Prior ESPP”) that originally became effective on June 21, 2016, and was scheduled to expire in June 2026, was amended on June 16, 2026, pursuant to the Company's stockholders’ approval. The amended 2016 Employee Stock Purchase Plan (the “Amended ESPP”) superseded the Prior ESPP and will remain effective until terminated by the Company’s board of directors in its discretion. As of its effective date, the Amended ESPP reduced the number of shares reserved for issuance thereunder to a maximum of 4,000,000 shares of the Company’s Class A common stock. The Amended ESPP does not provide for automatic annual increases of available shares in the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Both the Prior ESPP and the Amended ESPP allow eligible employees to purchase shares of the Company’s Class A common stock at a discount of 15% through payroll deductions of their eligible compensation, and provide for separate six-month offering periods beginning in May and November of each year. The initial offering under the Amended ESPP will begin on November 16, 2026, following the conclusion of the current six-month offering period that commenced in May 2026 under the Prior ESPP. On each purchase date, eligible employees purchase shares of the Company’s Class A common stock at a price per share equal to 85% of the lesser of (i) the fair market value of the Company’s Class A common stock on the offering date or (ii) the fair market value of the Company’s Class A common stock on the purchase date.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granted to certain of its executive employees performance-based restricted stock units (“PSUs”) covering 210,301 shares of Class A common stock that had an aggregate grant date fair value of $24.8 million. The PSUs will vest if certain operational performance conditions, as defined in the grant agreements, are met during the three-year performance achievement period, which expires on December 31, 2028. Additionally, if certain market conditions are met during the performance achievement period, the number of shares that ultimately vest may further increase or decrease. At the end of the vesting period, the number of shares actually issued may range from 0% to 200% of the target based on levels of performance.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PSUs was determined using a Monte-Carlo simulation model. The expense is recognized on a straight-line basis when it is probable that the performance target will be achieved during the performance period. The probability of achievement is assessed each reporting period and cumulative adjustments are recorded in periods in which the probability assessment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cost related to unvested RSUs, including PSUs, was $1.1 billion, which will be amortized over a weighted-average period of 2.2 years. As of June 30, 2026, total unrecognized compensation cost related to the ESPP was not significant.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total stock-based compensation expense as follows: </w:t>
      </w:r>
    </w:p>
    <w:tbl>
      <w:tblPr>
        <w:tblW w:w="77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Net Income Per Share Attributable to Common Stockholders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per share attributable to common stockholders during the periods presented:</w:t>
      </w:r>
    </w:p>
    <w:tbl>
      <w:tblPr>
        <w:tblW w:w="10205" w:type="dxa"/>
        <w:jc w:val="left"/>
        <w:tblInd w:w="0" w:type="dxa"/>
        <w:tblLayout w:type="fixed"/>
        <w:tblCellMar>
          <w:top w:w="28" w:type="dxa"/>
          <w:left w:w="28" w:type="dxa"/>
          <w:bottom w:w="28" w:type="dxa"/>
          <w:right w:w="28" w:type="dxa"/>
        </w:tblCellMar>
      </w:tblPr>
      <w:tblGrid>
        <w:gridCol w:w="1485"/>
        <w:gridCol w:w="1237"/>
        <w:gridCol w:w="1239"/>
        <w:gridCol w:w="109"/>
        <w:gridCol w:w="109"/>
        <w:gridCol w:w="109"/>
        <w:gridCol w:w="196"/>
        <w:gridCol w:w="871"/>
        <w:gridCol w:w="109"/>
        <w:gridCol w:w="109"/>
        <w:gridCol w:w="109"/>
        <w:gridCol w:w="109"/>
        <w:gridCol w:w="244"/>
        <w:gridCol w:w="807"/>
        <w:gridCol w:w="109"/>
        <w:gridCol w:w="109"/>
        <w:gridCol w:w="109"/>
        <w:gridCol w:w="109"/>
        <w:gridCol w:w="196"/>
        <w:gridCol w:w="871"/>
        <w:gridCol w:w="109"/>
        <w:gridCol w:w="109"/>
        <w:gridCol w:w="109"/>
        <w:gridCol w:w="109"/>
        <w:gridCol w:w="244"/>
        <w:gridCol w:w="807"/>
        <w:gridCol w:w="109"/>
        <w:gridCol w:w="109"/>
        <w:gridCol w:w="155"/>
      </w:tblGrid>
      <w:tr>
        <w:trPr/>
        <w:tc>
          <w:tcPr>
            <w:tcW w:w="148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152,785,292 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152,582,316 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Dilutive effect of outstanding 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159,708,166 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158,711,170 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160,729,638 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income per share attributable to common stockholders because their effect would have been anti-dilutive:</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1452"/>
        <w:gridCol w:w="1275"/>
        <w:gridCol w:w="1284"/>
        <w:gridCol w:w="109"/>
        <w:gridCol w:w="109"/>
        <w:gridCol w:w="109"/>
        <w:gridCol w:w="475"/>
        <w:gridCol w:w="396"/>
        <w:gridCol w:w="190"/>
        <w:gridCol w:w="190"/>
        <w:gridCol w:w="190"/>
        <w:gridCol w:w="190"/>
        <w:gridCol w:w="475"/>
        <w:gridCol w:w="396"/>
        <w:gridCol w:w="190"/>
        <w:gridCol w:w="109"/>
        <w:gridCol w:w="109"/>
        <w:gridCol w:w="109"/>
        <w:gridCol w:w="435"/>
        <w:gridCol w:w="436"/>
        <w:gridCol w:w="168"/>
        <w:gridCol w:w="167"/>
        <w:gridCol w:w="167"/>
        <w:gridCol w:w="167"/>
        <w:gridCol w:w="435"/>
        <w:gridCol w:w="436"/>
        <w:gridCol w:w="168"/>
        <w:gridCol w:w="109"/>
        <w:gridCol w:w="160"/>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414,972 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Unvested restricted stock units issued and outstanding</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2,286,140 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4,458,044 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committed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2,508,904 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5,021,236 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2,508,904 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4,555,337 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 portion of these unvested restricted stock units are PSUs. The number of PSUs that ultimately vest may increase or decrease the number of shares that will be issued at the end of the performance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14.</w:t>
      </w:r>
      <w:r>
        <w:rPr>
          <w:color w:val="000000"/>
        </w:rPr>
        <w:t xml:space="preserve"> </w:t>
      </w:r>
      <w:r>
        <w:rPr>
          <w:rFonts w:ascii="Times New Roman;serif" w:hAnsi="Times New Roman;serif"/>
          <w:b/>
          <w:color w:val="000000"/>
          <w:sz w:val="20"/>
        </w:rPr>
        <w:t>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computes its benefit from (provision for) income taxes for interim periods using an estimated annual effective tax rate based on anticipated annual pretax income or loss. The estimated annual effective tax rate is applied to the Company’s year-to-date income or loss, and is adjusted for discrete items recorded in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2026, the primary difference between the Company’s effective tax rate and federal statutory rate relates to the tax benefit recognized from the U.S. valuation allowance released during the second quarter of 2026. In prior periods, the primary difference between the Company’s effective tax rate and the federal statutory rate related to the valuation allowance the Company established on the federal, state and certain foreign net operating losses and credits.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benefit for income taxes recorded in the three and six months ended June 30, 2026 consists primarily of the release of the valuation allowance on U.S. deferred tax assets. The benefit for income taxes recorded in the three and six months ended June 30, 2026 was also impacted by federal, state and foreign income taxes and withholding taxes in foreign jurisdictions in which the Company conducts business, primarily driven by the excess benefit on share-based payment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recorded in the three and six months ended June 30, 2025 consists primarily of federal, state and foreign income taxes and withholding taxes in foreign jurisdictions in which the Company conducts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need for a valuation allowance on its deferred tax assets. In making that assessment, the Company considers both positive and negative evidence related to the likelihood of realization of the deferred tax assets to determine, based on the weight of all available evidence, whether it is more-likely-than-not that some or all of the deferred tax assets will be realized. The determination of the realizability of deferred tax assets requires significant judgment and relies on management's estimates of future taxable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demonstrated sustained profitability in the U.S. over a cumulative period of three years based on the U.S. pre-tax book income adjusted for permanent book-tax differences, and expects to continue to sustain this profitability position in the U.S. for the annual period ended December 31, 2026. This evidence is objective and verifiable and represents strong positive evidence that carries significant weight.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Company’s analysis of all available positive and negative evidence, including the objective and verifiable positive evidence as described above, and anticipated future earnings, the Company concluded that it is more likely than not that the majority of its U.S. deferred tax assets are realizable. As a result of this change in estimate, the Company released a significant portion of the valuation allowance on its U.S. deferred tax assets in the current quarter. The majority of this valuation allowance related to the U.S. federal and state net operating losses, tax credit carryforwards, and capitalized R&amp;D expenditures. As the change in estimate occurred during an interim period, the Company included the change in valuation allowance resulting from the current year income in the estimated annual effective tax rate and recorded the release of the valuation allowance as a discrete tax benefit during the period, which resulted in the recognition of deferred tax assets and an income tax benefit during the three and six months ended June 30, 2026 of $944.1 million. An additional $8.7 million of the valuation allowance release was recorded in the statement of shareholders’ equity related to deferred tax assets that arose from a previously settled capped call.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judgment regarding the need for a valuation allowance may reasonably change in future reporting periods due to many factors, including changes in expectations of future profitability in the U.S. and changes in tax laws or regulations. The Company will continue to maintain a valuation allowance against deferred tax assets where the Company believes that it is more likely than not that they will not be realized. The remaining valuation allowance as of June 30, 2026 was $519.3 million, maintained against deferred tax assets related to investments, certain state research and development credits and certain foreign deferred tax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 In February 2026, the Internal Revenue Service notified the Company of its intent to commence an audit of the Company's federal income tax return for the year ended December 31, 2023. The audit is in its preliminary stages. While the final outcome of this audit is uncertain, management believes that adequate amounts have been reserved for any adjustments that may result and does not expect the audit to have a material adverse effect on the Company's consolidated financial position, results of operations, or cash flows.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15.</w:t>
      </w:r>
      <w:r>
        <w:rPr>
          <w:color w:val="000000"/>
        </w:rPr>
        <w:t xml:space="preserve"> </w:t>
      </w:r>
      <w:r>
        <w:rPr>
          <w:rFonts w:ascii="Times New Roman;serif" w:hAnsi="Times New Roman;serif"/>
          <w:b/>
          <w:color w:val="000000"/>
          <w:sz w:val="20"/>
        </w:rPr>
        <w:t>Related Party Transactions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six months ended June 30, 2026, the value of transactions that occurred between the Company and Syniverse were $13.0 million and $44.0 million, respectively. For the three and six months ended June 30, 2025, the value of the transactions that occurred between the Company and Syniverse were $30.3 million and $69.0 million, respectively. These transactions were recorded as cost of revenue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impact of global economic and political conditions and uncertainty and significant market volatility on our business, customers and partners;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future financial performance, including expectations regarding our revenue, revenue growth, cost of revenue, gross profit, gross margin, operating expenses, and stock-based compensation, our ability to generate positive cash flow and our ability to achieve, improve and sustain profitability;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the factors affecting our results of operations, the timing of future expenses,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execute on our vision for our platform, including delivering new product releases and enhancements, reducing friction across our platform and streamlining cross-channel orchestration;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deliver an interoperable platform that allows businesses to harness the power of customer data and consumer insights to improve customer engagement;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use of and ability to leverage artificial intelligence (“AI”) and machine learning, including to develop and commercialize products and features for our customers and deploy internal applications for our own operational efficiency;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drive durable, profitable growth and increase our market share, including through product innovation, leveraging artificial intelligence, forming and enhancing relationships with independent software vendors and other partners, improving our self-service capabilities, cross-selling our products and expanding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simplify and modernize our business processes and improve our overall operating efficiency;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and our ability to comply with, modified or new industry standards, laws and regulations applying to our business, including legislative developments that may affect our tax obligations or tax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changes in network service provider fees that we pay in connection with the delivery of communications on our platform, including A2P messaging fees, our ability to manage such fees and their impact on our financial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and costs required to prevent, detect and remediate potential cybersecurity threats, incidents and breaches of ours or our customers’ systems or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optimize our network service provider coverage and connectivity;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share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all references in this Quarterly Report on Form 10-Q to “Twilio,” the “Company,” “we,” “our,” “us,” or similar terms are to Twilio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included in our Annual Report on Form 10-K for the year ended December 31, 2025.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envision a world in which every digital interaction is amazing. The Twilio platform combines our communications channels and software solutions with contextual data and AI-powered orchestration, enabling businesses to deliver amazing customer engagement across the entire customer journey. Our platform provides a trusted, simple, and smart infrastructure foundation that customers can build 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highly customizable communications APIs that enable developers to embed numerous forms of messaging, voice, email, and video interactions into their customer-facing applications, as well as software products that target specific engagement needs, including our digital engagement centers, marketing campaigns, and user authentication and identity solutions. This combination of flexible APIs and software solutions, together with our customer data capabilities, helps businesses of all sizes and across numerous industries to benefit from smarter and more streamlined engagement at every step of the customer journey, including reduced customer acquisition costs, lasting loyalty, and increased customer value.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focused on innovation and durable, profitable growth. To increase revenue and grow market share, we intend to drive product innovation, leverage predictive and generative AI, further enhance our independent software vendor (“ISV”), reseller and other partner relationships, improve our self-service capabilities, cross-sell our products, and expand internationally. We also intend to optimize our business and take measures to reduce costs, including simplifying and further automating our business processes, modernizing our infrastructure, leveraging AI, enacting certain workforce planning initiatives, optimizing utilization of our distributed workforce and implementing other initiatives targeted at improving efficiencies in our business. We are focused on driving leverage through these cost savings and efficiency initiatives, as well as efforts to drive growth in higher margin products.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and gross margin are impacted by a number of factors, including our product mix; our ability to manage our cloud infrastructure</w:t>
        <w:noBreakHyphen/>
        <w:t>related and network service provider fees, including A2P messaging fees; changes in foreign exchange rates; the timing of amortization of capitalized software development costs and acquired intangibles; the extent to which we periodically choose to adjust prices of our products; and the timing and extent of our investments in our operations. Our gross margin is also impacted by the mix of U.S. messaging termination compared to international messaging termination, as international messaging has lower gross margins.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recent quarters, major U.S. mobile carriers have increased network service provider fees for A2P messages delivered to their subscribers, and such fees may increase further over time. We pass these fees through to our customers at cost. As a result, we recognize an equal amount of revenue and cost of revenue related to these fees. The increased fees do not impact our gross profit, but they create a headwind to our gross margins.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determined that we would be unable to consume certain network services that we prepaid in previous periods due to operational and financial challenges experienced by two network service providers. This determination resulted in a $32.8 million impairment loss on prepaid assets that impacted our operating expenses and income from operations for the three and six months ended June 30, 2026. This impairment loss has no impact on our free cash flow and will not impact our results of operations in future periods.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regularly assess the need for a valuation allowance on our deferred tax assets. As of June 30, 2026, based on our analysis of both positive and negative evidence, including the amount of pre-tax book income in the U.S. in recent periods and our expectation of future profits in the U.S., we concluded that it is more likely than not that the majority of our U.S. deferred tax assets are realizable. As a result, we released a significant portion of our valuation allowance on the net deferred tax assets in the U.S., resulting in the recognition of deferred tax assets and income tax benefit of $944.1 million during the three and six months ended June 30, 2026. For further detail refer to Note 14 to our unaudited condensed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operational and financial metrics, including Dollar-Based Net Expansion Rate (“DBNE”),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year-over-year revenue growth and DBNE for the three months ended June 30, 2026 and 2025. </w:t>
      </w:r>
    </w:p>
    <w:tbl>
      <w:tblPr>
        <w:tblW w:w="6082" w:type="dxa"/>
        <w:jc w:val="left"/>
        <w:tblInd w:w="0" w:type="dxa"/>
        <w:tblLayout w:type="fixed"/>
        <w:tblCellMar>
          <w:top w:w="28" w:type="dxa"/>
          <w:left w:w="28" w:type="dxa"/>
          <w:bottom w:w="28" w:type="dxa"/>
          <w:right w:w="28" w:type="dxa"/>
        </w:tblCellMar>
      </w:tblPr>
      <w:tblGrid>
        <w:gridCol w:w="911"/>
        <w:gridCol w:w="802"/>
        <w:gridCol w:w="806"/>
        <w:gridCol w:w="109"/>
        <w:gridCol w:w="109"/>
        <w:gridCol w:w="109"/>
        <w:gridCol w:w="196"/>
        <w:gridCol w:w="871"/>
        <w:gridCol w:w="256"/>
        <w:gridCol w:w="109"/>
        <w:gridCol w:w="109"/>
        <w:gridCol w:w="109"/>
        <w:gridCol w:w="196"/>
        <w:gridCol w:w="871"/>
        <w:gridCol w:w="256"/>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Dollar</w:t>
        <w:noBreakHyphen/>
        <w:t>Based Net Expansion Rate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DBNE compares the total revenue in a quarter from all individual customer accounts, as identified by a unique account identifier, for which we have recognized at least $5 of revenue in the last month of the quarter, to revenue from those same accounts in the same quarter in the prior year. A single customer organization may constitute multiple unique customer accounts if it has multiple account identifiers. To calculate DBNE, we first identify the cohort of such customer accounts in the same quarter of the prior year. DBNE is the quotient obtained by dividing the revenue generated from that cohort in a quarter, by the revenue generated from that same cohort in the corresponding quarter in the prior year. When we calculate DBNE for periods longer than one quarter, we use the average of the applicable quarterly DBNEs for each of the quarters in such period. Revenue from acquisitions does not impact the DBNE calculation until the quarter following the one-year anniversary of the applicable acquisition, unless the acquisition closing date is the first day of a quarter. Revenue from divestitures does not impact the DBNE calculation beginning in the quarter the divestiture closed, unless the divestiture closing date is the last day of a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measuring DBNE provides an important indication of the performance of our efforts to increase revenue from existing customers. Our ability to drive growth and generate incremental revenue depends, in part, on our ability to maintain and grow our relationships with existing customers and to increase their use of the platform. An important way in which we have historically tracked performance in this area is by measuring the DBNE for such customer accounts. Our DBNE increases when these customers increase their usage of a product, extend their usage of a product to new applications or adopt a new product. Our DBNE decreases when these customers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account, this new account is tied to, and revenue from this new account is included with, the original customer account for the purposes of calculating this metric.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Statements of Operations</w:t>
      </w: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We recognize revenue from our products on either a usage basis or a subscription basis, depending on the nature of the product and the type of customer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derived from usage-based fees. The usage-based fees are earned when customers access our cloud-based platform and start using our products. Examples of our primarily usage-based products are Messaging and Voice. For Messaging products, we primarily charge fees related to the number of text messages sent or received. For Voice products, we primarily charge fees for minutes of call duration. Examples of our primarily subscription-based products are Email and Segment. For subscription-based revenue derived from these products, we recognize revenue evenly over the contract term. When our usage-based products are embedded into our subscription-based products, or when multiple products are purchased together as a solution, we charge for each product separately on a usage or subscription basis, as applicable.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usage-based customers gain access to our platform through a self-service process,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three months ended June 30, 2026 and 2025, we generated 75% and 74% of our revenue, respectively, from usage-based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June 30, 2026 and 2025, we generated 25% and 26% of our revenue, respectively, from non-usage</w:t>
        <w:noBreakHyphen/>
        <w:t>based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arrangements with network service providers require us to pay fees, including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represents revenue less cost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significant components of operating expenses are personnel costs, which consist of salaries, benefits, sales commissions,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focusing our research and development investment in the highest impact product areas for our future. We are investing strategically in alignment with our focus on combining communications, memory, and AI orchestration with identity, governance and observability to enable businesses to deliver continuous, personal and secure conversations.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focus our sales and marketing efforts on generating awareness of our company, platform and products, creating sales leads, expanding relationships with existing customers and establishing and promoting our brand, both domestically and internationally.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Impairment Loss on Prepaid Assets.</w:t>
      </w:r>
      <w:r>
        <w:rPr>
          <w:color w:val="000000"/>
        </w:rPr>
        <w:t xml:space="preserve"> </w:t>
      </w:r>
      <w:r>
        <w:rPr>
          <w:rFonts w:ascii="Times New Roman;serif" w:hAnsi="Times New Roman;serif"/>
          <w:b w:val="false"/>
          <w:color w:val="000000"/>
          <w:sz w:val="20"/>
        </w:rPr>
        <w:t>Impairment loss on prepaid assets consists of certain losses related to network services we prepaid in prior periods that we will be unable to consume due to operational and financial challenges experienced by two network service providers.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(expenses) income, net, consist primarily of our share of losses from our equity method investment, impairment charges and gains and losses related to our strategic investments, realized gains and losses from marketable securities, interest income and expense and debt-related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Benefit from (Provision for) 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benefit from (provision for) income taxes consists primarily of the tax benefit from the release of a significant portion of our U.S. valuation allowance; and also, federal, state and foreign income taxes and withholding taxes in foreign jurisdictions in which the Company conducts business. From time to time, we may recognize tax benefits arising from various matters, including newly enacted legislations. Benefits from income taxes may fully or partially offset the provision for income taxes within a reporting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2026, the primary difference between our effective tax rate and federal statutory rate relates to the tax benefit recognized from the U.S. valuation allowance released during the second quarter of 2026. In prior periods, the primary difference between our effective tax rate and the federal statutory rate related to the valuation allowance we established on the federal, state and certain foreign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 The period-to-period comparison of our historical results are not indicative of the results that may be expected in the future.</w:t>
      </w:r>
    </w:p>
    <w:tbl>
      <w:tblPr>
        <w:tblW w:w="10205" w:type="dxa"/>
        <w:jc w:val="left"/>
        <w:tblInd w:w="0" w:type="dxa"/>
        <w:tblLayout w:type="fixed"/>
        <w:tblCellMar>
          <w:top w:w="28" w:type="dxa"/>
          <w:left w:w="28" w:type="dxa"/>
          <w:bottom w:w="28" w:type="dxa"/>
          <w:right w:w="28" w:type="dxa"/>
        </w:tblCellMar>
      </w:tblPr>
      <w:tblGrid>
        <w:gridCol w:w="1458"/>
        <w:gridCol w:w="1232"/>
        <w:gridCol w:w="123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5"/>
      </w:tblGrid>
      <w:tr>
        <w:trPr/>
        <w:tc>
          <w:tcPr>
            <w:tcW w:w="145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152,785,292 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152,582,316 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159,708,166 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158,711,170 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w:t>
        <w:br/>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stock-based compensation expense as follows:</w:t>
      </w:r>
    </w:p>
    <w:tbl>
      <w:tblPr>
        <w:tblW w:w="7744"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br/>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amortization of acquired intangibles as follows:</w:t>
      </w:r>
    </w:p>
    <w:tbl>
      <w:tblPr>
        <w:tblW w:w="6920" w:type="dxa"/>
        <w:jc w:val="center"/>
        <w:tblInd w:w="0" w:type="dxa"/>
        <w:tblLayout w:type="fixed"/>
        <w:tblCellMar>
          <w:top w:w="28" w:type="dxa"/>
          <w:left w:w="28" w:type="dxa"/>
          <w:bottom w:w="28" w:type="dxa"/>
          <w:right w:w="28" w:type="dxa"/>
        </w:tblCellMar>
      </w:tblPr>
      <w:tblGrid>
        <w:gridCol w:w="560"/>
        <w:gridCol w:w="491"/>
        <w:gridCol w:w="494"/>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our total revenue:</w:t>
      </w:r>
    </w:p>
    <w:tbl>
      <w:tblPr>
        <w:tblW w:w="9031" w:type="dxa"/>
        <w:jc w:val="center"/>
        <w:tblInd w:w="0" w:type="dxa"/>
        <w:tblLayout w:type="fixed"/>
        <w:tblCellMar>
          <w:top w:w="28" w:type="dxa"/>
          <w:left w:w="28" w:type="dxa"/>
          <w:bottom w:w="28" w:type="dxa"/>
          <w:right w:w="28" w:type="dxa"/>
        </w:tblCellMar>
      </w:tblPr>
      <w:tblGrid>
        <w:gridCol w:w="1610"/>
        <w:gridCol w:w="1411"/>
        <w:gridCol w:w="1419"/>
        <w:gridCol w:w="109"/>
        <w:gridCol w:w="109"/>
        <w:gridCol w:w="109"/>
        <w:gridCol w:w="188"/>
        <w:gridCol w:w="188"/>
        <w:gridCol w:w="352"/>
        <w:gridCol w:w="150"/>
        <w:gridCol w:w="150"/>
        <w:gridCol w:w="150"/>
        <w:gridCol w:w="188"/>
        <w:gridCol w:w="188"/>
        <w:gridCol w:w="352"/>
        <w:gridCol w:w="109"/>
        <w:gridCol w:w="109"/>
        <w:gridCol w:w="109"/>
        <w:gridCol w:w="188"/>
        <w:gridCol w:w="188"/>
        <w:gridCol w:w="310"/>
        <w:gridCol w:w="132"/>
        <w:gridCol w:w="132"/>
        <w:gridCol w:w="132"/>
        <w:gridCol w:w="188"/>
        <w:gridCol w:w="188"/>
        <w:gridCol w:w="310"/>
        <w:gridCol w:w="109"/>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as a</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8"/>
              </w:rPr>
              <w:t>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r>
      <w:r>
        <w:rPr>
          <w:rFonts w:ascii="Times New Roman;serif" w:hAnsi="Times New Roman;serif"/>
          <w:b/>
          <w:color w:val="000000"/>
          <w:sz w:val="18"/>
        </w:rPr>
        <w:br/>
      </w:r>
      <w:r>
        <w:rPr>
          <w:rFonts w:ascii="Times New Roman;serif" w:hAnsi="Times New Roman;serif"/>
          <w:b w:val="false"/>
          <w:color w:val="000000"/>
          <w:sz w:val="18"/>
        </w:rPr>
        <w:t xml:space="preserve">* Less than 0.5% of revenue.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Columns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6614"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65"/>
        <w:gridCol w:w="166"/>
        <w:gridCol w:w="25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revenue increased by $270.7 million, or 22%, compared to the same period last year. This increase was primarily attributable to the increased usage of our products by our existing customers, as reflected in our DBNE of 116%, as well as an increase of $75.7 million in revenue derived from customer accounts not captured in our DBNE calculation, which are primarily new customer accounts. The increase also reflects $71.1 million in revenue related to the incremental A2P fees recently introduced by major U.S. carriers.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30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cost of revenue increased by $147.5 million, or 24%, compared to the same period last year. The increase was primarily attributable to a $138.8 million increase in network service provider costs, net of the impact of hedging instruments, which includes a $71.1 million increase due to the incremental A2P fees recently introduced by major U.S. carriers.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gross profit increased by $123.1 million, or 20%, compared to the same period last year. This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038" w:type="dxa"/>
        <w:jc w:val="left"/>
        <w:tblInd w:w="0" w:type="dxa"/>
        <w:tblLayout w:type="fixed"/>
        <w:tblCellMar>
          <w:top w:w="28" w:type="dxa"/>
          <w:left w:w="28" w:type="dxa"/>
          <w:bottom w:w="28" w:type="dxa"/>
          <w:right w:w="28" w:type="dxa"/>
        </w:tblCellMar>
      </w:tblPr>
      <w:tblGrid>
        <w:gridCol w:w="913"/>
        <w:gridCol w:w="802"/>
        <w:gridCol w:w="805"/>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46"/>
        <w:gridCol w:w="109"/>
        <w:gridCol w:w="109"/>
        <w:gridCol w:w="109"/>
        <w:gridCol w:w="109"/>
        <w:gridCol w:w="165"/>
        <w:gridCol w:w="166"/>
        <w:gridCol w:w="256"/>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Percentage not meaningful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research and development expenses increased by $29.8 million, or 12%, compared to the same period last year. The increase was primarily attributable to a $13.8 million increase in hosting fees to support development and staging of our products and a $10.3 million increase in total personnel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sales and marketing expenses decreased by $3.9 million, or 2%, compared to the same period last year. Fluctuations in the various sales and marketing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general and administrative expenses increased by $16.9 million, or 17%, compared to the same period last year. The increase was primarily attributable to an $8.0 million increase in the provision for doubtful accounts, a $4.0 million increase in personnel costs, and a $2.1 million increase in professional services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impairment loss on prepaid assets increased by $32.8 million compared to the same period last year. The impairment relates to certain prepaid network services that we determined we would be unable to consume due to operational and financial challenges experienced by two network service providers. No such impairment occurred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net</w:t>
      </w:r>
    </w:p>
    <w:tbl>
      <w:tblPr>
        <w:tblW w:w="9122"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631"/>
        <w:gridCol w:w="109"/>
        <w:gridCol w:w="109"/>
        <w:gridCol w:w="109"/>
        <w:gridCol w:w="109"/>
        <w:gridCol w:w="209"/>
        <w:gridCol w:w="212"/>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158"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other expenses, net, increased by $5.6 million, or 166%, compared to the same period last year. Fluctuations in the various other expense, net, categories were not significant either individually or in the aggregate.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Benefit from (Provision for) Income Taxes</w:t>
      </w:r>
    </w:p>
    <w:tbl>
      <w:tblPr>
        <w:tblW w:w="8621" w:type="dxa"/>
        <w:jc w:val="left"/>
        <w:tblInd w:w="0" w:type="dxa"/>
        <w:tblLayout w:type="fixed"/>
        <w:tblCellMar>
          <w:top w:w="28" w:type="dxa"/>
          <w:left w:w="28" w:type="dxa"/>
          <w:bottom w:w="28" w:type="dxa"/>
          <w:right w:w="28" w:type="dxa"/>
        </w:tblCellMar>
      </w:tblPr>
      <w:tblGrid>
        <w:gridCol w:w="1113"/>
        <w:gridCol w:w="977"/>
        <w:gridCol w:w="984"/>
        <w:gridCol w:w="109"/>
        <w:gridCol w:w="109"/>
        <w:gridCol w:w="109"/>
        <w:gridCol w:w="196"/>
        <w:gridCol w:w="736"/>
        <w:gridCol w:w="109"/>
        <w:gridCol w:w="109"/>
        <w:gridCol w:w="109"/>
        <w:gridCol w:w="109"/>
        <w:gridCol w:w="196"/>
        <w:gridCol w:w="721"/>
        <w:gridCol w:w="109"/>
        <w:gridCol w:w="109"/>
        <w:gridCol w:w="109"/>
        <w:gridCol w:w="109"/>
        <w:gridCol w:w="109"/>
        <w:gridCol w:w="109"/>
        <w:gridCol w:w="196"/>
        <w:gridCol w:w="871"/>
        <w:gridCol w:w="109"/>
        <w:gridCol w:w="109"/>
        <w:gridCol w:w="109"/>
        <w:gridCol w:w="109"/>
        <w:gridCol w:w="135"/>
        <w:gridCol w:w="135"/>
        <w:gridCol w:w="136"/>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05" w:type="dxa"/>
            <w:gridSpan w:val="9"/>
            <w:tcBorders/>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Percentage not meaningful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benefit from (provision for) income taxes increased by $1.0 billion compared to the same period last year. The increase was primarily attributable to the release of our valuation allowance on certain of our U.S. federal and state deferred tax assets in the three months ended June 30, 2026, which generated a $944.1 million income tax benefit. For further detail refer to Note 14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6614"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65"/>
        <w:gridCol w:w="166"/>
        <w:gridCol w:w="25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revenue increased by $505.1 million, or 21%, compared to the same period last year. This increase was primarily attributable to the increased usage of our products by our existing customers, as reflected in our DBNE of 115%, as well as an increase of $146.6 million in revenue derived from customer accounts not captured in our DBNE calculation, which are primarily new customer accounts. The increase also reflects $117.1 million in revenue related to the incremental A2P fees recently introduced by major U.S. carriers.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57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cost of revenue increased by $279.3 million, or 23%, compared to the same period last year. This increase was primarily attributable to a $257.0 million increase in network service providers’ costs, net of the impact of hedging instruments, which includes a $117.1 million increase due to the incremental A2P fees recently introduced by major U.S. carriers.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gross profit increased by $225.8 million, or 19%, compared to the same period last year. The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308" w:type="dxa"/>
        <w:jc w:val="left"/>
        <w:tblInd w:w="0" w:type="dxa"/>
        <w:tblLayout w:type="fixed"/>
        <w:tblCellMar>
          <w:top w:w="28" w:type="dxa"/>
          <w:left w:w="28" w:type="dxa"/>
          <w:bottom w:w="28" w:type="dxa"/>
          <w:right w:w="28" w:type="dxa"/>
        </w:tblCellMar>
      </w:tblPr>
      <w:tblGrid>
        <w:gridCol w:w="913"/>
        <w:gridCol w:w="802"/>
        <w:gridCol w:w="805"/>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646"/>
        <w:gridCol w:w="109"/>
        <w:gridCol w:w="109"/>
        <w:gridCol w:w="109"/>
        <w:gridCol w:w="109"/>
        <w:gridCol w:w="164"/>
        <w:gridCol w:w="167"/>
        <w:gridCol w:w="256"/>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Percentage not meaningful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research and development expenses increased by $37.7 million, or 8%, compared to the same period last year. The increase was primarily attributable to a $22.6 million increase in hosting fees to support development and staging of our products and a $12.5 million increase in total personnel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sales and marketing expenses decreased by $4.2 million, or 1%, compared to the same period last year. Fluctuations in the various sales and marketing expense categories were not significant either individually or in the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general and administrative expenses increased by $27.4 million, or 14%, compared to the same period last year. The increase was primarily attributable to an $11.1 million increase in total personnel costs, a $7.1 million increase in the provision for doubtful accounts and a $4.6 million increase in professional services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impairment loss on prepaid assets increased by $32.8 million compared to the same period last year. The impairment relates to certain prepaid network services that we determined we would be unable to consume due to operational and financial challenges experienced by two network service providers. No such impairment occurred in the prior year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tbl>
      <w:tblPr>
        <w:tblW w:w="9087"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721"/>
        <w:gridCol w:w="109"/>
        <w:gridCol w:w="109"/>
        <w:gridCol w:w="109"/>
        <w:gridCol w:w="109"/>
        <w:gridCol w:w="201"/>
        <w:gridCol w:w="204"/>
        <w:gridCol w:w="256"/>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60" w:type="dxa"/>
            <w:gridSpan w:val="9"/>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Percentage not meaningful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other (expenses) income, net, decreased by $14.6 million compared to the same period last year. The decrease is primarily attributable to a $7.7 million decrease in other income, net, primarily driven by unrealized losses from fluctuations in foreign currency exchange rates and a $6.9 million increase in our share of losses from our equity method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Benefit from (Provision for) Income Taxes</w:t>
      </w:r>
    </w:p>
    <w:tbl>
      <w:tblPr>
        <w:tblW w:w="8486" w:type="dxa"/>
        <w:jc w:val="left"/>
        <w:tblInd w:w="0" w:type="dxa"/>
        <w:tblLayout w:type="fixed"/>
        <w:tblCellMar>
          <w:top w:w="28" w:type="dxa"/>
          <w:left w:w="28" w:type="dxa"/>
          <w:bottom w:w="28" w:type="dxa"/>
          <w:right w:w="28" w:type="dxa"/>
        </w:tblCellMar>
      </w:tblPr>
      <w:tblGrid>
        <w:gridCol w:w="1113"/>
        <w:gridCol w:w="977"/>
        <w:gridCol w:w="984"/>
        <w:gridCol w:w="109"/>
        <w:gridCol w:w="109"/>
        <w:gridCol w:w="109"/>
        <w:gridCol w:w="196"/>
        <w:gridCol w:w="736"/>
        <w:gridCol w:w="109"/>
        <w:gridCol w:w="109"/>
        <w:gridCol w:w="109"/>
        <w:gridCol w:w="109"/>
        <w:gridCol w:w="196"/>
        <w:gridCol w:w="721"/>
        <w:gridCol w:w="109"/>
        <w:gridCol w:w="109"/>
        <w:gridCol w:w="109"/>
        <w:gridCol w:w="109"/>
        <w:gridCol w:w="109"/>
        <w:gridCol w:w="109"/>
        <w:gridCol w:w="196"/>
        <w:gridCol w:w="736"/>
        <w:gridCol w:w="109"/>
        <w:gridCol w:w="109"/>
        <w:gridCol w:w="109"/>
        <w:gridCol w:w="109"/>
        <w:gridCol w:w="135"/>
        <w:gridCol w:w="135"/>
        <w:gridCol w:w="136"/>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05" w:type="dxa"/>
            <w:gridSpan w:val="9"/>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Percentage not meaningful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benefit from (provision for) income taxes increased by $1.0 billion compared to the same period last year. The increase was primarily attributable to the release of our valuation allowance on certain of our U.S. federal and state deferred tax assets in the six months ended June 30, 2026, which generated a $944.1 million income tax benefit. For further detail refer to Note 14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the following non</w:t>
        <w:noBreakHyphen/>
        <w:t>GAAP financial information to evaluate our ongoing operations and for internal planning and forecasting purposes. We believe that non</w:t>
        <w:noBreakHyphen/>
        <w:t>GAAP financial information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 xml:space="preserve">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Gross Profit and Non</w:t>
        <w:noBreakHyphen/>
        <w:t>GAAP Gross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358" w:type="dxa"/>
        <w:jc w:val="left"/>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 xml:space="preserve">GAAP operating expenses (including categories of operating expenses) as GAAP operating expenses (and categories of operating expenses) adjusted to exclude, as applicable, certain expenses as presented in the table below: </w:t>
      </w:r>
    </w:p>
    <w:tbl>
      <w:tblPr>
        <w:tblW w:w="7065" w:type="dxa"/>
        <w:jc w:val="left"/>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Income from Operations and Non</w:t>
        <w:noBreakHyphen/>
        <w:t>GAAP Operating Margin</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income from operations and non</w:t>
        <w:noBreakHyphen/>
        <w:t>GAAP operating margin as GAAP income from operations and GAAP operating margin, respectively, adjusted to exclude, as applicable, certain expenses as presented in the table below:</w:t>
      </w:r>
    </w:p>
    <w:tbl>
      <w:tblPr>
        <w:tblW w:w="7359" w:type="dxa"/>
        <w:jc w:val="left"/>
        <w:tblInd w:w="0" w:type="dxa"/>
        <w:tblLayout w:type="fixed"/>
        <w:tblCellMar>
          <w:top w:w="28" w:type="dxa"/>
          <w:left w:w="28" w:type="dxa"/>
          <w:bottom w:w="28" w:type="dxa"/>
          <w:right w:w="28" w:type="dxa"/>
        </w:tblCellMar>
      </w:tblPr>
      <w:tblGrid>
        <w:gridCol w:w="1314"/>
        <w:gridCol w:w="1155"/>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Free Cash Flow and Free Cash Flow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free cash flow as net cash provided by operating activities less capitalized software development costs and purchases of long-lived assets, and we define free cash flow margin as free cash flow divided by revenue, as presented in the table below:</w:t>
      </w:r>
    </w:p>
    <w:tbl>
      <w:tblPr>
        <w:tblW w:w="7682" w:type="dxa"/>
        <w:jc w:val="left"/>
        <w:tblInd w:w="0" w:type="dxa"/>
        <w:tblLayout w:type="fixed"/>
        <w:tblCellMar>
          <w:top w:w="28" w:type="dxa"/>
          <w:left w:w="28" w:type="dxa"/>
          <w:bottom w:w="28" w:type="dxa"/>
          <w:right w:w="28" w:type="dxa"/>
        </w:tblCellMar>
      </w:tblPr>
      <w:tblGrid>
        <w:gridCol w:w="1325"/>
        <w:gridCol w:w="1165"/>
        <w:gridCol w:w="1170"/>
        <w:gridCol w:w="109"/>
        <w:gridCol w:w="109"/>
        <w:gridCol w:w="109"/>
        <w:gridCol w:w="196"/>
        <w:gridCol w:w="736"/>
        <w:gridCol w:w="256"/>
        <w:gridCol w:w="109"/>
        <w:gridCol w:w="109"/>
        <w:gridCol w:w="109"/>
        <w:gridCol w:w="196"/>
        <w:gridCol w:w="811"/>
        <w:gridCol w:w="256"/>
        <w:gridCol w:w="109"/>
        <w:gridCol w:w="109"/>
        <w:gridCol w:w="109"/>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$823.3 million and short-term marketable securities of $1.8 billion. Cash equivalents consist of money market funds, commercial paper and U.S. treasury bills. Short-term marketable securities consist primarily of U.S. treasury securities, high credit quality corporate debt securities and commercial paper. The cash and cash equivalents and short-term marketable securities are held for working capital purposes.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and contractual commitments to our cloud infrastructure and network service providers. Refer to Note 8 and Note 10(a) to our unaudited condensed consolidated financial statements included elsewhere in this Quarterly Report on Form 10-Q for discussions of our obligations and commitments related to leases, debt and other purchase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the repurchase of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we repurchased $66.0 million in aggregate value, or 0.5 million shares, and $319.4 million in aggregate value, or 2.6 million shares, respectively, of our Class A common stock. As of June 30, 2026, approximately $826.0 million of the amount authorized in January 2025 for share repurchases remained available for future repurchases.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2029 Notes and 2031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issued and sold $1.0 billion in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15 to our Annual Report on Form 10-K filed with the SEC on February 24, 2026.</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124" w:type="dxa"/>
        <w:jc w:val="left"/>
        <w:tblInd w:w="0" w:type="dxa"/>
        <w:tblLayout w:type="fixed"/>
        <w:tblCellMar>
          <w:top w:w="28" w:type="dxa"/>
          <w:left w:w="28" w:type="dxa"/>
          <w:bottom w:w="28" w:type="dxa"/>
          <w:right w:w="28" w:type="dxa"/>
        </w:tblCellMar>
      </w:tblPr>
      <w:tblGrid>
        <w:gridCol w:w="1495"/>
        <w:gridCol w:w="1309"/>
        <w:gridCol w:w="1321"/>
        <w:gridCol w:w="109"/>
        <w:gridCol w:w="109"/>
        <w:gridCol w:w="109"/>
        <w:gridCol w:w="196"/>
        <w:gridCol w:w="736"/>
        <w:gridCol w:w="109"/>
        <w:gridCol w:w="109"/>
        <w:gridCol w:w="109"/>
        <w:gridCol w:w="109"/>
        <w:gridCol w:w="196"/>
        <w:gridCol w:w="736"/>
        <w:gridCol w:w="109"/>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cash provided by operating activities consisted primarily of our net income of $1.2 billion adjusted for non-cash items, including $944.1 million of tax benefit related to release of our U.S. valuation allowance, $278.4 million of stock-based compensation expense, $63.7 million of depreciation and amortization expense, $51.6 million of our share of losses from an equity method investment, $33.6 million of amortization of deferred commissions, $9.5 million of non-cash reduction in our operating right-of-use asset, and $175.0 million of cumulative changes in operating assets and liabilities. With respect to changes in operating assets and liabilities, accounts payable and other current liabilities decreased $67.3 million primarily driven by the payment of the 2025 company-wide bonus in the six months ended June 30, 2026. Operating lease liabilities decreased $17.8 million due to payments made against our operating lease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cash provided by operating activities consisted primarily of our net income of $42.4 million adjusted for non-cash items, including $288.5 million of stock-based compensation expense, $99.4 million of depreciation and amortization expense, $44.7 million of our share of losses from an equity method investment, $38.4 million of amortization of deferred commissions, $10.5 million of non-cash reduction in our operating right-of-use asset, and $59.8 million of cumulative changes in operating assets and liabilities. With respect to changes in operating assets and liabilities, accounts receivable and prepaid expenses decreased $81.6 million primarily due to timing of cash receipts and prepayments of certain operating expenses. Accounts payable and other current liabilities decreased $64.4 million primarily driven by the payment of the 2024 company-wide bonus in the six months ended June 30, 2025. Other long-term assets increased $51.4 million primarily due to an increase in long-term prepayments to support our business. Operating lease liabilities decreased $18.7 million due to payments made against our operating lease obligations.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cash used in investing activities was $94.4 million, primarily consisting of $53.2 million of purchases of marketable securities and other investments, net of proceeds from sales and maturities of marketable securities and other investments, $33.4 million related to capitalized software development costs, and $7.2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cash provided by investing activities was $382.9 million, primarily consisting of $409.2 million of maturities and sales of marketable securities, net of purchases, partially offset by $24.2 million related to capitalized software development costs, and $2.2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cash used in financing activities was $290.4 million primarily consisting of $323.0 million of cash paid to repurchase 0.5 million shares of our Class A common stock, including related costs, partially offset by $32.8 million in proceeds from exercises of stock options and shares of Class A common stock issued under the Company’s ESPP.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cash used in financing activities was $301.7 million primarily consisting of $323.2 million of cash paid to repurchase 3.0 million shares of our Class A common stock, including related costs, partially offset by $25.9 million in proceeds from exercises of stock options and shares of Class A common stock issued under the Company’s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losses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the effect of uncertain income tax positions only if those positions are more likely than not of being sustained. Recognized income tax positions are measured at the largest amount that is more than 50% likely to be realized. Changes in recognition or measurement are reflected in the period in which the change in judgment occurs.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regularly assess the need for a valuation allowance on our deferred tax assets. In making that assessment, we consider both positive and negative evidence related to the likelihood of realization of the deferred tax assets to determine, based on the weight of all available evidence, whether it is more-likely-than-not that some or all of our deferred tax assets will be realized. The determination of the realizability of deferred tax assets requires significant judgment and relies on management's estimates of future taxable income.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demonstrated sustained profitability in the U.S. over a cumulative period of three years based on the U.S. pre-tax book income adjusted for permanent book-tax differences, and we expect to continue to sustain this profitability position in the U.S. for the annual period ended December 31, 2026. This evidence is objective and verifiable and represents strong positive evidence that carries significant weight.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analysis of all available positive and negative evidence, including the objective and verifiable positive evidence as described above, and anticipated future earnings, we concluded that it is more likely than not that the majority of our U.S. deferred tax assets are realizable. As a result of this change in estimate, we released a significant portion of the valuation allowance on our U.S. deferred tax assets in the current quarter. For further detail refer to Note 14 to our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judgment regarding the need for a valuation allowance may reasonably change in future reporting periods due to many factors, including changes in expectations of future profitability in the U.S. and changes in tax laws or regulations. We will continue to maintain a valuation allowance against deferred tax assets where we believe that it is more likely than not that they will not be realized.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other changes to our critical accounting policies and estimates as described in our Annual Report on Form 10-K filed with the SEC on February 24,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$823.3 million and marketable securities of $1.8 billion as of June 30, 2026. In any given period, cash, cash equivalents and restricted cash may consist of bank deposits, money market funds, reverse repurchase agreements, commercial paper and U.S. Treasury bills. Marketable securities consist primarily of U.S. treasury securities, high credit quality corporate debt securities and commercial paper.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Currency Exchange Risks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unaudited condensed consolidated statements of operations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foreign currency derivative hedging transactions to mitigate our exposure to market risks that may result from changes in foreign currency exchange rates. For further information, refer to Note 5 to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Chief Financial Officer concluded that, as of June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(b)    Changes in Internal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in connection with the evaluation required by Rule 13a-15(d) and 15d-15(d) of the Exchange Act that occurred during the three months ended June 30, 2026, that materially affected, or are reasonably likely to materially affect, our internal control over financial reporting.</w:t>
      </w:r>
    </w:p>
    <w:p>
      <w:pPr>
        <w:pStyle w:val="TextBody"/>
        <w:bidi w:val="0"/>
        <w:spacing w:lineRule="auto" w:line="417"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(c)    Inherent Limitations on Effectiveness of Controls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 xml:space="preserve">Legal Proceedings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10(b) to our unaudited condensed consolidated financial statements included elsewhere in this Quarterly Report on Form 10-Q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the impact of global economic and political conditions, including macroeconomic and political uncertainties;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fluctuations in our quarterly results and our ability to meet securities analysts’ and investors’ expectations;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fluctuations in the levels of our customers’ usage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attract new customers and increase usage of our products by existing customers effectively and in a cost-efficient manner;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develop new products and enhancements that achieve market acceptance and adapt to changing technology, regulations, and industry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our products with third-party products and ensure they operate effectively;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effectively manage our growth and strategic changes to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compete effectively in intensely competitive and rapidly evolving markets;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maintain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hire, integrate and retain highly skilled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network service providers and internet service providers for network service and connectivity;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breaches of or incidents impacting our networks or systems, or those of our service providers or broader supply chain;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actual or perceived failure to comply with increasingly stringent laws, regulations and obligations relating to privacy, data protection and cybersecurity;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protect our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third-party technology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AI technologies in our platform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assign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unwanted, 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compliance with applicable laws and regulations, including export controls, economic sanctions, customs and anti-corruption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legal proceedings or claims against us;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maintain an effective system of disclosure controls and internal control over financial reporting;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additional tax liabilities or potentially adverse tax consequences of our global operations and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tax rules and regulations;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we may not realize the anticipated long-term stockholder value of our share repurchase program;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environmental, social and governance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Global economic and political conditions, including macroeconomic and political uncertainties, have had, and may continue to have, an adverse impact on our business, results of operations and financial condition.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business activities continue to face widespread macroeconomic uncertainties, including market volatility, changes in international economic and trade relations, supply chain disruptions, changes in the labor market, increased energy and commodity price volatility,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geopolitical instability, including related to conflicts in the Middle East, and changes and uncertainty with respect to trade policies, actual or threatened tariffs, treaties, government regulations, executive orders, directives and enforcement priorities, as well as any ongoing or potential U.S. federal government shutdown, have contributed to further disruptions in global trade and have adversely affected, and may continue to adversely affect, the global economy and/or our business. Given that a majority of our revenue is usage-based and therefore impacted by general consumer sentiment and activity, our business may be more immediately and severely impacted by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macroeconomic conditions than those that rely primarily on subscription revenue. Additionally, increased prices resulting from the effects of tariffs and inflation could increase our operating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 For example, tariffs imposed by the U.S. administration, uncertainty related thereto, and potential or actual retaliatory measures, have adversely affected trade relations, pressured supply chains, and led to increased market volatility, and such effects may continue. Any resulting harm to our customers’ businesses could depress their usage levels and/or purchasing power and lead them to reduce their spending with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Macroeconomic and political conditions and uncertainties have in the past adversely affected, and may in the future adversely affect, our business, results of operations and financial condition, and could exacerbate many of the other risks described in this “Risk Factors” section.</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 other risks described in this “Risk Factors” section, some of the factors that may result in fluctuations to our results of operations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demand for, pricing of, or usage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introduce new products, features and enhancements;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our customer base and the markets that our products address,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improve, automate, and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relationships with resellers, distributors, and strategic partners, including ISVs, technology partners, and systems integrators;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combine our communications products with contextual data and AI and introduce compelling new products and enhancements that address the changing nature of our markets and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cloud infrastructure, network services and other third-party technology, including the fees charged by their providers and the impact of such fees on our pricing and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effectiveness of our sales and marketing efforts, the productivity of our sales force, and 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mix or amount of products that our customers use, and that are sold in the United States versus internationally, during a particular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seasonal trends, including due to increased consumer activity in the fourth quarter;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 and retaining existing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foreign currency exchange rates and our ability to effectively hedge our foreign currency exposure;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stock-based compensation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including heightened inflation or interest rates, and geopolitical uncertainty or instability.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our customers terminate or reduce their usage of our products, our business, results of operations and financial condition would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networks or systems, or those of our third-party service providers, have impacted our customers’ ability to use products on our platform for up to several hours at a time. Such issues have had, and in the future may have, an adverse impact on customer satisfaction and our ability to retain or attract customers and have caused, and may in the future cause, us to incur certain costs associated with offering credits to our affected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or increase usage of our products by existing customers effectively and in a cost-efficient manner, our business, results of operations and financial condition would be adversely affected.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must continue to attract new customers, increase usage of our existing products and new product adoption by existing customers, and successfully market new products, including products with higher gross margins, and do so in a cost-effective manner. Our sales and marketing teams work closely together to drive awareness and adoption of our platform. We leverage our brand, marketing programs and conferences, such as SIGNAL, to expand our go-to-market motions. Our go-to-market model has three motions: our self-service platform, primarily aimed at developers and other technical customers; our direct sales motion, primarily aimed at enterprises and other organizations with complex, high-scale business needs; and our partner-led motion, including resellers, distributors, and strategic partners, such as ISVs, technology partners and systems integrators, which is primarily aimed at customers who do not have the available developer resources or expertise to build our products into their own applications.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we are focusing increasingly on solution selling and platform services. We are focused on driving efficiencies in our sales operations, and are continuing to improve and rely increasingly on our self-service capabilities to drive sales to customers that do not require direct account coverage. We are also introducing AI and automation in our self-service platform aimed at improving sales and customer support. In addition, we recently introduced a unified Twilio Console designed in part to streamline and facilitate initial onboarding and multi-product adoption. These efforts may not continue to be as effective as we anticipate in driving adoption or increased usage of our products, or may take longer than we expect to drive growth or increase efficiency. In addition, if the costs of the marketing channels we use increase, then we may choose to use alternative or less expensive channels, which may not be as effective as the channels we currently use.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New products that we develop or markets that we pursue may require increasingly sophisticated and more costly sales efforts and result in longer sales cycles. For example, in recent years, we have expanded efforts to increase the adoption of our products by enterprises.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focused on serving as a foundational infrastructure layer for the AI era. If our efforts to increase the adoption and usage of our products or sell additional products to existing customers are less effective or more expensive or time-consuming than we expect, including as a result of the rapidly evolving AI landscape, then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develop new products or product enhancements that achieve market acceptance, or adapt and respond effectively to rapidly changing technology, regulations, industry standards, or customer needs and preferences.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customers and increase revenue from existing customers depends in large part on our ability to enhance and improve our existing products and to introduce compelling new products and enhancements. Our platform and products must reflect and respond to dynamic markets, technology, industry standards, and customer needs and preferences. We allocate significant resources to product development without any guarantee that these investments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success of our products depends, in part, on our ability to integrate them with third-party products used by us or our customers and to ensure that they operate effectively with evolving platforms and technologies.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including AI model providers, and we need to continuously modify and enhance our products and platform to adapt to new integrations and changes and innovation in integrated technologies which may present significant complexity, obstacles or other adverse impacts on our products or our business. For example, in 2025 we launched a new channel using Rich Communication Services (“RCS”) and we are working on a channel for Apple Messages for Business. We are also focused on the interoperability of our products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and strategic changes to our business, then our business, results of operations and financial condition could be adversely affected.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current and prospective markets for our products are intensely competitive and rapidly evolving, and if we do not compete effectively or if these markets fail to grow as expected, our business, results of operations and financial condition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and prospective markets for our products are rapidly evolving, significantly fragmented and highly competitive, in some cases with relatively low barriers to entry, and may fail to grow as expected or decline over time.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as well as our customers’ perception of the value and necessity of our products and platform. Our competitors are primarily (i) CPaaS companies that offer communications products and applications, (ii) regional network service providers that offer limited developer functionality on top of their own physical infrastructure, (iii) customer relationship management and customer experience vendors, (iv) standalone customer data platform vendors and (v) other software companies that compete with portions of our product 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 In addition, customers may reduce or delay spending on our products or substitute alternative solutions in response to pricing pressures, budget constraints or changing business priorities.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With the introduction of new products and services and new market entrants, we expect competition to intensify in the future. Industry developments and evolving technology, such as AI, may also impact our competitive landscape and the factors required to compete effectively in current or prospective markets. Our ability to grow will depend in part on our success in expanding the scope of our products and entering new markets, and there can be no assurance that the markets will grow or that our products will achieve meaningful adoption within them.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results of operations and financial condition also depends,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financial performance in recent periods may not be indicative of future performance, and we may not be able to maintain profitability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achieved net income of $33.8 million in the year ended December 31, 2025. However, we incurred net losses in each preceding year since our inception. Our past performance for any quarterly or annual period should not be relied upon as an indication of our performance for any future period. If we are unable to generate and sustain increased revenue levels and manage our operating expenses, we may not achieve and sustain profitability and, even if we do, we may not be able to increase our level of profitability or achieve our stated profitability goals.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including computing costs associated with AI;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sustain profitability, or if we incur significant losses, the value of our business and common stock may significantly decrease.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interconnect with fixed and mobile network service providers around the world to deliver our products. Although we have, or are in the process of acquiring, authorization to provide voice and messaging services and for direct access to phone numbers in many countries, we expect to continue to rely to some extent on network service providers for these services. Reliance on network service providers subjects us to regulatory, competitive and other industry related changes over which we have little or no control. In addition, our reliance on network service providers subjects us to fees, penalties, administrative and technical requirements, each of which are subject to change. Similarly, in some cases, we utilize intermediaries for direct access to networks. Although we have, or are in the process of securing, direct connections with network service providers in many countries, we expect to continue to rely on intermediaries for these services to some extent. These intermediaries also charge us changing fees and at times have offerings that compete directly with our products. We also interconnect with internet service providers around the world to deliver our email products, and expect to continue to rely on such providers.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Reliance on these providers poses risks to the quality of our services, primarily by limiting our control, operating flexibility, and ability to timely identify and respond to necessary service changes, and by subjecting us to service interruptions or outages. Reliance on such providers in the past has caused, and may in the future cause, errors, service outages, security incidents, or poor-quality communications on our products, and we could encounter difficulty identifying the source of the problem. This has in the past, and may in the future, cause harm to our brand, result in lost revenue, and cause us to lose existing and prospective customers.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fees we pay to these providers also subject us to risks. We are exposed to significant fluctuations in applicable fees paid to network service providers, intermediaries, and internet service providers. These fees are outside of our control and we are not able to predict the magnitude or timing of changes to such fees. Additional or increased fees charged by such providers have resulted, and could in the future result, in increases to our costs and other impacts on our financial results. For example, recent increases to A2P messaging fees charged by major U.S. mobile carriers create a headwind on our margins, and such fees may increase further over time. In some markets, fees charged by our network service providers change daily or weekly. We may not be able to change our customer pricing as rapidly, and absorbing these costs could adversely affect our business and results of operations. Further, even when we do pass fee increases through to customers, it typically increases revenue and cost of revenue such that while gross profit dollars are not impacted, it has a negative impact on gross margins. While historically we have responded to many fee increases through negotiating efforts, absorbing increased costs or passing fees through to customers, we may be unable to respond in these ways in the future without a material negative impact to customer demand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results of operations and financial condition. Our ability to respond to fee increases may also be constrained by equivalent increases by other providers in a particular market, fees that are disproportionately large compared to underlying prices paid by our customers, or market or other conditions limiting our ability to increase the prices we charge for our products.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risks related to losing access to these services. Many of these providers do not have long-term committed contracts with us and may interrupt services or terminate their agreements with us without notice. We may not be able to replace these services on a cost-effective basis, or at all, and even if we can, replacing providers may be time-consuming, costly and result in delays.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Any of the foregoing consequences of our reliance on network service providers, intermediaries and internet service providers to deliver our products could adversely impact our business, results of operations and financial condition.</w:t>
      </w:r>
      <w:r>
        <w:rPr>
          <w:color w:val="000000"/>
        </w:rPr>
        <w:t xml:space="preserve">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Failure to set optimal prices for our products could adversely impact our business, results of operations and financial condition.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face risks associated with optimally pricing our products, particularly given the dynamic nature of our usage-based pricing. The fees that we pay to network service providers can vary, in some markets daily or weekly, differ across countries, and are affected by volume and other factors that may be outside of our control and which are difficult to predict. As a result, we may incur increased costs that we may be unable or unwilling to pass through to our customers. If we do pass increased fees through to our customers, it could adversely affect customer relationships and demand or cause customers to seek lower-cost alternatives.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periodically adjust the pricing for our products and expect to continue to. Many of our usage-based customers have contracts with negotiated pricing, and our subscription contracts also have negotiated pricing. New products or price reductions by competitors may prevent us from retaining or attracting customers based on our historical pricing, and we may otherwise be required or choose to reduce our pricing. Any such price reductions, lost customers, or other failure to optimize our pricing could adversely impact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and the years ended December 31, 2025 and 2024, we derived 36%, 36% and 35%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and different sources of global competition affecting 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comply with laws, regulations, customs and industry standards in countries and other regions in which we operate or do business, and the associated costs and management attention required to support such compliance, including with respect to data privacy, data protection, data localization, cybersecurity, intellectual property rights, environmental and sustainability matters, as well as export controls, sanctions, anti-bribery and anti-corruption matters;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international tax and trade policies, tariffs, and other non-tariff barriers;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the transfer of funds;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If we, or our international business partners, fail to manage any of these risks successfully, it could harm our international operations and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transactions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integrating the companies’ product,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incurring significant, nonrecurring costs to integrate our operations with those of acquired businesses, including the costs to maintain employee morale and retain key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effecting potential actions that may be required in connection with obtaining regulatory approvals.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also divest or stop investing in certain businesses or products.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Breaches of or other incidents impacting our networks or systems, or those of our service providers and broader supply chain,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vendors and other business partners. Moreover, our platform stores, transmits, and otherwise processes our, our customers’ and our partners’ proprietary, confidential, and sensitive data. We also rely on various third-party service providers – including network service providers, internet service providers, telecommunications carriers, and providers of cloud infrastructure and cloud communications – for business operations, to operate our platform and to deliver our products, as well as third-party technology and intellectual property.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targeted by threat actors seeking unauthorized access to our systems or data, or that of our customers or service providers, or to disrupt our operations or ability to provide our services. Our service providers and broader supply chain have also been targeted, and incidents involving such other parties can also result in unauthorized access or disruptions to our or our customers’ systems or data. Our platform and our underlying infrastructure, the information we store and process, and those of others in our supply chain, are subject to evolving threats and have in the past and may in the future be subject to breaches, compromises, disruptions, or other incidents, including as a result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fraud, social-engineering attacks (such as phishing) and other third-party attempts to induce our employees, customers or partners to disclose sensitive information to gain access to our customers’ data or systems, or our data or our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efforts by hackers or sophisticated groups, such as criminal organizations, state-sponsored organizations or nation-states, to launch coordinated cyberattacks on internally built infrastructure or on third-party cloud-computing platform providers, including malicious code, ransomware, destructive malware, supply chain attacks and distributed denial-of-service attacks;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attempts to abuse our marketing, advertising, messaging or products and functionalities to impersonate persons or organizations and disseminate information that is false, misleading or malicious;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attacks on, malfunctions or unavailability of, or other vulnerabilities in, the underlying networks and services that power the internet or that our products otherwise depend on, many of which are not under our control or the control of our customers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attacks facilitated or enhanced by AI, including agentic AI and deep fakes;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employee fraud, misconduct or error, including resulting from efforts to bribe, extort, infiltrate or otherwise compromise our or our service providers’ workforce.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Cyberattacks and other malicious activity continue to become more sophisticated, targeted and inexpensive to conduct, and to increase in frequency and magnitude, particularly through the use of AI. These include ransomware and cyber extortion attacks, which can lead to significant interruptions in our operations, loss of data and income, reputational harm, and diversion of funds. Extortion payments may reduce the negative impact of a ransomware attack, but we may be unwilling or unable to make such payments, such as due to applicable laws or regulations prohibiting such payments. Geopolitical tensions and events may further heighten risks we and our service providers face from breaches and other incidents.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make, and expect to continue to make, significant investments in processes and controls designed to mitigate risks associated with breaches and other incidents, including to evaluate and respond to known and potential risks. These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and could increasingly be, costly, and may not be effective or prevent a material incident. Our ability to effectively mitigate these risks may be impacted by, among other factors: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use of AI to rapidly discover and exploit vulnerabilities;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rapidly evolving nature of techniques to breach, compromise, or disrupt IT systems and infrastructure, including increasing use of AI technologies, such that we may not be able to recognize such techniques until launched against a target, or anticipate, prevent, or timely respond to them, increasing the likelihood and magnitude of damage of a breach or other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increasing complexity of our internal IT systems, including as we adopt new technologies, including AI solutions, and incorporate and secure IT environments from acquired companies;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reliance on third-party technology and service providers;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limited control over customers and third-party providers (including those authorized by customers to access their data) and the processing of data by third-party providers, which may prevent us from maintaining the integrity or security of such data.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experience, and have experienced, cyberattacks and other security incidents, which have in the past and may in the future cause harm to our business. For example, in 2022, one such incident resulted in threat actors obtaining employee credentials and accessing customer data, and required us to notify affected customers and regulators and take steps to remediate the incident. While to date the security events we have experienced have not had a material financial impact, we may experience significant and material future incidents. Any security incident can result in loss, corruption, unavailability, or other unauthorized processing of confidential information or sensitive personal information. Any such event, or the perception that it has occurred, may also result in damage to our reputation, erosion of customer trust, loss of customers, litigation, regulatory investigation, fines, penalties, and other consequences and liabilities that could adversely affect our business, results of operation and financial condition. Laws and regulations require us to maintain security measures, and we may have contractual or other legal obligations to notify customers, government agencies, impacted individuals or other relevant stakeholders of security breaches or other incidents, which disclosures are costly and may cause widespread negative publicity and resulting harm, among other adverse consequences. Further, the detection, prevention, and remediation of known and potential security incidents, including determining whether an incident is notifiable or reportable, may not be straightforward and result in additional direct or indirect costs to respond or alleviate the consequences of the actual or perceived incident, such as additional infrastructure capacity spending to mitigate system degradation or reallocation of resources from development activities. We maintain errors, omissions and cyber liability insurance policies covering certain security and privacy damages, but such insurance may not be sufficient to cover the potentially significant losses resulting from a security breach or other incident, may be denied with respect to a particular claim, or may not remain available in the future on acceptable terms or at all.</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increasing legal, regulatory, and contractual obligations relating to privacy, data protection and cybersecurity that affect how we process personal data in the jurisdictions where we and our customers operate. Our obligations change frequently due to new or modified laws and regulations, as well as court rulings interpreting or invalidating them. These evolving obligations involve significant compliance costs and operational challenges, and increasingly expose us to enforcement actions and other proceedings or actions, sanctions, and litigation, as well as regulatory and public scrutiny of our practices relating to personal information. We expect the increasing breadth and depth, and changing nature of, these obligations to continue to require significant resources, including to review our technology, systems and processes against changing requirements. They may also limit our ability to use personal data for new products, including those relying on AI-related technologies.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for example, the California Consumer Privacy Act (as amended by the California Privacy Rights Act of 2020, the “CCPA”) provides our customers, employees, and other individuals certain rights related to their personal information. The federal government has also proposed, and numerous other states are considering or have proposed and/or enacted, laws and regulations addressing privacy and cybersecurity. Internationally, the regulatory landscape is increasingly complex and fragmented and compliance increasingly financially burdensome. For example, in the European Union (“EU”), the General Data Protection Regulation (“GDPR”) imposes significant requirements regarding the processing of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including related to transparency, individuals’ privacy rights, compliance contracting, data minimization, data breach notification, data retention, security, and international data transfers. Other international privacy and data protection laws also impose strict requirements, such as related to marketing communications and deployment of cookies. Together, this patchwork of global requirements presents significant compliance challenges, and subjects us to possible fines, sanctions, litigation, and other adverse consequences. For example, under the GDPR, regulators may impose temporary or definitive bans on data transfers or other processing, require deletion, and impose significant fines, potentially ranging up to 4% of our worldwide revenue.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comply with increasing laws and regulations relating to data residency, data localization, and the transfer of data across territorial boundaries, arising from the fact that our primary data processing facilities are in the United States. For example, the GDPR restricts the transfer of personal data from the EU to the United States and other countries that are not deemed to have implemented adequate data protection measures, and other jurisdictions have proposed and enacted laws relating to cross-border data transfer or requiring personal information to be stored in the jurisdiction of origin. We use a variety of legal transfer mechanisms to transfer personal data across borders, including standard contractual clauses and the E.U.-U.S. Data Privacy Framework, whose use is subject to ongoing review and litigation, and we may not be able to continue to rely on these or other transfer mechanisms. As a result of this uncertainty, we have encountered hesitancy, reluctance or refusal by European and multinational customers to use our services. If we are unable to maintain valid mechanisms for cross-border data transfer, we and our customers may face increased exposure to regulatory actions, significant fines, or injunctions against processing or transferring personal information from Europe or elsewhere. Any inability to transfer personal information to the United States or other jurisdictions, or costly restrictions on such transfer, may also limit our ability to collaborate with partners and customers, require us to increase our data processing capabilities in Europe and/or other jurisdictions at significant expense, and/or otherwise negatively impact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as a provider of interconnected VoIP services, we must also comply with certain U.S. federal privacy laws and regulations, including Section 222 of the Communications Act of 1934, as amended, and the FCC’s customer proprietary network information rules. We are also subject to state rules and obligations that have been proposed or adopted, or may be in the future. We are also subject to other rapidly changing technology- and industry-specific laws, regulations and obligations. For example, we expect increased global regulation in the use of AI and ML such as the recent AI Act in Europe, which imposes onerous obligations related to the development, placement on the market and use of AI systems. Various countries and a growing number of U.S. states are also enacting legislation regulating aspects of AI or AI generally. We may need to change our business practices to comply with obligations under these or other new and evolving regimes, and face significant compliance challenges, liability, or other risks.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have contractual obligations relating to privacy, data protection and cybersecurity that are increasingly stringent due to related legal and regulatory changes and the expansion of our offerings. For example, certain laws and regulations, such as the GDPR and CCPA, require our customers to impose contractual restrictions on their service providers. In addition, we support customer workloads involving the processing of protected health information and are required to sign business associate agreements with customers that subject us to certain requirements under federal and state laws governing health information, such as the Health Insurance Portability and Accountability Act of 1996, as amended by the Health Information Technology for Economic and Clinical Health Act of 2009.</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Taken together, evolving legal, regulatory and contractual obligations pertaining to privacy, data protection, cybersecurity and AI may require us to expend resources to modify our practices and products, reduce demand for our platform, increase our costs, restrict our ability to store and process data, inhibit product functionality or the development of new products and features, or impact our ability to operate in certain locations, any of which could impair growth or otherwise harm our business. Further, any actual or perceived non-compliance with these laws, regulations, contractual commitments, or other actual or asserted obligations, including industry standards, pertaining to privacy, data protection, cybersecurity or AI could subject us to regulatory audits or inquiries, civil and criminal penalties, or significant fines, or lead to costly legal action, breach of contract claims, adverse publicity, significant liability, inability to process data, and decreased demand for our services,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and intellectual property licensed from third parties in certain of our products and our platform, and for business operations,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our business operations or the functionality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products and platform may be negatively impacted, our customers may experience outages or reduced service levels, and our business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platform incorporate open source software, and we expect to continue to incorporate open source software in our products and platform in the future. Open source software presents certain risks in addition to those of third-party technology and intellectual property generally.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deployed, and continue to develop and incorporate, AI solutions and features in our platform and our business, and these solutions and features may become more important to our operations, future growth or competitiveness over time. We expect to rely on AI solutions and features to help drive future growth and efficiency in our business, but there can be no assurance that we will realize the desired or anticipated benefits from AI in a timely or cost-effective manner. For example, we are focused on continued product innovations to combine our communications products with contextual data and AI. We are also building out new AI capabilities internally, including AI automation and agents in our self-service platform and in our internal operations.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deployment of agentic AI — systems that autonomously execute multi-step tasks — introduces risks that are distinct from those of traditional AI features resulting from unintended or unauthorized actions that disrupt our internal operations and service delivery or create unknown or unexpected compliance risks. These risks may be difficult to monitor or prevent given the autonomous nature of such systems.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our use of AI internally and in our offerings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harmful,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Our increasing use of AI internally in the development of our products may also subject us to intellectual property risks arising from limits and uncertainty regarding the protectability of certain outputs we create using generative AI tools. If we fail to obtain any required permissions to collect, use, or otherwise process data, including personal information, in relation to AI solutions or features, or if we jeopardize the privacy or security of such information, it could adversely affect our business, results of operations and financial condition. The legal, regulatory, and policy environments around AI are evolving rapidly, and we may become subject to new and evolving legal and other obligations. Our increasing use of AI internally, including in product development, may also present risks of technical errors, service disruptions or other issues related to flawed or inaccurate AI-generated outputs, as well as security vulnerabilities, which would negatively impact our reputation and our business. These and other developments may require us to make significant changes to our use of AI, including by limiting or restricting our use of AI, require us to make significant changes to our policies and practices, and necessitate expenditure of significant time, expense, and other resources. AI also presents emerging ethical issues, and if our use of AI becomes controversial, we may experience brand or reputational harm.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mitigate the risks associated with AI will depend on our effective maintenance, training, monitoring and enforcement of appropriate policies, procedures and controls governing the use of AI tools, the results of any such use by us and our partners, and compliance with such policies and procedures by our workforce. Any unauthorized use or misuse of AI by our employees undermines our ability to protect against the AI-related risks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provider of communications products and a licensed telecommunications provider, we are required to comply with many changing federal, state and international regulations, including relating to privacy, security, telecommunications, consumer protection, fraud and scam prevention, Know Your Customer, Know Your Upstream Provider, Know Your Traffic and other requirements and obligations, which often vary across the numerous jurisdictions in which we operate. Compliance with these requirements involves significant management attention and compliance costs, and can present operational challenges, onboarding delays and friction for our customers, require us to raise prices, restructure or discontinue our products, or limit our ability to expand into certain jurisdictions. If we do not comply with such requirements, we could face enforcement actions, significant fines, remedial directions to implement audits or new processes, loss of licenses, restrictions or prohibitions on our ability to operate or offer certain of our products, eroded customer trust, and damage to our brand and reputation, and other consequences. Any of the foregoing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United States, at the federal level, we and/or our customers are required to comply with laws and regulations limiting telemarketing and certain technologies that enable automatic calling and/or messaging and establishing quiet hours for solicitations, such as the Telephone Consumer Protection Act of 1991 (“TCPA”), laws requiring assistance to law enforcement in electronic surveillance, requirements to pay regulatory fees and contributions to various federally administered funds, requirements to safeguard the privacy of certain customer information, and requirements aimed at mitigating illegal robocalls and robotexts, such as the implementation of call authentication technologies, and other compliance requirements. At the state level, some states have adopted, proposed or may propose, regulations that may subject us to additional registration, reporting, resiliency and/or compliance obligations, including laws similar to the TCPA.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varying international licensing obligations and communications regulations, including related to reporting requirements, provision of emergency services and of information to support emergency services, number portability, combatting scam and fraud, payment into universal service funds, and licensing fees, among others. As we expand into new countries, our potential regulatory and licensing obligations, and related scrutiny, increase. The international landscape continues to evolve, and in many cases involves significant uncertainties related to how our business model fits into the communications regulatory framework. There is significant variation in requirements across international jurisdictions, including as to whether some or all of the services we offer are considered regulated telecommunications services. In addition, certain of our products may be used by customers located in countries where voice and other forms of Internet Protocol (“IP”) communications may be illegal or require special licensing or in countries on a U.S. embargo list, and users in such countries may continue to use our products in those countries notwithstanding the illegality or embargo, or a local partner that we use to provide services may not comply with applicable governmental regulations, subjecting us to potential penalties or governmental actions that may be costly, harm our business and damage our brand and reputation.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Both in the United States and internationally, these requirements continue to change rapidly, increase in volume and complexity and involve heightened risks of enforcement and liability. For example, new federal, state, or international requirements could impose more or different robocall or robotext mitigation measures, limit the customers we are able to serve, extend telecommunications regulations to our non-interconnected VoIP services or messaging or other products, subject us to additional registration, reporting or resiliency compliance obligations, or subject us to other fees, taxes or obligations. The volume and changing nature of these requirements increases the associated compliance costs, operational challenges, customer friction, possibility of enforcement actions and other associated risks, and new or changed requirements, or interpretations or judicial actions related to them, may also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 order to obtain allocations of, assign and retain Numbering Resources in many international jurisdictions, we are often required to be licensed by local telecommunications regulatory authorities.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acquire or retain Numbering Resources, our voice and messaging products may be less attractive to potential customers. Certain popular area code prefixes have limited availability, and restrictive rules generally prevent us from obtaining or assigning certain number types.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Federal Controlling the Assault of Non-Solicited Pornography and Marketing Act of 2003 (the “CAN-SPAM Act”) establishes certain requirements for commercial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customers’ and others’ violation of our policies or other misuse of our platform to transmit unwanted, offensive or illegal communications, spam, social engineering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or perceived improper sending of text messages, voice calls, or email may subject us to potential risks, including liabilities or claims relating to consumer protection laws and regulatory enforcement, including fines. For example, the TCPA restricts telemarketing and the use of text messages without prior express consent. TCPA violations can result in significant financial penalties, as businesses can incur civil or criminal penalties imposed by the FCC, FTC, state attorneys general or other state actors or through private litigation. Regulatory enforcement is often public, which would result in reputational harm.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voice calls, or email are continuously evolving and developing. If we do not comply with these laws or regulations or if we become liable under these laws or regulations due to the failure of our customers to comply with these laws, we could face direct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customers and others have in the past, and despite our prevention efforts, may in the future, use our platform to transmit unwanted, offensive or illegal communications, spam, social engineering scams, and website links to harmful applications, reproduce and distribute copyrighted material or the trademarks of others without permission, and report inaccurate or fraudulent data or information. These actions violate our policies. Our efforts to defeat spamming attacks, illegal robocalls and other fraudulent activity will not prevent all such activity. Such activity could damage our reputation and the effectiveness of our platform, and we could face claims for damages, regulatory enforcement, copyright or trademark infringement, defamation, negligence, or fraud. Furthermore, enacting more stringent controls on use of our platform to combat such activity could increase friction for our legitimate customers and decrease their use of our platform.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customers’ accounts through fraudulent means and use the accounts for fraudulent activity. Furthermore, spammers attempt to use our products to send targeted and untargeted spam communications. We cannot be certain that our efforts to defeat spamming attacks will be successful in eliminating all spam communications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the foregoing activities are increasingly being facilitated or enhanced by AI and other evolving technologies. AI agents operating through our platform have the potential to facilitate communications and fraudulent schemes with a scale, speed and sophistication that may evade existing fraud and compliance controls or evolve faster than controls can evolve to match, violate carrier policies, or breach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legislative and regulatory landscape regarding the regulation of the internet is subject to uncertainty. For example, in January 2025, the U.S. Court of Appeals for the Sixth Circuit struck down the FCC’s net neutrality rules, and the current federal regulatory environment makes the adoption of similar rules unlikely in the near term. Without federal net neutrality rules, we cannot predict whether internet access service providers may be able to limit our users’ ability to access our platform or make our platform a less attractive alternative to our competitors’ applications. Moreover, several states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by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cyberattacks, malicious software, and other security threats. If the use of the internet is reduced as a result of these or other issues, then demand for our products could decline,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Our global operations subject us to potential liability under export controls, economic sanctions, customs, anti-corruption, and other laws and regulations, and violating these laws could subject us to liability and impair our ability to compete in international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aspects of our business are subject to international trade laws, including U.S. export control laws and regulations, U.S. customs laws and regulations, and U.S. economic sanctions laws and regulations, as well as other similar laws and regulations in other countries in which we do business. Exports and imports of our products and the provision of our services must be made in compliance with these laws, which include varying prohibitions on the sale, export, or supply of our products and services to certain sanctioned countries, regions, governments, entities, or individuals. We take precautions to prevent our products from being imported or exported and our services from being provided in violation of these laws; however, we are aware of certain of our products and services being provided to, procured from, or that involve dealings with,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For example, in 2024 and 2025, Google, Yahoo and Microsoft began enforcing new email sender requirements aimed at sender authentication, including Domain-based Message Authentication, Reporting and Conformance (“DMARC”) record requirements, requiring us to devote time and resources toward compliance efforts.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 our ability to obtain additional financing to fund future working capital, capital expenditures, business opportunities,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expose us to the risk of increased interest rates as certain of our borrowings, including borrowings under a future revolving credit facility, may be at variable rates of interest;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business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assumptions and estimates to calculate certain of our business metrics that we disclose in SEC filings, press releases and other materials, including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For example, beginning in the first quarter of 2026, we discontinued disclosure of Active Customer Accounts as a key metric. If investors or analysts do not perceive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metrics to be accurate representations of our business, or if they disagree with our methodologies, or if we discover material inaccuracies in our metrics, our reputation, business, results of operations, and financial condition would be harmed.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Adoption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Events or changes in circumstances may require us to record impairment charges related to our intangible assets, goodwill or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our intangible assets, goodwill and equity method investment for impairment in accordance with applicable accounting requirements. As of June 30, 2026, we carried a net $5.4 billion of goodwill and intangible assets and $250.5 million related to our equity method investment. An adverse change in market conditions or significant changes in accounting conclusions, particularly if such changes have the effect of changing one of our critical assumptions or estimates, have in the past resulted, and could in the future result, in a change to the estimation of fair value resulting in an impairment charge to the underlying asset. Our results of operations may be adversely affected as a result of any such charges. For example, during the year ended December 31, 2025, we recorded an impairment of our equity method investment totaling approximately $80.6 million, as described in additional detail in Note 12 to our consolidated financial statements included in our Annual Report on Form 10-K for the year ended December 31, 2025.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Tax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U.S. federal, state and foreign net operating loss carryforwards (“NOLs”), of $2.9 billion, $2.4 billion and $1.0 billion, respectively. Utilization of these NOLs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NOLs is suspended or otherwise limited, which could accelerate or permanently increase state taxes owed. For example, California legislation limits the use of state NOLs for taxable years beginning on or after January 1, 2024 and before January 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many of the jurisdictions in which we operate, non-income-based taxes, such as sales tax, value-added tax, goods and services tax, and telecommunications taxes, are assessed on our operations or our sales to customers. Such tax laws and rates vary by jurisdiction. One or more states or countries may seek to impose incremental or new indirect tax collection obligations on us.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not billed or collected indirect taxes in certain jurisdictions and, in accordance with GAAP, we have recorded a provision for our tax exposure in these jurisdictions when it is both probable that a liability has been incurred and the amount of the exposure can be reasonably estimated. We reserved $45.2 million on our June 30, 2026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or interpretations of, tax rules and regulations or our tax positions may materially and adversely affect our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taxes in both the United States and numerous international jurisdictions. Significant judgment is required in determining our worldwide provision for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or the expiration of or disputes about certain tax agreements in a particular country. We are subject to audit by various tax authorities. For example, the Internal Revenue Service is conducting an examination of our U.S. federal income tax return for the year ending December 31, 2023. The outcome of this examination, which is still in its preliminary stages, is uncertain. In accordance with GAAP, we recognize income tax benefits, net of required valuation allowances and accrual for uncertain tax positions. Although we believe our tax estimates are reasonable, the final determination of this examination, other tax audits and any related litigation could be materially different than that which is reflected in our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tax laws, including 2025 U.S. federal tax legislation commonly referred to as the One Big Beautiful Bill Act (the “OBBB Act”), or tax rulings, or changes in interpretations of existing laws, could cause us to be subject to additional taxes, which in turn could materially affect our financial position and results of operations. The OBBB Act could potentially increase our effective tax rate as we continue to expand our international operations in the coming years. Additionally, new, changed, modified, or newly interpreted or applied tax laws could increase our customers’ and our compliance, operating and other costs, as well as the costs of our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another example, the Organization for Economic Co-operation and Development (the “OECD”) has proposed a global minimum tax (“Pillar Two”), contemplating a minimum tax rate of 15% for large multinational companies, and various countries have proposed or enacted implementing legislation. Notwithstanding the OECD’s side-by-side elective safe harbor announced in January 2026 for U.S. parented groups, we may still face increased tax rates, compliance complexity and tax provision volatility as a result of Pillar Two.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financial estimates or the publication of reports or statements by securities analysts or investors who follow our company, or our failure to meet these estimates or the expectations of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or targets we may provide to the public, any changes in those projections or targets, or our failure to meet those projections or targets;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related to acquisitions of businesses,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 or actual or anticipated changes in our strategy or the organization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political, social, economic and market conditions, in both domestic and foreign markets, and slow or negative growth of our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the repurchase of up to $2.0 billion of our common stock from time to time through a share repurchase program. As of June 30, 2026, we had repurchased $1.2 billion of outstanding shares of our common stock under this program, such that approximately $826.0 million remained available for purchase as of such date. Under our share repurchase program, we may make repurchases of stock through a variety of methods, including open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ability of our stockholders to call and bring business before special meetings;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is subject to the risks of pandemics, earthquakes, fire, floods and other natural catastrophic events, and to interruption by man-made problems such as power disruptions, computer viruses, security breaches and incidents, terrorism or war.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a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issued 22,102 shares of our Class A common stock to an independent donor advised fund to further our Twilio.org philanthropic goals. The shares were “restricted securities” for purposes of Rule 144 under the Securities Act, and had an aggregate fair market value on the date of donation of $4.4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share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262"/>
        <w:gridCol w:w="231"/>
        <w:gridCol w:w="233"/>
        <w:gridCol w:w="109"/>
        <w:gridCol w:w="109"/>
        <w:gridCol w:w="109"/>
        <w:gridCol w:w="452"/>
        <w:gridCol w:w="452"/>
        <w:gridCol w:w="454"/>
        <w:gridCol w:w="109"/>
        <w:gridCol w:w="109"/>
        <w:gridCol w:w="109"/>
        <w:gridCol w:w="271"/>
        <w:gridCol w:w="895"/>
        <w:gridCol w:w="151"/>
        <w:gridCol w:w="109"/>
        <w:gridCol w:w="109"/>
        <w:gridCol w:w="109"/>
        <w:gridCol w:w="109"/>
        <w:gridCol w:w="109"/>
        <w:gridCol w:w="768"/>
        <w:gridCol w:w="768"/>
        <w:gridCol w:w="771"/>
        <w:gridCol w:w="109"/>
        <w:gridCol w:w="109"/>
        <w:gridCol w:w="109"/>
        <w:gridCol w:w="697"/>
        <w:gridCol w:w="1502"/>
        <w:gridCol w:w="391"/>
        <w:gridCol w:w="109"/>
        <w:gridCol w:w="109"/>
        <w:gridCol w:w="163"/>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11 — Stockholders' Equity in Part I, Item 1, of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a3b731bae0e4bdfb06f99b2e790504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834"/>
        <w:gridCol w:w="1658"/>
        <w:gridCol w:w="1663"/>
        <w:gridCol w:w="109"/>
        <w:gridCol w:w="109"/>
        <w:gridCol w:w="109"/>
        <w:gridCol w:w="170"/>
        <w:gridCol w:w="170"/>
        <w:gridCol w:w="171"/>
        <w:gridCol w:w="109"/>
        <w:gridCol w:w="109"/>
        <w:gridCol w:w="109"/>
        <w:gridCol w:w="159"/>
        <w:gridCol w:w="159"/>
        <w:gridCol w:w="160"/>
        <w:gridCol w:w="109"/>
        <w:gridCol w:w="109"/>
        <w:gridCol w:w="109"/>
        <w:gridCol w:w="210"/>
        <w:gridCol w:w="210"/>
        <w:gridCol w:w="211"/>
        <w:gridCol w:w="109"/>
        <w:gridCol w:w="109"/>
        <w:gridCol w:w="109"/>
        <w:gridCol w:w="368"/>
        <w:gridCol w:w="327"/>
        <w:gridCol w:w="375"/>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INDEX</w:t>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Twilio Inc. Amended and Restated 2016 Stock Option and Incentive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17, 2026</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Twilio Inc. Amended and Restated 2016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June 17, 2026</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directordeferre.htm">
              <w:r>
                <w:rPr>
                  <w:rStyle w:val="InternetLink"/>
                  <w:rFonts w:ascii="Times New Roman;serif" w:hAnsi="Times New Roman;serif"/>
                  <w:b w:val="false"/>
                  <w:color w:val="0000FF"/>
                  <w:sz w:val="16"/>
                  <w:u w:val="single"/>
                </w:rPr>
                <w:t>Twilio Inc. Amended and Restated Non-Employee Directors’ Deferred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60630xex311.htm">
              <w:r>
                <w:rPr>
                  <w:rStyle w:val="InternetLink"/>
                  <w:rFonts w:ascii="Times New Roman;serif" w:hAnsi="Times New Roman;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60630xex312.htm">
              <w:r>
                <w:rPr>
                  <w:rStyle w:val="InternetLink"/>
                  <w:rFonts w:ascii="Times New Roman;serif" w:hAnsi="Times New Roman;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60630xex321.htm">
              <w:r>
                <w:rPr>
                  <w:rStyle w:val="InternetLink"/>
                  <w:rFonts w:ascii="Times New Roman;serif" w:hAnsi="Times New Roman;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Indicates a management contract or compensatory plan or arrangement.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580" w:type="dxa"/>
        <w:jc w:val="center"/>
        <w:tblInd w:w="0" w:type="dxa"/>
        <w:tblLayout w:type="fixed"/>
        <w:tblCellMar>
          <w:top w:w="28" w:type="dxa"/>
          <w:left w:w="28" w:type="dxa"/>
          <w:bottom w:w="28" w:type="dxa"/>
          <w:right w:w="28" w:type="dxa"/>
        </w:tblCellMar>
      </w:tblPr>
      <w:tblGrid>
        <w:gridCol w:w="445"/>
        <w:gridCol w:w="390"/>
        <w:gridCol w:w="394"/>
        <w:gridCol w:w="109"/>
        <w:gridCol w:w="109"/>
        <w:gridCol w:w="109"/>
        <w:gridCol w:w="1469"/>
        <w:gridCol w:w="1469"/>
        <w:gridCol w:w="208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TWILIO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KHOZEMA Z. SHIPCHANDLER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Khozema Z. Shipchandler</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Director and Chief Executive Officer (Principal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AIDAN VIGGIANO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Aidan Viggiano</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RULES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TWILIO INC.</w:t>
      </w:r>
    </w:p>
    <w:p>
      <w:pPr>
        <w:pStyle w:val="TextBody"/>
        <w:bidi w:val="0"/>
        <w:spacing w:lineRule="auto" w:line="288" w:before="0" w:after="0"/>
        <w:ind w:left="0" w:right="0" w:firstLine="591"/>
        <w:jc w:val="center"/>
        <w:rPr>
          <w:rFonts w:ascii="Times New Roman;serif" w:hAnsi="Times New Roman;serif"/>
          <w:b/>
          <w:color w:val="000000"/>
          <w:sz w:val="24"/>
        </w:rPr>
      </w:pPr>
      <w:r>
        <w:rPr>
          <w:rFonts w:ascii="Times New Roman;serif" w:hAnsi="Times New Roman;serif"/>
          <w:b/>
          <w:color w:val="000000"/>
          <w:sz w:val="24"/>
        </w:rPr>
        <w:t>NON-EMPLOYEE DIRECTORS’ DEFERRED COMPENSATION PROGRAM (THE “PROGRAM”)</w:t>
      </w:r>
    </w:p>
    <w:p>
      <w:pPr>
        <w:pStyle w:val="TextBody"/>
        <w:bidi w:val="0"/>
        <w:spacing w:before="0" w:after="0"/>
        <w:jc w:val="left"/>
        <w:rPr/>
      </w:pPr>
      <w:r>
        <w:rPr/>
      </w:r>
    </w:p>
    <w:p>
      <w:pPr>
        <w:pStyle w:val="TextBody"/>
        <w:bidi w:val="0"/>
        <w:spacing w:lineRule="auto" w:line="288" w:before="0" w:after="0"/>
        <w:ind w:left="0" w:right="0" w:firstLine="830"/>
        <w:jc w:val="both"/>
        <w:rPr>
          <w:rFonts w:ascii="Times New Roman;serif" w:hAnsi="Times New Roman;serif"/>
          <w:b w:val="false"/>
          <w:color w:val="000000"/>
          <w:sz w:val="24"/>
        </w:rPr>
      </w:pPr>
      <w:r>
        <w:rPr>
          <w:rFonts w:ascii="Times New Roman;serif" w:hAnsi="Times New Roman;serif"/>
          <w:b w:val="false"/>
          <w:color w:val="000000"/>
          <w:sz w:val="24"/>
        </w:rPr>
        <w:t>The following rules and conditions have been adopted by the Board of Directors of Twilio Inc. (the “Company”) to govern the deferral of Restricted Stock Units by Non-Employee Directors pursuant to the Twilio Inc. Amended and Restated 2016 Stock Option and Incentive Plan (as amended, or as amended and restated, from time to time, the “Stock Plan”) and the Twilio Inc. Amended and Restated Non-Employee Director Compensation Policy (the “Policy”). Capitalized terms used but not defined herein shall have the meaning given such terms in the Stock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4"/>
          <w:u w:val="single"/>
        </w:rPr>
        <w:t>Election to Defer the Equity Retainer</w:t>
      </w:r>
      <w:r>
        <w:rPr>
          <w:rFonts w:ascii="Times New Roman;serif" w:hAnsi="Times New Roman;serif"/>
          <w:b w:val="false"/>
          <w:color w:val="000000"/>
          <w:sz w:val="24"/>
        </w:rPr>
        <w:t>. A Non-Employee Director may elect in advance to defer the receipt of the initial and/or annual Restricted Stock Unit Grant made to such Non-Employee Director pursuant to the Policy under the Stock Plan (such grant, the “Equity Retainer”). To make such an election, except with respect to a newly elected or appointed Non-Employee Director, the Non-Employee Director must execute and deliver to the Company a deferral election form before the end of the calendar year preceding the calendar year in which the applicable Equity Retainer is scheduled to be granted. A prospective, newly elected or appointed Non-Employee Director, may, in connection with (but no later than 30 days after) becoming a Non-Employee Director, file a deferral election with respect to the initial Equity Retainer and/or to Equity Retainers that are awarded subsequent to the election. An election shall remain in effect from year to year until revoked in writing by the Non-Employee Director, but any revocation shall become effective only with respect to Equity Retainers that are granted in calendar years beginning after receipt and acceptance by the Company of a written revocation</w:t>
      </w:r>
      <w:r>
        <w:rPr>
          <w:rFonts w:ascii="Times New Roman;serif" w:hAnsi="Times New Roman;serif"/>
          <w:b w:val="false"/>
          <w:i/>
          <w:color w:val="000000"/>
          <w:sz w:val="24"/>
        </w:rPr>
        <w:t xml:space="preserve">. </w:t>
      </w:r>
      <w:r>
        <w:rPr>
          <w:rFonts w:ascii="Times New Roman;serif" w:hAnsi="Times New Roman;serif"/>
          <w:b w:val="false"/>
          <w:color w:val="000000"/>
          <w:sz w:val="24"/>
        </w:rPr>
        <w:t>All elections (including revocation thereof) must be made while the Non-Employee Director is not in possession of any material non-public information relating to the Company and, other than in the case of a prospective Non-Employee Director making an election (or revocation) prior to becoming subject to the Company’s insider trading policy, during an open trading window.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val="false"/>
          <w:color w:val="000000"/>
          <w:sz w:val="24"/>
          <w:u w:val="single"/>
        </w:rPr>
        <w:t>Deferred Account</w:t>
      </w:r>
      <w:r>
        <w:rPr>
          <w:rFonts w:ascii="Times New Roman;serif" w:hAnsi="Times New Roman;serif"/>
          <w:b w:val="false"/>
          <w:color w:val="000000"/>
          <w:sz w:val="24"/>
        </w:rPr>
        <w:t>. Upon the vesting of any Equity Retainer awarded to any Non-Employee Director who has elected to defer their Equity Retainer(s) pursuant to this Program, any shares of Stock that would otherwise have been issued to the Non-Employee Director upon such vesting shall be converted to deferred stock units on a one-to-one basis and credited to the Non-Employee Director’s deferred account (“Account”).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3.    </w:t>
      </w:r>
      <w:r>
        <w:rPr>
          <w:rFonts w:ascii="Times New Roman;serif" w:hAnsi="Times New Roman;serif"/>
          <w:b w:val="false"/>
          <w:color w:val="000000"/>
          <w:sz w:val="24"/>
          <w:u w:val="single"/>
        </w:rPr>
        <w:t>Dividend Equivalent Amounts</w:t>
      </w:r>
      <w:r>
        <w:rPr>
          <w:rFonts w:ascii="Times New Roman;serif" w:hAnsi="Times New Roman;serif"/>
          <w:b w:val="false"/>
          <w:color w:val="000000"/>
          <w:sz w:val="24"/>
        </w:rPr>
        <w:t>. If dividends (other than dividends payable only in shares of Stock) are paid with respect to Stock, each Account shall be credited with a number of whole and fractional stock units determined by multiplying the dividend value per share by the stock unit balance of the Account on the record date and dividing the result by the Fair Market Value of a share of Stock on the dividend payment date.</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2"/>
        </w:rPr>
        <w:t>4.    </w:t>
      </w:r>
      <w:r>
        <w:rPr>
          <w:rFonts w:ascii="Times New Roman;serif" w:hAnsi="Times New Roman;serif"/>
          <w:b w:val="false"/>
          <w:color w:val="000000"/>
          <w:sz w:val="24"/>
          <w:u w:val="single"/>
        </w:rPr>
        <w:t>Period of Deferral</w:t>
      </w:r>
      <w:r>
        <w:rPr>
          <w:rFonts w:ascii="Times New Roman;serif" w:hAnsi="Times New Roman;serif"/>
          <w:b w:val="false"/>
          <w:color w:val="000000"/>
          <w:sz w:val="24"/>
        </w:rPr>
        <w:t xml:space="preserve">. The deferred stock units in each Account shall be deferred until, and the period of deferral shall cease upon, the earliest of (a) 90 days after a Non-Employee Director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ceases to serve as a member of the Board of Directors of the Company and incurs a “separation from service” within the meaning of Section 409A of the Internal Revenue Code of 1986, as amended, and the regulations promulgated thereunder (“Section 409A”), (b) the consummation of a Sale Event (as defined in the Stock Plan) so long as such Sale Event constitutes a “change in the ownership or effective control of the Company, or in the ownership of a substantial portion of the assets of the Company” within the meaning of Section 409A (a “Change in Control”) or (c) 90 days after the date of a Non-Employee Director’s death.</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 A Non-Employee Director may designate one or more beneficiaries to receive payments from their Account in the event of their death. A designation of beneficiary may apply to a specified percentage of a Non-Employee Director’s entire interest in their Account. Such designation, or any change therein, must be in writing and shall be effective upon receipt by the Company. If there is no effective designation of beneficiary, or if no beneficiary survives the Non-Employee Director, the estate of the Non-Employee Director shall be deemed to be the beneficiary. All payments to a beneficiary or estate shall be made in a lump sum in shares of Stock, with any fractional share paid in cash.</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4"/>
          <w:u w:val="single"/>
        </w:rPr>
        <w:t>Payment</w:t>
      </w:r>
      <w:r>
        <w:rPr>
          <w:rFonts w:ascii="Times New Roman;serif" w:hAnsi="Times New Roman;serif"/>
          <w:b w:val="false"/>
          <w:color w:val="000000"/>
          <w:sz w:val="24"/>
        </w:rPr>
        <w:t>. All amounts credited to a Non-Employee Director’s Account shall be paid in shares of Stock to the Non-Employee Director, or their designated beneficiary (or beneficiaries) or estate, in a single lump sum as soon as practicable (but in no event later than 30 days) after the end of the first applicable period of deferral specified in Section 4 (above) occurs; provided, however, that fractional shares shall be paid in cash.</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val="false"/>
          <w:color w:val="000000"/>
          <w:sz w:val="24"/>
          <w:u w:val="single"/>
        </w:rPr>
        <w:t>Adjustments</w:t>
      </w:r>
      <w:r>
        <w:rPr>
          <w:rFonts w:ascii="Times New Roman;serif" w:hAnsi="Times New Roman;serif"/>
          <w:b w:val="false"/>
          <w:color w:val="000000"/>
          <w:sz w:val="24"/>
        </w:rPr>
        <w:t>. In the event of a stock dividend, stock split or similar change in capitalization affecting the Stock, the Company shall make appropriate adjustments in the number of stock units credited to the Non-Employee Directors’ Accounts.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val="false"/>
          <w:color w:val="000000"/>
          <w:sz w:val="24"/>
          <w:u w:val="single"/>
        </w:rPr>
        <w:t>Non-transferability of Rights</w:t>
      </w:r>
      <w:r>
        <w:rPr>
          <w:rFonts w:ascii="Times New Roman;serif" w:hAnsi="Times New Roman;serif"/>
          <w:b w:val="false"/>
          <w:color w:val="000000"/>
          <w:sz w:val="24"/>
        </w:rPr>
        <w:t>. During a Non-Employee Director’s lifetime, any payment under this Program shall be made only to the Non-Employee Director. No sum or other interest under this deferred compensation arrangement shall be subject in any manner to anticipation, alienation, sale, transfer, assignment, pledge, encumbrance or charge, and any attempt by a Non-Employee Director or any beneficiary under this Program to do so shall be void. No interest under this deferred compensation arrangement shall in any manner be liable for or subject to the debts, contracts, liabilities, engagements or torts of a Non-Employee Director or beneficiary entitled thereto. Notwithstanding the foregoing, the Company may make payments to an individual other than a Non-Employee Director to the extent required by a domestic relations order.</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2"/>
        </w:rPr>
        <w:t>9.    </w:t>
      </w:r>
      <w:r>
        <w:rPr>
          <w:rFonts w:ascii="Times New Roman;serif" w:hAnsi="Times New Roman;serif"/>
          <w:b w:val="false"/>
          <w:color w:val="000000"/>
          <w:sz w:val="24"/>
          <w:u w:val="single"/>
        </w:rPr>
        <w:t>Company’s Obligations to Be Unfunded and Unsecured</w:t>
      </w:r>
      <w:r>
        <w:rPr>
          <w:rFonts w:ascii="Times New Roman;serif" w:hAnsi="Times New Roman;serif"/>
          <w:b w:val="false"/>
          <w:color w:val="000000"/>
          <w:sz w:val="24"/>
        </w:rPr>
        <w:t>. The Accounts maintained under this Program shall at all times be entirely unfunded, and no provision shall at any time be made with respect to segregating assets of the Company (including Stock) for payment of any amounts hereunder. No Non-Employee Director or other person shall have any interest in any particular assets of the Company (including Stock) by reason of the right to receive payment under this Program, and any Non-Employee Director or other person shall have only the rights of a general unsecured creditor of the Company with respect to any rights under this Program.</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10.    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Program is intended to be a compliant deferred compensation plan under Section 409A and shall be administered in accordance with the requirements of Section 409A.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11.    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This Program shall be subject to the terms and conditions of the Stock Plan and the Policy. Capitalized terms in this document shall have the meaning specified in the Stock Plan, unless a different meaning is specified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10"/>
        <w:jc w:val="left"/>
        <w:rPr>
          <w:rFonts w:ascii="Times New Roman;serif" w:hAnsi="Times New Roman;serif"/>
          <w:b w:val="false"/>
          <w:color w:val="000000"/>
          <w:sz w:val="24"/>
        </w:rPr>
      </w:pPr>
      <w:r>
        <w:rPr>
          <w:rFonts w:ascii="Times New Roman;serif" w:hAnsi="Times New Roman;serif"/>
          <w:b w:val="false"/>
          <w:color w:val="000000"/>
          <w:sz w:val="24"/>
        </w:rPr>
        <w:t xml:space="preserve">Adopted as of July 13, 2017, amended as of April 15, 2026 </w:t>
      </w:r>
    </w:p>
    <w:p>
      <w:pPr>
        <w:pStyle w:val="TextBody"/>
        <w:bidi w:val="0"/>
        <w:spacing w:before="0" w:after="0"/>
        <w:jc w:val="left"/>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spacing w:before="0" w:after="0"/>
        <w:ind w:left="0" w:right="0" w:firstLine="3295"/>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The Company’s Quarterly Report on Form 10-Q for the quarter ended June 30, 2026,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7, 2026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669/000144766926000055/exhibit101-amendedrestated.htm" TargetMode="External"/><Relationship Id="rId4" Type="http://schemas.openxmlformats.org/officeDocument/2006/relationships/hyperlink" Target="https://www.sec.gov/Archives/edgar/data/1447669/000144766926000055/exhibit102-amendedrestated.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44934</Words>
  <Characters>254514</Characters>
  <CharactersWithSpaces>297507</CharactersWithSpaces>
  <Paragraphs>3439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