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3"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10-Q</w:t>
      </w:r>
    </w:p>
    <w:p>
      <w:pPr>
        <w:spacing w:after="0" w:line="69"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320"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248" w:lineRule="exact"/>
        <w:rPr>
          <w:sz w:val="24"/>
          <w:szCs w:val="24"/>
          <w:color w:val="auto"/>
        </w:rPr>
      </w:pPr>
    </w:p>
    <w:p>
      <w:pPr>
        <w:ind w:left="700" w:hanging="640"/>
        <w:spacing w:after="0"/>
        <w:tabs>
          <w:tab w:leader="none" w:pos="7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transition period from to</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001-37806</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3236595</wp:posOffset>
            </wp:positionH>
            <wp:positionV relativeFrom="paragraph">
              <wp:posOffset>47625</wp:posOffset>
            </wp:positionV>
            <wp:extent cx="66865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655" cy="29146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TWILIO INC.</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1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_____________________________________________</w:t>
      </w:r>
    </w:p>
    <w:p>
      <w:pPr>
        <w:spacing w:after="0" w:line="169" w:lineRule="exact"/>
        <w:rPr>
          <w:sz w:val="24"/>
          <w:szCs w:val="24"/>
          <w:color w:val="auto"/>
        </w:rPr>
      </w:pPr>
    </w:p>
    <w:p>
      <w:pPr>
        <w:ind w:left="2360"/>
        <w:spacing w:after="0"/>
        <w:tabs>
          <w:tab w:leader="none" w:pos="808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26-2574840</w:t>
      </w:r>
    </w:p>
    <w:p>
      <w:pPr>
        <w:spacing w:after="0" w:line="27" w:lineRule="exact"/>
        <w:rPr>
          <w:sz w:val="24"/>
          <w:szCs w:val="24"/>
          <w:color w:val="auto"/>
        </w:rPr>
      </w:pPr>
    </w:p>
    <w:p>
      <w:pPr>
        <w:ind w:left="980"/>
        <w:spacing w:after="0"/>
        <w:tabs>
          <w:tab w:leader="none" w:pos="744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3"/>
          <w:szCs w:val="13"/>
          <w:color w:val="auto"/>
        </w:rPr>
        <w:t>(I.R.S. Employer Identification No.)</w:t>
      </w:r>
    </w:p>
    <w:p>
      <w:pPr>
        <w:spacing w:after="0" w:line="30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101 Spear Street, Fifth Floor</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San Francisco, California 94105</w:t>
      </w:r>
    </w:p>
    <w:p>
      <w:pPr>
        <w:jc w:val="center"/>
        <w:ind w:right="-39"/>
        <w:spacing w:after="0"/>
        <w:rPr>
          <w:sz w:val="20"/>
          <w:szCs w:val="20"/>
          <w:color w:val="auto"/>
        </w:rPr>
      </w:pPr>
      <w:r>
        <w:rPr>
          <w:rFonts w:ascii="Arial" w:cs="Arial" w:eastAsia="Arial" w:hAnsi="Arial"/>
          <w:sz w:val="14"/>
          <w:szCs w:val="14"/>
          <w:color w:val="auto"/>
        </w:rPr>
        <w:t>(Address of principal executive offices) (Zip Code)</w:t>
      </w:r>
    </w:p>
    <w:p>
      <w:pPr>
        <w:spacing w:after="0" w:line="11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(415) 390-2337</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spacing w:after="0" w:line="9"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____________________________________________</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7" w:lineRule="exact"/>
        <w:rPr>
          <w:sz w:val="24"/>
          <w:szCs w:val="24"/>
          <w:color w:val="auto"/>
        </w:rPr>
      </w:pPr>
    </w:p>
    <w:tbl>
      <w:tblPr>
        <w:tblLayout w:type="fixed"/>
        <w:tblInd w:w="100" w:type="dxa"/>
        <w:tblCellMar>
          <w:top w:w="0" w:type="dxa"/>
          <w:left w:w="0" w:type="dxa"/>
          <w:bottom w:w="0" w:type="dxa"/>
          <w:right w:w="0" w:type="dxa"/>
        </w:tblCellMar>
      </w:tblPr>
      <w:tr>
        <w:trPr>
          <w:trHeight w:val="213"/>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4520" w:type="dxa"/>
            <w:vAlign w:val="bottom"/>
          </w:tcPr>
          <w:p>
            <w:pPr>
              <w:jc w:val="center"/>
              <w:spacing w:after="0"/>
              <w:rPr>
                <w:sz w:val="20"/>
                <w:szCs w:val="20"/>
                <w:color w:val="auto"/>
              </w:rPr>
            </w:pPr>
            <w:r>
              <w:rPr>
                <w:rFonts w:ascii="Arial" w:cs="Arial" w:eastAsia="Arial" w:hAnsi="Arial"/>
                <w:sz w:val="16"/>
                <w:szCs w:val="16"/>
                <w:color w:val="auto"/>
                <w:w w:val="90"/>
              </w:rPr>
              <w:t>Class A Common Stock, par value $0.001 per share</w:t>
            </w:r>
          </w:p>
        </w:tc>
        <w:tc>
          <w:tcPr>
            <w:tcW w:w="2380" w:type="dxa"/>
            <w:vAlign w:val="bottom"/>
          </w:tcPr>
          <w:p>
            <w:pPr>
              <w:jc w:val="center"/>
              <w:spacing w:after="0"/>
              <w:rPr>
                <w:sz w:val="20"/>
                <w:szCs w:val="20"/>
                <w:color w:val="auto"/>
              </w:rPr>
            </w:pPr>
            <w:r>
              <w:rPr>
                <w:rFonts w:ascii="Arial" w:cs="Arial" w:eastAsia="Arial" w:hAnsi="Arial"/>
                <w:sz w:val="16"/>
                <w:szCs w:val="16"/>
                <w:color w:val="auto"/>
                <w:w w:val="99"/>
              </w:rPr>
              <w:t>TWLO</w:t>
            </w:r>
          </w:p>
        </w:tc>
        <w:tc>
          <w:tcPr>
            <w:tcW w:w="416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200" w:lineRule="exact"/>
        <w:rPr>
          <w:sz w:val="24"/>
          <w:szCs w:val="24"/>
          <w:color w:val="auto"/>
        </w:rPr>
      </w:pPr>
    </w:p>
    <w:p>
      <w:pPr>
        <w:spacing w:after="0" w:line="233"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As of November 1, 2023, 181,042,862 shares of the registrant’s Class A common stock were outstanding.</w:t>
      </w:r>
    </w:p>
    <w:p>
      <w:pPr>
        <w:spacing w:after="0" w:line="123" w:lineRule="exact"/>
        <w:rPr>
          <w:sz w:val="24"/>
          <w:szCs w:val="24"/>
          <w:color w:val="auto"/>
        </w:rPr>
      </w:pPr>
    </w:p>
    <w:p>
      <w:pPr>
        <w:ind w:right="420" w:firstLine="648"/>
        <w:spacing w:after="0" w:line="33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43" w:lineRule="exact"/>
        <w:rPr>
          <w:sz w:val="24"/>
          <w:szCs w:val="24"/>
          <w:color w:val="auto"/>
        </w:rPr>
      </w:pPr>
    </w:p>
    <w:p>
      <w:pPr>
        <w:ind w:right="180" w:firstLine="648"/>
        <w:spacing w:after="0" w:line="31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3" w:lineRule="exact"/>
        <w:rPr>
          <w:sz w:val="24"/>
          <w:szCs w:val="24"/>
          <w:color w:val="auto"/>
        </w:rPr>
      </w:pPr>
    </w:p>
    <w:p>
      <w:pPr>
        <w:ind w:firstLine="648"/>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1880" w:type="dxa"/>
        <w:tblCellMar>
          <w:top w:w="0" w:type="dxa"/>
          <w:left w:w="0" w:type="dxa"/>
          <w:bottom w:w="0" w:type="dxa"/>
          <w:right w:w="0" w:type="dxa"/>
        </w:tblCellMar>
      </w:tblPr>
      <w:tr>
        <w:trPr>
          <w:trHeight w:val="203"/>
        </w:trPr>
        <w:tc>
          <w:tcPr>
            <w:tcW w:w="2220" w:type="dxa"/>
            <w:vAlign w:val="bottom"/>
          </w:tcPr>
          <w:p>
            <w:pPr>
              <w:jc w:val="center"/>
              <w:ind w:right="868"/>
              <w:spacing w:after="0"/>
              <w:rPr>
                <w:sz w:val="20"/>
                <w:szCs w:val="20"/>
                <w:color w:val="auto"/>
              </w:rPr>
            </w:pPr>
            <w:r>
              <w:rPr>
                <w:rFonts w:ascii="Arial" w:cs="Arial" w:eastAsia="Arial" w:hAnsi="Arial"/>
                <w:sz w:val="14"/>
                <w:szCs w:val="14"/>
                <w:color w:val="auto"/>
                <w:w w:val="92"/>
              </w:rPr>
              <w:t>Large accelerated filer</w:t>
            </w:r>
          </w:p>
        </w:tc>
        <w:tc>
          <w:tcPr>
            <w:tcW w:w="22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jc w:val="center"/>
              <w:ind w:left="248"/>
              <w:spacing w:after="0"/>
              <w:rPr>
                <w:sz w:val="20"/>
                <w:szCs w:val="20"/>
                <w:color w:val="auto"/>
              </w:rPr>
            </w:pPr>
            <w:r>
              <w:rPr>
                <w:rFonts w:ascii="Arial" w:cs="Arial" w:eastAsia="Arial" w:hAnsi="Arial"/>
                <w:sz w:val="14"/>
                <w:szCs w:val="14"/>
                <w:color w:val="auto"/>
                <w:w w:val="95"/>
              </w:rPr>
              <w:t>Accelerated filer</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220" w:type="dxa"/>
            <w:vAlign w:val="bottom"/>
          </w:tcPr>
          <w:p>
            <w:pPr>
              <w:jc w:val="center"/>
              <w:ind w:right="868"/>
              <w:spacing w:after="0"/>
              <w:rPr>
                <w:sz w:val="20"/>
                <w:szCs w:val="20"/>
                <w:color w:val="auto"/>
              </w:rPr>
            </w:pPr>
            <w:r>
              <w:rPr>
                <w:rFonts w:ascii="Arial" w:cs="Arial" w:eastAsia="Arial" w:hAnsi="Arial"/>
                <w:sz w:val="14"/>
                <w:szCs w:val="14"/>
                <w:color w:val="auto"/>
                <w:w w:val="92"/>
              </w:rPr>
              <w:t>Non-accelerated filer</w:t>
            </w:r>
          </w:p>
        </w:tc>
        <w:tc>
          <w:tcPr>
            <w:tcW w:w="22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jc w:val="center"/>
              <w:ind w:left="268"/>
              <w:spacing w:after="0"/>
              <w:rPr>
                <w:sz w:val="20"/>
                <w:szCs w:val="20"/>
                <w:color w:val="auto"/>
              </w:rPr>
            </w:pPr>
            <w:r>
              <w:rPr>
                <w:rFonts w:ascii="Arial" w:cs="Arial" w:eastAsia="Arial" w:hAnsi="Arial"/>
                <w:sz w:val="14"/>
                <w:szCs w:val="14"/>
                <w:color w:val="auto"/>
                <w:w w:val="94"/>
              </w:rPr>
              <w:t>Smaller reporting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640" w:type="dxa"/>
            <w:vAlign w:val="bottom"/>
          </w:tcPr>
          <w:p>
            <w:pPr>
              <w:jc w:val="center"/>
              <w:ind w:left="268"/>
              <w:spacing w:after="0"/>
              <w:rPr>
                <w:sz w:val="20"/>
                <w:szCs w:val="20"/>
                <w:color w:val="auto"/>
              </w:rPr>
            </w:pPr>
            <w:r>
              <w:rPr>
                <w:rFonts w:ascii="Arial" w:cs="Arial" w:eastAsia="Arial" w:hAnsi="Arial"/>
                <w:sz w:val="14"/>
                <w:szCs w:val="14"/>
                <w:color w:val="auto"/>
                <w:w w:val="94"/>
              </w:rPr>
              <w:t>Emerging growth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42" w:lineRule="exact"/>
        <w:rPr>
          <w:sz w:val="24"/>
          <w:szCs w:val="24"/>
          <w:color w:val="auto"/>
        </w:rPr>
      </w:pPr>
    </w:p>
    <w:p>
      <w:pPr>
        <w:ind w:right="560" w:firstLine="648"/>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1"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September 30,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2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0000FF"/>
              </w:rPr>
              <w:t>PART I - FINANCIAL INFORMATION</w:t>
            </w:r>
          </w:p>
        </w:tc>
        <w:tc>
          <w:tcPr>
            <w:tcW w:w="3400" w:type="dxa"/>
            <w:vAlign w:val="bottom"/>
            <w:gridSpan w:val="6"/>
            <w:vMerge w:val="restart"/>
          </w:tcPr>
          <w:p>
            <w:pPr>
              <w:spacing w:after="0"/>
              <w:rPr>
                <w:sz w:val="20"/>
                <w:szCs w:val="20"/>
                <w:color w:val="auto"/>
              </w:rPr>
            </w:pPr>
          </w:p>
        </w:tc>
        <w:tc>
          <w:tcPr>
            <w:tcW w:w="6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20" w:type="dxa"/>
            <w:vAlign w:val="bottom"/>
            <w:tcBorders>
              <w:bottom w:val="single" w:sz="8" w:color="0000FF"/>
            </w:tcBorders>
            <w:gridSpan w:val="5"/>
            <w:vMerge w:val="continue"/>
          </w:tcPr>
          <w:p>
            <w:pPr>
              <w:spacing w:after="0"/>
              <w:rPr>
                <w:sz w:val="13"/>
                <w:szCs w:val="13"/>
                <w:color w:val="auto"/>
              </w:rPr>
            </w:pPr>
          </w:p>
        </w:tc>
        <w:tc>
          <w:tcPr>
            <w:tcW w:w="340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4"/>
        </w:trPr>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440" w:type="dxa"/>
            <w:vAlign w:val="bottom"/>
            <w:gridSpan w:val="2"/>
          </w:tcPr>
          <w:p>
            <w:pPr>
              <w:spacing w:after="0"/>
              <w:rPr>
                <w:sz w:val="24"/>
                <w:szCs w:val="24"/>
                <w:color w:val="auto"/>
              </w:rPr>
            </w:pPr>
          </w:p>
        </w:tc>
        <w:tc>
          <w:tcPr>
            <w:tcW w:w="9600" w:type="dxa"/>
            <w:vAlign w:val="bottom"/>
            <w:gridSpan w:val="18"/>
          </w:tcPr>
          <w:p>
            <w:pPr>
              <w:spacing w:after="0"/>
              <w:rPr>
                <w:sz w:val="20"/>
                <w:szCs w:val="20"/>
                <w:color w:val="auto"/>
              </w:rPr>
            </w:pPr>
            <w:r>
              <w:rPr>
                <w:rFonts w:ascii="Arial" w:cs="Arial" w:eastAsia="Arial" w:hAnsi="Arial"/>
                <w:sz w:val="18"/>
                <w:szCs w:val="18"/>
                <w:color w:val="0000FF"/>
              </w:rPr>
              <w:t>Financial Statements (unaudited)</w:t>
            </w:r>
          </w:p>
        </w:tc>
        <w:tc>
          <w:tcPr>
            <w:tcW w:w="180" w:type="dxa"/>
            <w:vAlign w:val="bottom"/>
            <w:gridSpan w:val="3"/>
          </w:tcPr>
          <w:p>
            <w:pPr>
              <w:ind w:left="20"/>
              <w:spacing w:after="0"/>
              <w:rPr>
                <w:sz w:val="20"/>
                <w:szCs w:val="20"/>
                <w:color w:val="auto"/>
              </w:rPr>
            </w:pPr>
            <w:r>
              <w:rPr>
                <w:rFonts w:ascii="Arial" w:cs="Arial" w:eastAsia="Arial" w:hAnsi="Arial"/>
                <w:sz w:val="18"/>
                <w:szCs w:val="18"/>
                <w:color w:val="0000FF"/>
              </w:rPr>
              <w:t>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80" w:type="dxa"/>
            <w:vAlign w:val="bottom"/>
            <w:gridSpan w:val="14"/>
          </w:tcPr>
          <w:p>
            <w:pPr>
              <w:spacing w:after="0"/>
              <w:rPr>
                <w:sz w:val="20"/>
                <w:szCs w:val="20"/>
                <w:color w:val="auto"/>
              </w:rPr>
            </w:pPr>
            <w:r>
              <w:rPr>
                <w:rFonts w:ascii="Arial" w:cs="Arial" w:eastAsia="Arial" w:hAnsi="Arial"/>
                <w:sz w:val="18"/>
                <w:szCs w:val="18"/>
                <w:color w:val="0000FF"/>
                <w:w w:val="88"/>
              </w:rPr>
              <w:t>Condensed Consolidated Balance Sheets as of September 30, 2023 and December 31, 2022</w:t>
            </w:r>
          </w:p>
        </w:tc>
        <w:tc>
          <w:tcPr>
            <w:tcW w:w="3020" w:type="dxa"/>
            <w:vAlign w:val="bottom"/>
            <w:gridSpan w:val="4"/>
          </w:tcPr>
          <w:p>
            <w:pPr>
              <w:spacing w:after="0"/>
              <w:rPr>
                <w:sz w:val="24"/>
                <w:szCs w:val="24"/>
                <w:color w:val="auto"/>
              </w:rPr>
            </w:pPr>
          </w:p>
        </w:tc>
        <w:tc>
          <w:tcPr>
            <w:tcW w:w="180" w:type="dxa"/>
            <w:vAlign w:val="bottom"/>
            <w:gridSpan w:val="3"/>
          </w:tcPr>
          <w:p>
            <w:pPr>
              <w:ind w:left="20"/>
              <w:spacing w:after="0"/>
              <w:rPr>
                <w:sz w:val="20"/>
                <w:szCs w:val="20"/>
                <w:color w:val="auto"/>
              </w:rPr>
            </w:pPr>
            <w:r>
              <w:rPr>
                <w:rFonts w:ascii="Arial" w:cs="Arial" w:eastAsia="Arial" w:hAnsi="Arial"/>
                <w:sz w:val="18"/>
                <w:szCs w:val="18"/>
                <w:color w:val="0000FF"/>
              </w:rPr>
              <w:t>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8"/>
          </w:tcPr>
          <w:p>
            <w:pPr>
              <w:spacing w:after="0"/>
              <w:rPr>
                <w:sz w:val="20"/>
                <w:szCs w:val="20"/>
                <w:color w:val="auto"/>
              </w:rPr>
            </w:pPr>
            <w:r>
              <w:rPr>
                <w:rFonts w:ascii="Arial" w:cs="Arial" w:eastAsia="Arial" w:hAnsi="Arial"/>
                <w:sz w:val="18"/>
                <w:szCs w:val="18"/>
                <w:color w:val="0000FF"/>
                <w:w w:val="99"/>
              </w:rPr>
              <w:t>Condensed Consolidated Statements of Operations for the Three and Nine Months Ended September 30, 2023 and 2022</w:t>
            </w:r>
          </w:p>
        </w:tc>
        <w:tc>
          <w:tcPr>
            <w:tcW w:w="180" w:type="dxa"/>
            <w:vAlign w:val="bottom"/>
            <w:gridSpan w:val="3"/>
          </w:tcPr>
          <w:p>
            <w:pPr>
              <w:ind w:left="20"/>
              <w:spacing w:after="0"/>
              <w:rPr>
                <w:sz w:val="20"/>
                <w:szCs w:val="20"/>
                <w:color w:val="auto"/>
              </w:rPr>
            </w:pPr>
            <w:r>
              <w:rPr>
                <w:rFonts w:ascii="Arial" w:cs="Arial" w:eastAsia="Arial" w:hAnsi="Arial"/>
                <w:sz w:val="18"/>
                <w:szCs w:val="18"/>
                <w:color w:val="0000FF"/>
              </w:rPr>
              <w:t>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8"/>
          </w:tcPr>
          <w:p>
            <w:pPr>
              <w:spacing w:after="0"/>
              <w:rPr>
                <w:sz w:val="20"/>
                <w:szCs w:val="20"/>
                <w:color w:val="auto"/>
              </w:rPr>
            </w:pPr>
            <w:r>
              <w:rPr>
                <w:rFonts w:ascii="Arial" w:cs="Arial" w:eastAsia="Arial" w:hAnsi="Arial"/>
                <w:sz w:val="18"/>
                <w:szCs w:val="18"/>
                <w:color w:val="0000FF"/>
                <w:w w:val="91"/>
              </w:rPr>
              <w:t>Condensed Consolidated Statements of Comprehensive Loss for the Three and Nine Months Ended September 30, 2023 and 2022</w:t>
            </w:r>
          </w:p>
        </w:tc>
        <w:tc>
          <w:tcPr>
            <w:tcW w:w="180" w:type="dxa"/>
            <w:vAlign w:val="bottom"/>
            <w:gridSpan w:val="3"/>
          </w:tcPr>
          <w:p>
            <w:pPr>
              <w:ind w:left="20"/>
              <w:spacing w:after="0"/>
              <w:rPr>
                <w:sz w:val="20"/>
                <w:szCs w:val="20"/>
                <w:color w:val="auto"/>
              </w:rPr>
            </w:pPr>
            <w:r>
              <w:rPr>
                <w:rFonts w:ascii="Arial" w:cs="Arial" w:eastAsia="Arial" w:hAnsi="Arial"/>
                <w:sz w:val="18"/>
                <w:szCs w:val="18"/>
                <w:color w:val="0000FF"/>
              </w:rPr>
              <w:t>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60" w:type="dxa"/>
            <w:vAlign w:val="bottom"/>
            <w:gridSpan w:val="17"/>
          </w:tcPr>
          <w:p>
            <w:pPr>
              <w:spacing w:after="0"/>
              <w:rPr>
                <w:sz w:val="20"/>
                <w:szCs w:val="20"/>
                <w:color w:val="auto"/>
              </w:rPr>
            </w:pPr>
            <w:r>
              <w:rPr>
                <w:rFonts w:ascii="Arial" w:cs="Arial" w:eastAsia="Arial" w:hAnsi="Arial"/>
                <w:sz w:val="18"/>
                <w:szCs w:val="18"/>
                <w:color w:val="0000FF"/>
                <w:w w:val="89"/>
              </w:rPr>
              <w:t>Condensed Consolidated Statements of Stockholders’ Equity for the Three and Nine Months Ended September 30, 2023 and 2022</w:t>
            </w:r>
          </w:p>
        </w:tc>
        <w:tc>
          <w:tcPr>
            <w:tcW w:w="240" w:type="dxa"/>
            <w:vAlign w:val="bottom"/>
          </w:tcPr>
          <w:p>
            <w:pPr>
              <w:spacing w:after="0"/>
              <w:rPr>
                <w:sz w:val="24"/>
                <w:szCs w:val="24"/>
                <w:color w:val="auto"/>
              </w:rPr>
            </w:pPr>
          </w:p>
        </w:tc>
        <w:tc>
          <w:tcPr>
            <w:tcW w:w="180" w:type="dxa"/>
            <w:vAlign w:val="bottom"/>
            <w:gridSpan w:val="3"/>
          </w:tcPr>
          <w:p>
            <w:pPr>
              <w:ind w:left="20"/>
              <w:spacing w:after="0"/>
              <w:rPr>
                <w:sz w:val="20"/>
                <w:szCs w:val="20"/>
                <w:color w:val="auto"/>
              </w:rPr>
            </w:pPr>
            <w:r>
              <w:rPr>
                <w:rFonts w:ascii="Arial" w:cs="Arial" w:eastAsia="Arial" w:hAnsi="Arial"/>
                <w:sz w:val="18"/>
                <w:szCs w:val="18"/>
                <w:color w:val="0000FF"/>
              </w:rPr>
              <w:t>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2023 and 2022</w:t>
            </w:r>
          </w:p>
        </w:tc>
        <w:tc>
          <w:tcPr>
            <w:tcW w:w="240" w:type="dxa"/>
            <w:vAlign w:val="bottom"/>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gridSpan w:val="9"/>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3920" w:type="dxa"/>
            <w:vAlign w:val="bottom"/>
            <w:gridSpan w:val="6"/>
          </w:tcPr>
          <w:p>
            <w:pPr>
              <w:spacing w:after="0"/>
              <w:rPr>
                <w:sz w:val="24"/>
                <w:szCs w:val="24"/>
                <w:color w:val="auto"/>
              </w:rPr>
            </w:pPr>
          </w:p>
        </w:tc>
        <w:tc>
          <w:tcPr>
            <w:tcW w:w="1680" w:type="dxa"/>
            <w:vAlign w:val="bottom"/>
            <w:gridSpan w:val="3"/>
          </w:tcPr>
          <w:p>
            <w:pPr>
              <w:spacing w:after="0"/>
              <w:rPr>
                <w:sz w:val="24"/>
                <w:szCs w:val="24"/>
                <w:color w:val="auto"/>
              </w:rPr>
            </w:pPr>
          </w:p>
        </w:tc>
        <w:tc>
          <w:tcPr>
            <w:tcW w:w="180" w:type="dxa"/>
            <w:vAlign w:val="bottom"/>
            <w:gridSpan w:val="3"/>
          </w:tcPr>
          <w:p>
            <w:pPr>
              <w:ind w:left="20"/>
              <w:spacing w:after="0"/>
              <w:rPr>
                <w:sz w:val="20"/>
                <w:szCs w:val="20"/>
                <w:color w:val="auto"/>
              </w:rPr>
            </w:pPr>
            <w:r>
              <w:rPr>
                <w:rFonts w:ascii="Arial" w:cs="Arial" w:eastAsia="Arial" w:hAnsi="Arial"/>
                <w:sz w:val="15"/>
                <w:szCs w:val="15"/>
                <w:color w:val="0000FF"/>
                <w:w w:val="71"/>
              </w:rPr>
              <w:t>11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320" w:type="dxa"/>
            <w:vAlign w:val="bottom"/>
          </w:tcPr>
          <w:p>
            <w:pPr>
              <w:spacing w:after="0"/>
              <w:rPr>
                <w:sz w:val="24"/>
                <w:szCs w:val="24"/>
                <w:color w:val="auto"/>
              </w:rPr>
            </w:pPr>
          </w:p>
        </w:tc>
        <w:tc>
          <w:tcPr>
            <w:tcW w:w="960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gridSpan w:val="4"/>
          </w:tcPr>
          <w:p>
            <w:pPr>
              <w:ind w:left="20"/>
              <w:spacing w:after="0"/>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466"/>
        </w:trPr>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1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tcBorders>
              <w:top w:val="single" w:sz="8" w:color="0000FF"/>
            </w:tcBorders>
            <w:gridSpan w:val="3"/>
          </w:tcPr>
          <w:p>
            <w:pPr>
              <w:spacing w:after="0"/>
              <w:rPr>
                <w:sz w:val="24"/>
                <w:szCs w:val="24"/>
                <w:color w:val="auto"/>
              </w:rPr>
            </w:pPr>
          </w:p>
        </w:tc>
        <w:tc>
          <w:tcPr>
            <w:tcW w:w="3140" w:type="dxa"/>
            <w:vAlign w:val="bottom"/>
            <w:gridSpan w:val="5"/>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700" w:type="dxa"/>
            <w:vAlign w:val="bottom"/>
            <w:tcBorders>
              <w:left w:val="single" w:sz="8" w:color="0000FF"/>
            </w:tcBorders>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440" w:type="dxa"/>
            <w:vAlign w:val="bottom"/>
            <w:gridSpan w:val="2"/>
          </w:tcPr>
          <w:p>
            <w:pPr>
              <w:spacing w:after="0"/>
              <w:rPr>
                <w:sz w:val="24"/>
                <w:szCs w:val="24"/>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0000FF"/>
              </w:rPr>
              <w:t>Controls and Procedures</w:t>
            </w:r>
          </w:p>
        </w:tc>
        <w:tc>
          <w:tcPr>
            <w:tcW w:w="5240" w:type="dxa"/>
            <w:vAlign w:val="bottom"/>
            <w:gridSpan w:val="8"/>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453"/>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80" w:type="dxa"/>
            <w:vAlign w:val="bottom"/>
            <w:gridSpan w:val="10"/>
          </w:tcPr>
          <w:p>
            <w:pPr>
              <w:jc w:val="center"/>
              <w:ind w:right="3540"/>
              <w:spacing w:after="0"/>
              <w:rPr>
                <w:sz w:val="20"/>
                <w:szCs w:val="20"/>
                <w:color w:val="auto"/>
              </w:rPr>
            </w:pPr>
            <w:r>
              <w:rPr>
                <w:rFonts w:ascii="Arial" w:cs="Arial" w:eastAsia="Arial" w:hAnsi="Arial"/>
                <w:sz w:val="16"/>
                <w:szCs w:val="16"/>
                <w:b w:val="1"/>
                <w:bCs w:val="1"/>
                <w:color w:val="0000FF"/>
              </w:rPr>
              <w:t>PART II - OTHER INFORMATION</w:t>
            </w: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440" w:type="dxa"/>
            <w:vAlign w:val="bottom"/>
            <w:gridSpan w:val="2"/>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8"/>
                <w:szCs w:val="18"/>
                <w:color w:val="0000FF"/>
                <w:w w:val="85"/>
              </w:rPr>
              <w:t>Legal Proceedings</w:t>
            </w:r>
          </w:p>
        </w:tc>
        <w:tc>
          <w:tcPr>
            <w:tcW w:w="2200" w:type="dxa"/>
            <w:vAlign w:val="bottom"/>
            <w:gridSpan w:val="4"/>
          </w:tcPr>
          <w:p>
            <w:pPr>
              <w:spacing w:after="0"/>
              <w:rPr>
                <w:sz w:val="24"/>
                <w:szCs w:val="24"/>
                <w:color w:val="auto"/>
              </w:rPr>
            </w:pPr>
          </w:p>
        </w:tc>
        <w:tc>
          <w:tcPr>
            <w:tcW w:w="2540" w:type="dxa"/>
            <w:vAlign w:val="bottom"/>
            <w:tcBorders>
              <w:top w:val="single" w:sz="8" w:color="0000FF"/>
            </w:tcBorders>
            <w:gridSpan w:val="3"/>
          </w:tcPr>
          <w:p>
            <w:pPr>
              <w:spacing w:after="0"/>
              <w:rPr>
                <w:sz w:val="24"/>
                <w:szCs w:val="24"/>
                <w:color w:val="auto"/>
              </w:rPr>
            </w:pPr>
          </w:p>
        </w:tc>
        <w:tc>
          <w:tcPr>
            <w:tcW w:w="3540" w:type="dxa"/>
            <w:vAlign w:val="bottom"/>
            <w:gridSpan w:val="7"/>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960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660" w:type="dxa"/>
            <w:vAlign w:val="bottom"/>
            <w:gridSpan w:val="4"/>
          </w:tcPr>
          <w:p>
            <w:pPr>
              <w:ind w:left="20"/>
              <w:spacing w:after="0"/>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gridSpan w:val="10"/>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240" w:type="dxa"/>
            <w:vAlign w:val="bottom"/>
            <w:gridSpan w:val="8"/>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Arial" w:cs="Arial" w:eastAsia="Arial" w:hAnsi="Arial"/>
                <w:sz w:val="18"/>
                <w:szCs w:val="18"/>
                <w:color w:val="0000FF"/>
              </w:rPr>
              <w:t>84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440" w:type="dxa"/>
            <w:vAlign w:val="bottom"/>
            <w:gridSpan w:val="2"/>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8"/>
                <w:szCs w:val="18"/>
                <w:color w:val="0000FF"/>
                <w:w w:val="91"/>
              </w:rPr>
              <w:t>Other Information</w:t>
            </w:r>
          </w:p>
        </w:tc>
        <w:tc>
          <w:tcPr>
            <w:tcW w:w="3040" w:type="dxa"/>
            <w:vAlign w:val="bottom"/>
            <w:gridSpan w:val="6"/>
          </w:tcPr>
          <w:p>
            <w:pPr>
              <w:spacing w:after="0"/>
              <w:rPr>
                <w:sz w:val="24"/>
                <w:szCs w:val="24"/>
                <w:color w:val="auto"/>
              </w:rPr>
            </w:pPr>
          </w:p>
        </w:tc>
        <w:tc>
          <w:tcPr>
            <w:tcW w:w="5240" w:type="dxa"/>
            <w:vAlign w:val="bottom"/>
            <w:gridSpan w:val="8"/>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Arial" w:cs="Arial" w:eastAsia="Arial" w:hAnsi="Arial"/>
                <w:sz w:val="18"/>
                <w:szCs w:val="18"/>
                <w:color w:val="0000FF"/>
              </w:rPr>
              <w:t>84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440" w:type="dxa"/>
            <w:vAlign w:val="bottom"/>
            <w:gridSpan w:val="2"/>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8280" w:type="dxa"/>
            <w:vAlign w:val="bottom"/>
            <w:gridSpan w:val="14"/>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Arial" w:cs="Arial" w:eastAsia="Arial" w:hAnsi="Arial"/>
                <w:sz w:val="18"/>
                <w:szCs w:val="18"/>
                <w:color w:val="0000FF"/>
              </w:rPr>
              <w:t>85</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4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8"/>
          </w:tcPr>
          <w:p>
            <w:pPr>
              <w:spacing w:after="0"/>
              <w:rPr>
                <w:sz w:val="20"/>
                <w:szCs w:val="20"/>
                <w:color w:val="auto"/>
              </w:rPr>
            </w:pPr>
            <w:r>
              <w:rPr>
                <w:rFonts w:ascii="Arial" w:cs="Arial" w:eastAsia="Arial" w:hAnsi="Arial"/>
                <w:sz w:val="18"/>
                <w:szCs w:val="18"/>
                <w:color w:val="0000FF"/>
              </w:rPr>
              <w:t>Signatures</w:t>
            </w:r>
          </w:p>
        </w:tc>
        <w:tc>
          <w:tcPr>
            <w:tcW w:w="660" w:type="dxa"/>
            <w:vAlign w:val="bottom"/>
            <w:gridSpan w:val="4"/>
          </w:tcPr>
          <w:p>
            <w:pPr>
              <w:ind w:left="20"/>
              <w:spacing w:after="0"/>
              <w:rPr>
                <w:sz w:val="20"/>
                <w:szCs w:val="20"/>
                <w:color w:val="auto"/>
              </w:rPr>
            </w:pPr>
            <w:r>
              <w:rPr>
                <w:rFonts w:ascii="Arial" w:cs="Arial" w:eastAsia="Arial" w:hAnsi="Arial"/>
                <w:sz w:val="18"/>
                <w:szCs w:val="18"/>
                <w:color w:val="0000FF"/>
              </w:rPr>
              <w:t>85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ind w:left="120"/>
              <w:spacing w:after="0"/>
              <w:rPr>
                <w:sz w:val="20"/>
                <w:szCs w:val="20"/>
                <w:color w:val="auto"/>
              </w:rPr>
            </w:pPr>
            <w:r>
              <w:rPr>
                <w:rFonts w:ascii="Arial" w:cs="Arial" w:eastAsia="Arial" w:hAnsi="Arial"/>
                <w:sz w:val="16"/>
                <w:szCs w:val="16"/>
                <w:b w:val="1"/>
                <w:bCs w:val="1"/>
                <w:color w:val="auto"/>
              </w:rPr>
              <w:t>As of September 30,</w:t>
            </w:r>
          </w:p>
        </w:tc>
        <w:tc>
          <w:tcPr>
            <w:tcW w:w="360" w:type="dxa"/>
            <w:vAlign w:val="bottom"/>
          </w:tcPr>
          <w:p>
            <w:pPr>
              <w:spacing w:after="0"/>
              <w:rPr>
                <w:sz w:val="18"/>
                <w:szCs w:val="18"/>
                <w:color w:val="auto"/>
              </w:rPr>
            </w:pP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w w:val="90"/>
              </w:rPr>
              <w:t>As of December 31,</w:t>
            </w:r>
          </w:p>
        </w:tc>
      </w:tr>
      <w:tr>
        <w:trPr>
          <w:trHeight w:val="210"/>
        </w:trPr>
        <w:tc>
          <w:tcPr>
            <w:tcW w:w="68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2022</w:t>
            </w:r>
          </w:p>
        </w:tc>
      </w:tr>
      <w:tr>
        <w:trPr>
          <w:trHeight w:val="179"/>
        </w:trPr>
        <w:tc>
          <w:tcPr>
            <w:tcW w:w="6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760" w:type="dxa"/>
            <w:vAlign w:val="bottom"/>
          </w:tcPr>
          <w:p>
            <w:pPr>
              <w:spacing w:after="0"/>
              <w:rPr>
                <w:sz w:val="15"/>
                <w:szCs w:val="15"/>
                <w:color w:val="auto"/>
              </w:rPr>
            </w:pPr>
          </w:p>
        </w:tc>
      </w:tr>
      <w:tr>
        <w:trPr>
          <w:trHeight w:val="20"/>
        </w:trPr>
        <w:tc>
          <w:tcPr>
            <w:tcW w:w="6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677,917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651,752</w:t>
            </w: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Short-term marketable securities</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3,179,492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3,503,317</w:t>
            </w: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557,201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547,507</w:t>
            </w:r>
          </w:p>
        </w:tc>
      </w:tr>
      <w:tr>
        <w:trPr>
          <w:trHeight w:val="213"/>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326,968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281,510</w:t>
            </w:r>
          </w:p>
        </w:tc>
      </w:tr>
      <w:tr>
        <w:trPr>
          <w:trHeight w:val="212"/>
        </w:trPr>
        <w:tc>
          <w:tcPr>
            <w:tcW w:w="6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4,741,578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4,984,086</w:t>
            </w: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222,257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263,979</w:t>
            </w: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right-of-use assets</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121,341</w:t>
            </w: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Equity method investment</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623,118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699,911</w:t>
            </w: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678,721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849,935</w:t>
            </w: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5,243,266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5,284,153</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269,672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360,899</w:t>
            </w:r>
          </w:p>
        </w:tc>
      </w:tr>
      <w:tr>
        <w:trPr>
          <w:trHeight w:val="213"/>
        </w:trPr>
        <w:tc>
          <w:tcPr>
            <w:tcW w:w="682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11,857,738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12,564,304</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124,605</w:t>
            </w: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423,812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490,221</w:t>
            </w: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139,110</w:t>
            </w:r>
          </w:p>
        </w:tc>
      </w:tr>
      <w:tr>
        <w:trPr>
          <w:trHeight w:val="213"/>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Operating lease liability, current</w:t>
            </w: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51,926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54,222</w:t>
            </w:r>
          </w:p>
        </w:tc>
      </w:tr>
      <w:tr>
        <w:trPr>
          <w:trHeight w:val="213"/>
        </w:trPr>
        <w:tc>
          <w:tcPr>
            <w:tcW w:w="6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726,117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808,158</w:t>
            </w: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Operating lease liability, noncurrent</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133,881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164,551</w:t>
            </w: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liability, noncurrent</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21,290</w:t>
            </w: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988,555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987,382</w:t>
            </w: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23,881</w:t>
            </w:r>
          </w:p>
        </w:tc>
      </w:tr>
      <w:tr>
        <w:trPr>
          <w:trHeight w:val="206"/>
        </w:trPr>
        <w:tc>
          <w:tcPr>
            <w:tcW w:w="68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1,878,357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2,005,262</w:t>
            </w:r>
          </w:p>
        </w:tc>
      </w:tr>
      <w:tr>
        <w:trPr>
          <w:trHeight w:val="19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w:t>
            </w: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Class A and Class B common stock</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14,610,887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14,055,853</w:t>
            </w:r>
          </w:p>
        </w:tc>
      </w:tr>
      <w:tr>
        <w:trPr>
          <w:trHeight w:val="213"/>
        </w:trPr>
        <w:tc>
          <w:tcPr>
            <w:tcW w:w="682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(52,726)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(121,161)</w:t>
            </w:r>
          </w:p>
        </w:tc>
      </w:tr>
      <w:tr>
        <w:trPr>
          <w:trHeight w:val="21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(4,578,962)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(3,375,836)</w:t>
            </w:r>
          </w:p>
        </w:tc>
      </w:tr>
      <w:tr>
        <w:trPr>
          <w:trHeight w:val="207"/>
        </w:trPr>
        <w:tc>
          <w:tcPr>
            <w:tcW w:w="68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9,979,381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10,559,042</w:t>
            </w:r>
          </w:p>
        </w:tc>
      </w:tr>
      <w:tr>
        <w:trPr>
          <w:trHeight w:val="237"/>
        </w:trPr>
        <w:tc>
          <w:tcPr>
            <w:tcW w:w="6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11,857,738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12,564,304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74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46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79"/>
        </w:trPr>
        <w:tc>
          <w:tcPr>
            <w:tcW w:w="4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gridSpan w:val="6"/>
          </w:tcPr>
          <w:p>
            <w:pPr>
              <w:ind w:left="40"/>
              <w:spacing w:after="0"/>
              <w:rPr>
                <w:sz w:val="20"/>
                <w:szCs w:val="20"/>
                <w:color w:val="auto"/>
              </w:rPr>
            </w:pPr>
            <w:r>
              <w:rPr>
                <w:rFonts w:ascii="Arial" w:cs="Arial" w:eastAsia="Arial" w:hAnsi="Arial"/>
                <w:sz w:val="14"/>
                <w:szCs w:val="14"/>
                <w:color w:val="auto"/>
                <w:w w:val="95"/>
              </w:rPr>
              <w:t>(In thousands, except share and per share amounts)</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1,033,670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983,030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3,077,995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2,801,747</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517,351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520,955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1,565,231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1,469,312</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516,319</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462,075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1,512,764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1,332,435</w:t>
            </w:r>
          </w:p>
        </w:tc>
        <w:tc>
          <w:tcPr>
            <w:tcW w:w="0" w:type="dxa"/>
            <w:vAlign w:val="bottom"/>
          </w:tcPr>
          <w:p>
            <w:pPr>
              <w:spacing w:after="0"/>
              <w:rPr>
                <w:sz w:val="1"/>
                <w:szCs w:val="1"/>
                <w:color w:val="auto"/>
              </w:rPr>
            </w:pPr>
          </w:p>
        </w:tc>
      </w:tr>
      <w:tr>
        <w:trPr>
          <w:trHeight w:val="193"/>
        </w:trPr>
        <w:tc>
          <w:tcPr>
            <w:tcW w:w="46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804,987</w:t>
            </w:r>
          </w:p>
        </w:tc>
        <w:tc>
          <w:tcPr>
            <w:tcW w:w="0" w:type="dxa"/>
            <w:vAlign w:val="bottom"/>
          </w:tcPr>
          <w:p>
            <w:pPr>
              <w:spacing w:after="0"/>
              <w:rPr>
                <w:sz w:val="1"/>
                <w:szCs w:val="1"/>
                <w:color w:val="auto"/>
              </w:rPr>
            </w:pPr>
          </w:p>
        </w:tc>
      </w:tr>
      <w:tr>
        <w:trPr>
          <w:trHeight w:val="213"/>
        </w:trPr>
        <w:tc>
          <w:tcPr>
            <w:tcW w:w="4660" w:type="dxa"/>
            <w:vAlign w:val="bottom"/>
          </w:tcPr>
          <w:p>
            <w:pPr>
              <w:ind w:left="34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262,898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328,833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784,383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951,697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392,319</w:t>
            </w:r>
          </w:p>
        </w:tc>
        <w:tc>
          <w:tcPr>
            <w:tcW w:w="0" w:type="dxa"/>
            <w:vAlign w:val="bottom"/>
          </w:tcPr>
          <w:p>
            <w:pPr>
              <w:spacing w:after="0"/>
              <w:rPr>
                <w:sz w:val="1"/>
                <w:szCs w:val="1"/>
                <w:color w:val="auto"/>
              </w:rPr>
            </w:pPr>
          </w:p>
        </w:tc>
      </w:tr>
      <w:tr>
        <w:trPr>
          <w:trHeight w:val="213"/>
        </w:trPr>
        <w:tc>
          <w:tcPr>
            <w:tcW w:w="4660" w:type="dxa"/>
            <w:vAlign w:val="bottom"/>
          </w:tcPr>
          <w:p>
            <w:pPr>
              <w:ind w:left="340"/>
              <w:spacing w:after="0"/>
              <w:rPr>
                <w:sz w:val="20"/>
                <w:szCs w:val="20"/>
                <w:color w:val="auto"/>
              </w:rPr>
            </w:pPr>
            <w:r>
              <w:rPr>
                <w:rFonts w:ascii="Arial" w:cs="Arial" w:eastAsia="Arial" w:hAnsi="Arial"/>
                <w:sz w:val="16"/>
                <w:szCs w:val="16"/>
                <w:color w:val="auto"/>
              </w:rPr>
              <w:t>Restructuring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3,437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72,451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140,281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72,451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long-lived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34,278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97,722</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625,222</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919,072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2,027,578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2,319,176</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from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(108,903)</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(456,997)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(514,814)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(986,741)</w:t>
            </w:r>
          </w:p>
        </w:tc>
        <w:tc>
          <w:tcPr>
            <w:tcW w:w="0" w:type="dxa"/>
            <w:vAlign w:val="bottom"/>
          </w:tcPr>
          <w:p>
            <w:pPr>
              <w:spacing w:after="0"/>
              <w:rPr>
                <w:sz w:val="1"/>
                <w:szCs w:val="1"/>
                <w:color w:val="auto"/>
              </w:rPr>
            </w:pPr>
          </w:p>
        </w:tc>
      </w:tr>
      <w:tr>
        <w:trPr>
          <w:trHeight w:val="193"/>
        </w:trPr>
        <w:tc>
          <w:tcPr>
            <w:tcW w:w="4660" w:type="dxa"/>
            <w:vAlign w:val="bottom"/>
          </w:tcPr>
          <w:p>
            <w:pPr>
              <w:ind w:left="20"/>
              <w:spacing w:after="0"/>
              <w:rPr>
                <w:sz w:val="20"/>
                <w:szCs w:val="20"/>
                <w:color w:val="auto"/>
              </w:rPr>
            </w:pPr>
            <w:r>
              <w:rPr>
                <w:rFonts w:ascii="Arial" w:cs="Arial" w:eastAsia="Arial" w:hAnsi="Arial"/>
                <w:sz w:val="16"/>
                <w:szCs w:val="16"/>
                <w:color w:val="auto"/>
              </w:rPr>
              <w:t>Other expenses, net:</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 of losses from equity method investment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(13,376)</w:t>
            </w:r>
          </w:p>
        </w:tc>
        <w:tc>
          <w:tcPr>
            <w:tcW w:w="0" w:type="dxa"/>
            <w:vAlign w:val="bottom"/>
          </w:tcPr>
          <w:p>
            <w:pPr>
              <w:spacing w:after="0"/>
              <w:rPr>
                <w:sz w:val="1"/>
                <w:szCs w:val="1"/>
                <w:color w:val="auto"/>
              </w:rPr>
            </w:pPr>
          </w:p>
        </w:tc>
      </w:tr>
      <w:tr>
        <w:trPr>
          <w:trHeight w:val="213"/>
        </w:trPr>
        <w:tc>
          <w:tcPr>
            <w:tcW w:w="4660" w:type="dxa"/>
            <w:vAlign w:val="bottom"/>
          </w:tcPr>
          <w:p>
            <w:pPr>
              <w:ind w:left="340"/>
              <w:spacing w:after="0"/>
              <w:rPr>
                <w:sz w:val="20"/>
                <w:szCs w:val="20"/>
                <w:color w:val="auto"/>
              </w:rPr>
            </w:pPr>
            <w:r>
              <w:rPr>
                <w:rFonts w:ascii="Arial" w:cs="Arial" w:eastAsia="Arial" w:hAnsi="Arial"/>
                <w:sz w:val="16"/>
                <w:szCs w:val="16"/>
                <w:color w:val="auto"/>
              </w:rPr>
              <w:t>Impairment of strategic investments</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(46,154)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(expenses),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(23,290)</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other expenses, net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(31,057)</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(122,261)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(36,666)</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before provision for income taxes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(139,960)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(1,023,407)</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(3,316)</w:t>
            </w:r>
          </w:p>
        </w:tc>
        <w:tc>
          <w:tcPr>
            <w:tcW w:w="0" w:type="dxa"/>
            <w:vAlign w:val="bottom"/>
          </w:tcPr>
          <w:p>
            <w:pPr>
              <w:spacing w:after="0"/>
              <w:rPr>
                <w:sz w:val="1"/>
                <w:szCs w:val="1"/>
                <w:color w:val="auto"/>
              </w:rPr>
            </w:pPr>
          </w:p>
        </w:tc>
      </w:tr>
      <w:tr>
        <w:trPr>
          <w:trHeight w:val="235"/>
        </w:trPr>
        <w:tc>
          <w:tcPr>
            <w:tcW w:w="4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loss attributable to common stockholders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(141,707)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(650,033)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(1,026,723)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340"/>
              <w:spacing w:after="0" w:line="156" w:lineRule="exact"/>
              <w:rPr>
                <w:sz w:val="20"/>
                <w:szCs w:val="20"/>
                <w:color w:val="auto"/>
              </w:rPr>
            </w:pPr>
            <w:r>
              <w:rPr>
                <w:rFonts w:ascii="Arial" w:cs="Arial" w:eastAsia="Arial" w:hAnsi="Arial"/>
                <w:sz w:val="16"/>
                <w:szCs w:val="16"/>
                <w:color w:val="auto"/>
                <w:w w:val="98"/>
              </w:rPr>
              <w:t>Net loss per share attributable to common stockholders, 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660" w:type="dxa"/>
            <w:vAlign w:val="bottom"/>
            <w:vMerge w:val="continue"/>
          </w:tcPr>
          <w:p>
            <w:pPr>
              <w:spacing w:after="0"/>
              <w:rPr>
                <w:sz w:val="10"/>
                <w:szCs w:val="10"/>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10"/>
                <w:szCs w:val="10"/>
                <w:color w:val="auto"/>
              </w:rPr>
            </w:pPr>
          </w:p>
        </w:tc>
        <w:tc>
          <w:tcPr>
            <w:tcW w:w="500" w:type="dxa"/>
            <w:vAlign w:val="bottom"/>
            <w:vMerge w:val="restart"/>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0"/>
                <w:szCs w:val="10"/>
                <w:color w:val="auto"/>
              </w:rPr>
            </w:pPr>
          </w:p>
        </w:tc>
        <w:tc>
          <w:tcPr>
            <w:tcW w:w="320" w:type="dxa"/>
            <w:vAlign w:val="bottom"/>
            <w:vMerge w:val="restart"/>
          </w:tcPr>
          <w:p>
            <w:pPr>
              <w:jc w:val="right"/>
              <w:ind w:right="164"/>
              <w:spacing w:after="0"/>
              <w:rPr>
                <w:sz w:val="20"/>
                <w:szCs w:val="20"/>
                <w:color w:val="auto"/>
              </w:rPr>
            </w:pPr>
            <w:r>
              <w:rPr>
                <w:rFonts w:ascii="Arial" w:cs="Arial" w:eastAsia="Arial" w:hAnsi="Arial"/>
                <w:sz w:val="15"/>
                <w:szCs w:val="15"/>
                <w:color w:val="auto"/>
                <w:w w:val="71"/>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0"/>
                <w:szCs w:val="10"/>
                <w:color w:val="auto"/>
              </w:rPr>
            </w:pPr>
          </w:p>
        </w:tc>
        <w:tc>
          <w:tcPr>
            <w:tcW w:w="500" w:type="dxa"/>
            <w:vAlign w:val="bottom"/>
            <w:vMerge w:val="restart"/>
          </w:tcPr>
          <w:p>
            <w:pPr>
              <w:jc w:val="right"/>
              <w:ind w:right="344"/>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190"/>
        </w:trPr>
        <w:tc>
          <w:tcPr>
            <w:tcW w:w="4660" w:type="dxa"/>
            <w:vAlign w:val="bottom"/>
          </w:tcPr>
          <w:p>
            <w:pPr>
              <w:ind w:left="660"/>
              <w:spacing w:after="0"/>
              <w:rPr>
                <w:sz w:val="20"/>
                <w:szCs w:val="20"/>
                <w:color w:val="auto"/>
              </w:rPr>
            </w:pPr>
            <w:r>
              <w:rPr>
                <w:rFonts w:ascii="Arial" w:cs="Arial" w:eastAsia="Arial" w:hAnsi="Arial"/>
                <w:sz w:val="16"/>
                <w:szCs w:val="16"/>
                <w:color w:val="auto"/>
              </w:rPr>
              <w:t>and diluted</w:t>
            </w:r>
          </w:p>
        </w:tc>
        <w:tc>
          <w:tcPr>
            <w:tcW w:w="3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60" w:type="dxa"/>
            <w:vAlign w:val="bottom"/>
            <w:shd w:val="clear" w:color="auto" w:fill="CCEEFF"/>
          </w:tcPr>
          <w:p>
            <w:pPr>
              <w:ind w:left="340"/>
              <w:spacing w:after="0" w:line="133" w:lineRule="exact"/>
              <w:rPr>
                <w:sz w:val="20"/>
                <w:szCs w:val="20"/>
                <w:color w:val="auto"/>
              </w:rPr>
            </w:pPr>
            <w:r>
              <w:rPr>
                <w:rFonts w:ascii="Arial" w:cs="Arial" w:eastAsia="Arial" w:hAnsi="Arial"/>
                <w:sz w:val="15"/>
                <w:szCs w:val="15"/>
                <w:color w:val="auto"/>
              </w:rPr>
              <w:t>Weighted-average shares used in computing net loss per share</w:t>
            </w:r>
          </w:p>
        </w:tc>
        <w:tc>
          <w:tcPr>
            <w:tcW w:w="3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181,749,309</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183,692,564</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183,854,526</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182,319,735</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attributable to common stockholders, basic and diluted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891"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22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179"/>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(141,707)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(482,327)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(650,033)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(1,026,723)</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(loss) on marketable securities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53,276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(103,999)</w:t>
            </w:r>
          </w:p>
        </w:tc>
        <w:tc>
          <w:tcPr>
            <w:tcW w:w="0" w:type="dxa"/>
            <w:vAlign w:val="bottom"/>
          </w:tcPr>
          <w:p>
            <w:pPr>
              <w:spacing w:after="0"/>
              <w:rPr>
                <w:sz w:val="1"/>
                <w:szCs w:val="1"/>
                <w:color w:val="auto"/>
              </w:rPr>
            </w:pPr>
          </w:p>
        </w:tc>
      </w:tr>
      <w:tr>
        <w:trPr>
          <w:trHeight w:val="213"/>
        </w:trPr>
        <w:tc>
          <w:tcPr>
            <w:tcW w:w="5820" w:type="dxa"/>
            <w:vAlign w:val="bottom"/>
          </w:tcPr>
          <w:p>
            <w:pPr>
              <w:ind w:left="360"/>
              <w:spacing w:after="0"/>
              <w:rPr>
                <w:sz w:val="20"/>
                <w:szCs w:val="20"/>
                <w:color w:val="auto"/>
              </w:rPr>
            </w:pPr>
            <w:r>
              <w:rPr>
                <w:rFonts w:ascii="Arial" w:cs="Arial" w:eastAsia="Arial" w:hAnsi="Arial"/>
                <w:sz w:val="16"/>
                <w:szCs w:val="16"/>
                <w:color w:val="auto"/>
              </w:rPr>
              <w:t>Foreign currency translation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5,587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(4,646)</w:t>
            </w:r>
          </w:p>
        </w:tc>
        <w:tc>
          <w:tcPr>
            <w:tcW w:w="0" w:type="dxa"/>
            <w:vAlign w:val="bottom"/>
          </w:tcPr>
          <w:p>
            <w:pPr>
              <w:spacing w:after="0"/>
              <w:rPr>
                <w:sz w:val="1"/>
                <w:szCs w:val="1"/>
                <w:color w:val="auto"/>
              </w:rPr>
            </w:pPr>
          </w:p>
        </w:tc>
      </w:tr>
      <w:tr>
        <w:trPr>
          <w:trHeight w:val="169"/>
        </w:trPr>
        <w:tc>
          <w:tcPr>
            <w:tcW w:w="582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Net change in market value of effective foreign currency</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(8,626)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(19,196)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(7,458)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(34,154)</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forward exchange contracts</w:t>
            </w:r>
          </w:p>
        </w:tc>
        <w:tc>
          <w:tcPr>
            <w:tcW w:w="2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820" w:type="dxa"/>
            <w:vAlign w:val="bottom"/>
          </w:tcPr>
          <w:p>
            <w:pPr>
              <w:ind w:left="360"/>
              <w:spacing w:after="0" w:line="166" w:lineRule="exact"/>
              <w:rPr>
                <w:sz w:val="20"/>
                <w:szCs w:val="20"/>
                <w:color w:val="auto"/>
              </w:rPr>
            </w:pPr>
            <w:r>
              <w:rPr>
                <w:rFonts w:ascii="Arial" w:cs="Arial" w:eastAsia="Arial" w:hAnsi="Arial"/>
                <w:sz w:val="16"/>
                <w:szCs w:val="16"/>
                <w:color w:val="auto"/>
              </w:rPr>
              <w:t>Share of other comprehensive (loss) income from equity method</w:t>
            </w: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(2,764)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(4,243)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17,030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(4,243)</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investment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other comprehensive income (loss)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7,549</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(47,782)</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68,435</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(147,042)</w:t>
            </w:r>
          </w:p>
        </w:tc>
        <w:tc>
          <w:tcPr>
            <w:tcW w:w="0" w:type="dxa"/>
            <w:vAlign w:val="bottom"/>
          </w:tcPr>
          <w:p>
            <w:pPr>
              <w:spacing w:after="0"/>
              <w:rPr>
                <w:sz w:val="1"/>
                <w:szCs w:val="1"/>
                <w:color w:val="auto"/>
              </w:rPr>
            </w:pPr>
          </w:p>
        </w:tc>
      </w:tr>
      <w:tr>
        <w:trPr>
          <w:trHeight w:val="212"/>
        </w:trPr>
        <w:tc>
          <w:tcPr>
            <w:tcW w:w="5820" w:type="dxa"/>
            <w:vAlign w:val="bottom"/>
          </w:tcPr>
          <w:p>
            <w:pPr>
              <w:ind w:left="800"/>
              <w:spacing w:after="0"/>
              <w:rPr>
                <w:sz w:val="20"/>
                <w:szCs w:val="20"/>
                <w:color w:val="auto"/>
              </w:rPr>
            </w:pPr>
            <w:r>
              <w:rPr>
                <w:rFonts w:ascii="Arial" w:cs="Arial" w:eastAsia="Arial" w:hAnsi="Arial"/>
                <w:sz w:val="16"/>
                <w:szCs w:val="16"/>
                <w:color w:val="auto"/>
              </w:rPr>
              <w:t>Comprehensive loss attributable to common stockholders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(134,158)</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(530,109)</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(581,598)</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(1,173,765)</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TWILIO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960" w:type="dxa"/>
            <w:vAlign w:val="bottom"/>
            <w:gridSpan w:val="2"/>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7"/>
                <w:szCs w:val="7"/>
                <w:color w:val="auto"/>
              </w:rPr>
            </w:pPr>
          </w:p>
        </w:tc>
        <w:tc>
          <w:tcPr>
            <w:tcW w:w="104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restart"/>
          </w:tcPr>
          <w:p>
            <w:pPr>
              <w:jc w:val="center"/>
              <w:ind w:right="128"/>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3"/>
        </w:trPr>
        <w:tc>
          <w:tcPr>
            <w:tcW w:w="3660" w:type="dxa"/>
            <w:vAlign w:val="bottom"/>
          </w:tcPr>
          <w:p>
            <w:pPr>
              <w:spacing w:after="0"/>
              <w:rPr>
                <w:sz w:val="5"/>
                <w:szCs w:val="5"/>
                <w:color w:val="auto"/>
              </w:rPr>
            </w:pPr>
          </w:p>
        </w:tc>
        <w:tc>
          <w:tcPr>
            <w:tcW w:w="132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Class A</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Class B</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32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0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(Loss) Income</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9"/>
        </w:trPr>
        <w:tc>
          <w:tcPr>
            <w:tcW w:w="3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176,358,104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174</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9,617,605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b w:val="1"/>
                <w:bCs w:val="1"/>
                <w:color w:val="auto"/>
                <w:w w:val="89"/>
              </w:rPr>
              <w:t>12</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5"/>
              </w:rPr>
              <w:t>$ 14,055,853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(121,161)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(3,375,836)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10,559,042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center"/>
              <w:ind w:left="188"/>
              <w:spacing w:after="0" w:line="156"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88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(342,139)</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(342,139)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66,968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97,199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3,264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3,264</w:t>
            </w: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4"/>
                <w:szCs w:val="14"/>
                <w:color w:val="auto"/>
              </w:rPr>
              <w:t>1,516,634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center"/>
              <w:ind w:left="108"/>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Value of equity awards withheld for tax liability</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(36,965)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43"/>
        </w:trPr>
        <w:tc>
          <w:tcPr>
            <w:tcW w:w="3660" w:type="dxa"/>
            <w:vAlign w:val="bottom"/>
          </w:tcPr>
          <w:p>
            <w:pPr>
              <w:ind w:left="20"/>
              <w:spacing w:after="0" w:line="143" w:lineRule="exact"/>
              <w:rPr>
                <w:sz w:val="20"/>
                <w:szCs w:val="20"/>
                <w:color w:val="auto"/>
              </w:rPr>
            </w:pPr>
            <w:r>
              <w:rPr>
                <w:rFonts w:ascii="Arial" w:cs="Arial" w:eastAsia="Arial" w:hAnsi="Arial"/>
                <w:sz w:val="14"/>
                <w:szCs w:val="14"/>
                <w:color w:val="auto"/>
                <w:w w:val="94"/>
              </w:rPr>
              <w:t>Conversion of shares of Class B common stock into shares of</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97,199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(97,199)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w w:val="99"/>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66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Shares of Class A common stock issued and donated to</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22,102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charity</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center"/>
              <w:ind w:left="108"/>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30,750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30,750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9"/>
              </w:rPr>
              <w:t>Repurchases of shares of Class A common stock including</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(1,902,124)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(124,990)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(124,992)</w:t>
            </w: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related costs</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center"/>
              <w:ind w:left="108"/>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change in market value of effective foreign currency</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3,335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3,335</w:t>
            </w: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forward exchange contracts</w:t>
            </w: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660" w:type="dxa"/>
            <w:vAlign w:val="bottom"/>
          </w:tcPr>
          <w:p>
            <w:pPr>
              <w:ind w:left="20"/>
              <w:spacing w:after="0" w:line="143" w:lineRule="exact"/>
              <w:rPr>
                <w:sz w:val="20"/>
                <w:szCs w:val="20"/>
                <w:color w:val="auto"/>
              </w:rPr>
            </w:pPr>
            <w:r>
              <w:rPr>
                <w:rFonts w:ascii="Arial" w:cs="Arial" w:eastAsia="Arial" w:hAnsi="Arial"/>
                <w:sz w:val="14"/>
                <w:szCs w:val="14"/>
                <w:color w:val="auto"/>
              </w:rPr>
              <w:t>Share of other comprehensive income from equity method</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w w:val="99"/>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14,648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14,648</w:t>
            </w:r>
          </w:p>
        </w:tc>
        <w:tc>
          <w:tcPr>
            <w:tcW w:w="0" w:type="dxa"/>
            <w:vAlign w:val="bottom"/>
          </w:tcPr>
          <w:p>
            <w:pPr>
              <w:spacing w:after="0"/>
              <w:rPr>
                <w:sz w:val="1"/>
                <w:szCs w:val="1"/>
                <w:color w:val="auto"/>
              </w:rPr>
            </w:pPr>
          </w:p>
        </w:tc>
      </w:tr>
      <w:tr>
        <w:trPr>
          <w:trHeight w:val="188"/>
        </w:trPr>
        <w:tc>
          <w:tcPr>
            <w:tcW w:w="3660" w:type="dxa"/>
            <w:vAlign w:val="bottom"/>
          </w:tcPr>
          <w:p>
            <w:pPr>
              <w:ind w:left="20"/>
              <w:spacing w:after="0"/>
              <w:rPr>
                <w:sz w:val="20"/>
                <w:szCs w:val="20"/>
                <w:color w:val="auto"/>
              </w:rPr>
            </w:pPr>
            <w:r>
              <w:rPr>
                <w:rFonts w:ascii="Arial" w:cs="Arial" w:eastAsia="Arial" w:hAnsi="Arial"/>
                <w:sz w:val="14"/>
                <w:szCs w:val="14"/>
                <w:color w:val="auto"/>
              </w:rPr>
              <w:t>investment</w:t>
            </w: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164,999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164,999</w:t>
            </w: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Stock-based compensation - restructuring</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center"/>
              <w:ind w:left="108"/>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10,333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10,333</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176,121,918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174</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9,617,605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b w:val="1"/>
                <w:bCs w:val="1"/>
                <w:color w:val="auto"/>
                <w:w w:val="89"/>
              </w:rPr>
              <w:t>12</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5"/>
              </w:rPr>
              <w:t>$ 14,233,590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(71,945)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(3,842,965)</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10,318,866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center"/>
              <w:ind w:left="188"/>
              <w:spacing w:after="0" w:line="156"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88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(166,187)</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(166,187)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33,438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30,783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1,477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1,144,112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center"/>
              <w:ind w:left="108"/>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Value of equity awards withheld for tax liability</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3"/>
        </w:trPr>
        <w:tc>
          <w:tcPr>
            <w:tcW w:w="3660" w:type="dxa"/>
            <w:vAlign w:val="bottom"/>
          </w:tcPr>
          <w:p>
            <w:pPr>
              <w:ind w:left="20"/>
              <w:spacing w:after="0" w:line="143" w:lineRule="exact"/>
              <w:rPr>
                <w:sz w:val="20"/>
                <w:szCs w:val="20"/>
                <w:color w:val="auto"/>
              </w:rPr>
            </w:pPr>
            <w:r>
              <w:rPr>
                <w:rFonts w:ascii="Arial" w:cs="Arial" w:eastAsia="Arial" w:hAnsi="Arial"/>
                <w:sz w:val="14"/>
                <w:szCs w:val="14"/>
                <w:color w:val="auto"/>
                <w:w w:val="94"/>
              </w:rPr>
              <w:t>Conversion of shares of Class B common stock into shares of</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9,648,388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(9,648,388)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center"/>
              <w:ind w:left="168"/>
              <w:spacing w:after="0"/>
              <w:rPr>
                <w:sz w:val="20"/>
                <w:szCs w:val="20"/>
                <w:color w:val="auto"/>
              </w:rPr>
            </w:pPr>
            <w:r>
              <w:rPr>
                <w:rFonts w:ascii="Arial" w:cs="Arial" w:eastAsia="Arial" w:hAnsi="Arial"/>
                <w:sz w:val="14"/>
                <w:szCs w:val="14"/>
                <w:color w:val="auto"/>
                <w:w w:val="96"/>
              </w:rPr>
              <w:t>(12)</w:t>
            </w:r>
          </w:p>
        </w:tc>
        <w:tc>
          <w:tcPr>
            <w:tcW w:w="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66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issued under ESPP</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579,857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23,337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23,337</w:t>
            </w:r>
          </w:p>
        </w:tc>
        <w:tc>
          <w:tcPr>
            <w:tcW w:w="0" w:type="dxa"/>
            <w:vAlign w:val="bottom"/>
          </w:tcPr>
          <w:p>
            <w:pPr>
              <w:spacing w:after="0"/>
              <w:rPr>
                <w:sz w:val="1"/>
                <w:szCs w:val="1"/>
                <w:color w:val="auto"/>
              </w:rPr>
            </w:pPr>
          </w:p>
        </w:tc>
      </w:tr>
      <w:tr>
        <w:trPr>
          <w:trHeight w:val="143"/>
        </w:trPr>
        <w:tc>
          <w:tcPr>
            <w:tcW w:w="3660" w:type="dxa"/>
            <w:vAlign w:val="bottom"/>
          </w:tcPr>
          <w:p>
            <w:pPr>
              <w:ind w:left="20"/>
              <w:spacing w:after="0" w:line="143" w:lineRule="exact"/>
              <w:rPr>
                <w:sz w:val="20"/>
                <w:szCs w:val="20"/>
                <w:color w:val="auto"/>
              </w:rPr>
            </w:pPr>
            <w:r>
              <w:rPr>
                <w:rFonts w:ascii="Arial" w:cs="Arial" w:eastAsia="Arial" w:hAnsi="Arial"/>
                <w:sz w:val="14"/>
                <w:szCs w:val="14"/>
                <w:color w:val="auto"/>
              </w:rPr>
              <w:t>Shares of Class A common stock issued and donated to</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22,102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1,047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188"/>
        </w:trPr>
        <w:tc>
          <w:tcPr>
            <w:tcW w:w="3660" w:type="dxa"/>
            <w:vAlign w:val="bottom"/>
          </w:tcPr>
          <w:p>
            <w:pPr>
              <w:ind w:left="180"/>
              <w:spacing w:after="0"/>
              <w:rPr>
                <w:sz w:val="20"/>
                <w:szCs w:val="20"/>
                <w:color w:val="auto"/>
              </w:rPr>
            </w:pPr>
            <w:r>
              <w:rPr>
                <w:rFonts w:ascii="Arial" w:cs="Arial" w:eastAsia="Arial" w:hAnsi="Arial"/>
                <w:sz w:val="14"/>
                <w:szCs w:val="14"/>
                <w:color w:val="auto"/>
              </w:rPr>
              <w:t>charity</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8,605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8,605</w:t>
            </w:r>
          </w:p>
        </w:tc>
        <w:tc>
          <w:tcPr>
            <w:tcW w:w="0" w:type="dxa"/>
            <w:vAlign w:val="bottom"/>
          </w:tcPr>
          <w:p>
            <w:pPr>
              <w:spacing w:after="0"/>
              <w:rPr>
                <w:sz w:val="1"/>
                <w:szCs w:val="1"/>
                <w:color w:val="auto"/>
              </w:rPr>
            </w:pPr>
          </w:p>
        </w:tc>
      </w:tr>
      <w:tr>
        <w:trPr>
          <w:trHeight w:val="143"/>
        </w:trPr>
        <w:tc>
          <w:tcPr>
            <w:tcW w:w="3660" w:type="dxa"/>
            <w:vAlign w:val="bottom"/>
          </w:tcPr>
          <w:p>
            <w:pPr>
              <w:ind w:left="20"/>
              <w:spacing w:after="0" w:line="143" w:lineRule="exact"/>
              <w:rPr>
                <w:sz w:val="20"/>
                <w:szCs w:val="20"/>
                <w:color w:val="auto"/>
              </w:rPr>
            </w:pPr>
            <w:r>
              <w:rPr>
                <w:rFonts w:ascii="Arial" w:cs="Arial" w:eastAsia="Arial" w:hAnsi="Arial"/>
                <w:sz w:val="14"/>
                <w:szCs w:val="14"/>
                <w:color w:val="auto"/>
                <w:w w:val="99"/>
              </w:rPr>
              <w:t>Repurchases of shares of Class A common stock including</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(6,374,327)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w w:val="99"/>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(373,141)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(373,147)</w:t>
            </w:r>
          </w:p>
        </w:tc>
        <w:tc>
          <w:tcPr>
            <w:tcW w:w="0" w:type="dxa"/>
            <w:vAlign w:val="bottom"/>
          </w:tcPr>
          <w:p>
            <w:pPr>
              <w:spacing w:after="0"/>
              <w:rPr>
                <w:sz w:val="1"/>
                <w:szCs w:val="1"/>
                <w:color w:val="auto"/>
              </w:rPr>
            </w:pPr>
          </w:p>
        </w:tc>
      </w:tr>
      <w:tr>
        <w:trPr>
          <w:trHeight w:val="188"/>
        </w:trPr>
        <w:tc>
          <w:tcPr>
            <w:tcW w:w="3660" w:type="dxa"/>
            <w:vAlign w:val="bottom"/>
          </w:tcPr>
          <w:p>
            <w:pPr>
              <w:ind w:left="180"/>
              <w:spacing w:after="0"/>
              <w:rPr>
                <w:sz w:val="20"/>
                <w:szCs w:val="20"/>
                <w:color w:val="auto"/>
              </w:rPr>
            </w:pPr>
            <w:r>
              <w:rPr>
                <w:rFonts w:ascii="Arial" w:cs="Arial" w:eastAsia="Arial" w:hAnsi="Arial"/>
                <w:sz w:val="14"/>
                <w:szCs w:val="14"/>
                <w:color w:val="auto"/>
              </w:rPr>
              <w:t>related costs</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3"/>
        </w:trPr>
        <w:tc>
          <w:tcPr>
            <w:tcW w:w="3660" w:type="dxa"/>
            <w:vAlign w:val="bottom"/>
          </w:tcPr>
          <w:p>
            <w:pPr>
              <w:ind w:left="20"/>
              <w:spacing w:after="0" w:line="143" w:lineRule="exact"/>
              <w:rPr>
                <w:sz w:val="20"/>
                <w:szCs w:val="20"/>
                <w:color w:val="auto"/>
              </w:rPr>
            </w:pPr>
            <w:r>
              <w:rPr>
                <w:rFonts w:ascii="Arial" w:cs="Arial" w:eastAsia="Arial" w:hAnsi="Arial"/>
                <w:sz w:val="14"/>
                <w:szCs w:val="14"/>
                <w:color w:val="auto"/>
              </w:rPr>
              <w:t>Net change in market value of effective foreign currency</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w w:val="99"/>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(2,167)</w:t>
            </w:r>
          </w:p>
        </w:tc>
        <w:tc>
          <w:tcPr>
            <w:tcW w:w="0" w:type="dxa"/>
            <w:vAlign w:val="bottom"/>
          </w:tcPr>
          <w:p>
            <w:pPr>
              <w:spacing w:after="0"/>
              <w:rPr>
                <w:sz w:val="1"/>
                <w:szCs w:val="1"/>
                <w:color w:val="auto"/>
              </w:rPr>
            </w:pPr>
          </w:p>
        </w:tc>
      </w:tr>
      <w:tr>
        <w:trPr>
          <w:trHeight w:val="188"/>
        </w:trPr>
        <w:tc>
          <w:tcPr>
            <w:tcW w:w="3660" w:type="dxa"/>
            <w:vAlign w:val="bottom"/>
          </w:tcPr>
          <w:p>
            <w:pPr>
              <w:ind w:left="180"/>
              <w:spacing w:after="0"/>
              <w:rPr>
                <w:sz w:val="20"/>
                <w:szCs w:val="20"/>
                <w:color w:val="auto"/>
              </w:rPr>
            </w:pPr>
            <w:r>
              <w:rPr>
                <w:rFonts w:ascii="Arial" w:cs="Arial" w:eastAsia="Arial" w:hAnsi="Arial"/>
                <w:sz w:val="14"/>
                <w:szCs w:val="14"/>
                <w:color w:val="auto"/>
              </w:rPr>
              <w:t>forward exchange contracts</w:t>
            </w: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 of other comprehensive income from equity method</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5,146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5,146</w:t>
            </w: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w:t>
            </w: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center"/>
              <w:ind w:left="108"/>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159,253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159,253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 restructuring</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2023</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181,174,616</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181</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9"/>
              </w:rPr>
              <w:t>—</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5"/>
              </w:rPr>
              <w:t>$ 14,418,946</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(60,275)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(4,382,293)</w:t>
            </w:r>
          </w:p>
        </w:tc>
        <w:tc>
          <w:tcPr>
            <w:tcW w:w="8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9,976,559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26"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TWILIO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68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5"/>
            <w:vMerge w:val="continue"/>
          </w:tcPr>
          <w:p>
            <w:pPr>
              <w:spacing w:after="0"/>
              <w:rPr>
                <w:sz w:val="7"/>
                <w:szCs w:val="7"/>
                <w:color w:val="auto"/>
              </w:rPr>
            </w:pPr>
          </w:p>
        </w:tc>
        <w:tc>
          <w:tcPr>
            <w:tcW w:w="960" w:type="dxa"/>
            <w:vAlign w:val="bottom"/>
            <w:gridSpan w:val="2"/>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7"/>
                <w:szCs w:val="7"/>
                <w:color w:val="auto"/>
              </w:rPr>
            </w:pPr>
          </w:p>
        </w:tc>
        <w:tc>
          <w:tcPr>
            <w:tcW w:w="104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restart"/>
          </w:tcPr>
          <w:p>
            <w:pPr>
              <w:jc w:val="center"/>
              <w:ind w:right="128"/>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3"/>
        </w:trPr>
        <w:tc>
          <w:tcPr>
            <w:tcW w:w="3680" w:type="dxa"/>
            <w:vAlign w:val="bottom"/>
          </w:tcPr>
          <w:p>
            <w:pPr>
              <w:spacing w:after="0"/>
              <w:rPr>
                <w:sz w:val="5"/>
                <w:szCs w:val="5"/>
                <w:color w:val="auto"/>
              </w:rPr>
            </w:pPr>
          </w:p>
        </w:tc>
        <w:tc>
          <w:tcPr>
            <w:tcW w:w="130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Class A</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89"/>
              </w:rPr>
              <w:t>Class B</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bottom w:val="single" w:sz="8" w:color="auto"/>
            </w:tcBorders>
            <w:gridSpan w:val="3"/>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0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(Loss) Income</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8"/>
        </w:trPr>
        <w:tc>
          <w:tcPr>
            <w:tcW w:w="36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2023</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181,174,616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5"/>
              </w:rPr>
              <w:t>$ 14,418,946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(60,275)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(4,382,293)</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9,976,559</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80" w:type="dxa"/>
            <w:vAlign w:val="bottom"/>
            <w:vMerge w:val="continue"/>
          </w:tcPr>
          <w:p>
            <w:pPr>
              <w:spacing w:after="0"/>
              <w:rPr>
                <w:sz w:val="13"/>
                <w:szCs w:val="13"/>
                <w:color w:val="auto"/>
              </w:rPr>
            </w:pPr>
          </w:p>
        </w:tc>
        <w:tc>
          <w:tcPr>
            <w:tcW w:w="94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tcBorders>
              <w:top w:val="single" w:sz="8" w:color="auto"/>
            </w:tcBorders>
          </w:tcPr>
          <w:p>
            <w:pPr>
              <w:ind w:left="56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ind w:left="32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(141,707)</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(141,707)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100,000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82"/>
        </w:trPr>
        <w:tc>
          <w:tcPr>
            <w:tcW w:w="368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1,669,596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Value of equity awards withheld for tax liability</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3"/>
        </w:trPr>
        <w:tc>
          <w:tcPr>
            <w:tcW w:w="3680" w:type="dxa"/>
            <w:vAlign w:val="bottom"/>
          </w:tcPr>
          <w:p>
            <w:pPr>
              <w:ind w:left="20"/>
              <w:spacing w:after="0" w:line="143" w:lineRule="exact"/>
              <w:rPr>
                <w:sz w:val="20"/>
                <w:szCs w:val="20"/>
                <w:color w:val="auto"/>
              </w:rPr>
            </w:pPr>
            <w:r>
              <w:rPr>
                <w:rFonts w:ascii="Arial" w:cs="Arial" w:eastAsia="Arial" w:hAnsi="Arial"/>
                <w:sz w:val="14"/>
                <w:szCs w:val="14"/>
                <w:color w:val="auto"/>
              </w:rPr>
              <w:t>Shares of Class A common stock issued and donated to</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22,102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1,339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188"/>
        </w:trPr>
        <w:tc>
          <w:tcPr>
            <w:tcW w:w="3680" w:type="dxa"/>
            <w:vAlign w:val="bottom"/>
          </w:tcPr>
          <w:p>
            <w:pPr>
              <w:ind w:left="180"/>
              <w:spacing w:after="0"/>
              <w:rPr>
                <w:sz w:val="20"/>
                <w:szCs w:val="20"/>
                <w:color w:val="auto"/>
              </w:rPr>
            </w:pPr>
            <w:r>
              <w:rPr>
                <w:rFonts w:ascii="Arial" w:cs="Arial" w:eastAsia="Arial" w:hAnsi="Arial"/>
                <w:sz w:val="14"/>
                <w:szCs w:val="14"/>
                <w:color w:val="auto"/>
              </w:rPr>
              <w:t>charity</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13,921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13,921</w:t>
            </w:r>
          </w:p>
        </w:tc>
        <w:tc>
          <w:tcPr>
            <w:tcW w:w="0" w:type="dxa"/>
            <w:vAlign w:val="bottom"/>
          </w:tcPr>
          <w:p>
            <w:pPr>
              <w:spacing w:after="0"/>
              <w:rPr>
                <w:sz w:val="1"/>
                <w:szCs w:val="1"/>
                <w:color w:val="auto"/>
              </w:rPr>
            </w:pPr>
          </w:p>
        </w:tc>
      </w:tr>
      <w:tr>
        <w:trPr>
          <w:trHeight w:val="143"/>
        </w:trPr>
        <w:tc>
          <w:tcPr>
            <w:tcW w:w="3680" w:type="dxa"/>
            <w:vAlign w:val="bottom"/>
          </w:tcPr>
          <w:p>
            <w:pPr>
              <w:ind w:left="20"/>
              <w:spacing w:after="0" w:line="143" w:lineRule="exact"/>
              <w:rPr>
                <w:sz w:val="20"/>
                <w:szCs w:val="20"/>
                <w:color w:val="auto"/>
              </w:rPr>
            </w:pPr>
            <w:r>
              <w:rPr>
                <w:rFonts w:ascii="Arial" w:cs="Arial" w:eastAsia="Arial" w:hAnsi="Arial"/>
                <w:sz w:val="14"/>
                <w:szCs w:val="14"/>
                <w:color w:val="auto"/>
                <w:w w:val="99"/>
              </w:rPr>
              <w:t>Repurchases of shares of Class A common stock including</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(899,799)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(54,962)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(54,963)</w:t>
            </w:r>
          </w:p>
        </w:tc>
        <w:tc>
          <w:tcPr>
            <w:tcW w:w="0" w:type="dxa"/>
            <w:vAlign w:val="bottom"/>
          </w:tcPr>
          <w:p>
            <w:pPr>
              <w:spacing w:after="0"/>
              <w:rPr>
                <w:sz w:val="1"/>
                <w:szCs w:val="1"/>
                <w:color w:val="auto"/>
              </w:rPr>
            </w:pPr>
          </w:p>
        </w:tc>
      </w:tr>
      <w:tr>
        <w:trPr>
          <w:trHeight w:val="188"/>
        </w:trPr>
        <w:tc>
          <w:tcPr>
            <w:tcW w:w="3680" w:type="dxa"/>
            <w:vAlign w:val="bottom"/>
          </w:tcPr>
          <w:p>
            <w:pPr>
              <w:ind w:left="180"/>
              <w:spacing w:after="0"/>
              <w:rPr>
                <w:sz w:val="20"/>
                <w:szCs w:val="20"/>
                <w:color w:val="auto"/>
              </w:rPr>
            </w:pPr>
            <w:r>
              <w:rPr>
                <w:rFonts w:ascii="Arial" w:cs="Arial" w:eastAsia="Arial" w:hAnsi="Arial"/>
                <w:sz w:val="14"/>
                <w:szCs w:val="14"/>
                <w:color w:val="auto"/>
              </w:rPr>
              <w:t>related costs</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5,018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5,018</w:t>
            </w:r>
          </w:p>
        </w:tc>
        <w:tc>
          <w:tcPr>
            <w:tcW w:w="0" w:type="dxa"/>
            <w:vAlign w:val="bottom"/>
          </w:tcPr>
          <w:p>
            <w:pPr>
              <w:spacing w:after="0"/>
              <w:rPr>
                <w:sz w:val="1"/>
                <w:szCs w:val="1"/>
                <w:color w:val="auto"/>
              </w:rPr>
            </w:pPr>
          </w:p>
        </w:tc>
      </w:tr>
      <w:tr>
        <w:trPr>
          <w:trHeight w:val="143"/>
        </w:trPr>
        <w:tc>
          <w:tcPr>
            <w:tcW w:w="3680" w:type="dxa"/>
            <w:vAlign w:val="bottom"/>
          </w:tcPr>
          <w:p>
            <w:pPr>
              <w:ind w:left="20"/>
              <w:spacing w:after="0" w:line="143" w:lineRule="exact"/>
              <w:rPr>
                <w:sz w:val="20"/>
                <w:szCs w:val="20"/>
                <w:color w:val="auto"/>
              </w:rPr>
            </w:pPr>
            <w:r>
              <w:rPr>
                <w:rFonts w:ascii="Arial" w:cs="Arial" w:eastAsia="Arial" w:hAnsi="Arial"/>
                <w:sz w:val="14"/>
                <w:szCs w:val="14"/>
                <w:color w:val="auto"/>
              </w:rPr>
              <w:t>Net change in market value of effective foreign currency</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(8,626)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(8,626)</w:t>
            </w:r>
          </w:p>
        </w:tc>
        <w:tc>
          <w:tcPr>
            <w:tcW w:w="0" w:type="dxa"/>
            <w:vAlign w:val="bottom"/>
          </w:tcPr>
          <w:p>
            <w:pPr>
              <w:spacing w:after="0"/>
              <w:rPr>
                <w:sz w:val="1"/>
                <w:szCs w:val="1"/>
                <w:color w:val="auto"/>
              </w:rPr>
            </w:pPr>
          </w:p>
        </w:tc>
      </w:tr>
      <w:tr>
        <w:trPr>
          <w:trHeight w:val="188"/>
        </w:trPr>
        <w:tc>
          <w:tcPr>
            <w:tcW w:w="3680" w:type="dxa"/>
            <w:vAlign w:val="bottom"/>
          </w:tcPr>
          <w:p>
            <w:pPr>
              <w:ind w:left="180"/>
              <w:spacing w:after="0"/>
              <w:rPr>
                <w:sz w:val="20"/>
                <w:szCs w:val="20"/>
                <w:color w:val="auto"/>
              </w:rPr>
            </w:pPr>
            <w:r>
              <w:rPr>
                <w:rFonts w:ascii="Arial" w:cs="Arial" w:eastAsia="Arial" w:hAnsi="Arial"/>
                <w:sz w:val="14"/>
                <w:szCs w:val="14"/>
                <w:color w:val="auto"/>
              </w:rPr>
              <w:t>forward exchange contracts</w:t>
            </w: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 of other comprehensive loss from equity method</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(2,764)</w:t>
            </w:r>
          </w:p>
        </w:tc>
        <w:tc>
          <w:tcPr>
            <w:tcW w:w="0" w:type="dxa"/>
            <w:vAlign w:val="bottom"/>
          </w:tcPr>
          <w:p>
            <w:pPr>
              <w:spacing w:after="0"/>
              <w:rPr>
                <w:sz w:val="1"/>
                <w:szCs w:val="1"/>
                <w:color w:val="auto"/>
              </w:rPr>
            </w:pPr>
          </w:p>
        </w:tc>
      </w:tr>
      <w:tr>
        <w:trPr>
          <w:trHeight w:val="194"/>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w:t>
            </w:r>
          </w:p>
        </w:tc>
        <w:tc>
          <w:tcPr>
            <w:tcW w:w="10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189,293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189,293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 restructuring</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96"/>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Balance as of September 30, 2023</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182,066,098</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5"/>
              </w:rPr>
              <w:t>$ 14,610,887</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(52,726)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(4,578,962)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9,979,381</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26"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TWILIO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restart"/>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7"/>
                <w:szCs w:val="7"/>
                <w:color w:val="auto"/>
              </w:rPr>
            </w:pPr>
          </w:p>
        </w:tc>
        <w:tc>
          <w:tcPr>
            <w:tcW w:w="104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restart"/>
          </w:tcPr>
          <w:p>
            <w:pPr>
              <w:jc w:val="center"/>
              <w:ind w:right="128"/>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3"/>
        </w:trPr>
        <w:tc>
          <w:tcPr>
            <w:tcW w:w="3660" w:type="dxa"/>
            <w:vAlign w:val="bottom"/>
          </w:tcPr>
          <w:p>
            <w:pPr>
              <w:spacing w:after="0"/>
              <w:rPr>
                <w:sz w:val="5"/>
                <w:szCs w:val="5"/>
                <w:color w:val="auto"/>
              </w:rPr>
            </w:pPr>
          </w:p>
        </w:tc>
        <w:tc>
          <w:tcPr>
            <w:tcW w:w="132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Class A</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Class B</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32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0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9"/>
        </w:trPr>
        <w:tc>
          <w:tcPr>
            <w:tcW w:w="3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170,625,994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168</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9,842,105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6"/>
              </w:rPr>
              <w:t>13,169,118</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(18,141)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(2,119,691)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11,031,466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(221,627)</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(221,627)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180,643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193,889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11,727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11,727</w:t>
            </w: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877,089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Value of equity awards withheld for tax liability</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43"/>
        </w:trPr>
        <w:tc>
          <w:tcPr>
            <w:tcW w:w="3660" w:type="dxa"/>
            <w:vAlign w:val="bottom"/>
          </w:tcPr>
          <w:p>
            <w:pPr>
              <w:ind w:left="20"/>
              <w:spacing w:after="0" w:line="143" w:lineRule="exact"/>
              <w:rPr>
                <w:sz w:val="20"/>
                <w:szCs w:val="20"/>
                <w:color w:val="auto"/>
              </w:rPr>
            </w:pPr>
            <w:r>
              <w:rPr>
                <w:rFonts w:ascii="Arial" w:cs="Arial" w:eastAsia="Arial" w:hAnsi="Arial"/>
                <w:sz w:val="14"/>
                <w:szCs w:val="14"/>
                <w:color w:val="auto"/>
                <w:w w:val="94"/>
              </w:rPr>
              <w:t>Conversion of shares of Class B common stock into shares of</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215,389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(215,389)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66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Shares of Class A common stock issued and donated to</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22,102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4,232</w:t>
            </w: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charity</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Shares returned from escrow</w:t>
            </w:r>
          </w:p>
        </w:tc>
        <w:tc>
          <w:tcPr>
            <w:tcW w:w="940" w:type="dxa"/>
            <w:vAlign w:val="bottom"/>
          </w:tcPr>
          <w:p>
            <w:pPr>
              <w:jc w:val="right"/>
              <w:spacing w:after="0"/>
              <w:rPr>
                <w:sz w:val="20"/>
                <w:szCs w:val="20"/>
                <w:color w:val="auto"/>
              </w:rPr>
            </w:pPr>
            <w:r>
              <w:rPr>
                <w:rFonts w:ascii="Arial" w:cs="Arial" w:eastAsia="Arial" w:hAnsi="Arial"/>
                <w:sz w:val="14"/>
                <w:szCs w:val="14"/>
                <w:color w:val="auto"/>
              </w:rPr>
              <w:t>(152,239)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(62,826)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(62,826)</w:t>
            </w: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change in market value of effective foreign currency</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(3,852)</w:t>
            </w: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forward exchange contracts</w:t>
            </w: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159,930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159,930</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171,763,174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169</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9,820,605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6"/>
              </w:rPr>
              <w:t>13,343,554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(84,984)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(2,341,318)</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10,917,433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(322,769)</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(322,769)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98,111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77,732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5,649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5,649</w:t>
            </w: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4"/>
                <w:szCs w:val="14"/>
                <w:color w:val="auto"/>
              </w:rPr>
              <w:t>1,049,640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Value of equity awards withheld for tax liability</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3"/>
        </w:trPr>
        <w:tc>
          <w:tcPr>
            <w:tcW w:w="3660" w:type="dxa"/>
            <w:vAlign w:val="bottom"/>
          </w:tcPr>
          <w:p>
            <w:pPr>
              <w:ind w:left="20"/>
              <w:spacing w:after="0" w:line="143" w:lineRule="exact"/>
              <w:rPr>
                <w:sz w:val="20"/>
                <w:szCs w:val="20"/>
                <w:color w:val="auto"/>
              </w:rPr>
            </w:pPr>
            <w:r>
              <w:rPr>
                <w:rFonts w:ascii="Arial" w:cs="Arial" w:eastAsia="Arial" w:hAnsi="Arial"/>
                <w:sz w:val="14"/>
                <w:szCs w:val="14"/>
                <w:color w:val="auto"/>
                <w:w w:val="94"/>
              </w:rPr>
              <w:t>Conversion of shares of Class B common stock into shares of</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80,732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(80,732)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66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issued under ESPP</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258,221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24,317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24,318</w:t>
            </w:r>
          </w:p>
        </w:tc>
        <w:tc>
          <w:tcPr>
            <w:tcW w:w="0" w:type="dxa"/>
            <w:vAlign w:val="bottom"/>
          </w:tcPr>
          <w:p>
            <w:pPr>
              <w:spacing w:after="0"/>
              <w:rPr>
                <w:sz w:val="1"/>
                <w:szCs w:val="1"/>
                <w:color w:val="auto"/>
              </w:rPr>
            </w:pPr>
          </w:p>
        </w:tc>
      </w:tr>
      <w:tr>
        <w:trPr>
          <w:trHeight w:val="143"/>
        </w:trPr>
        <w:tc>
          <w:tcPr>
            <w:tcW w:w="3660" w:type="dxa"/>
            <w:vAlign w:val="bottom"/>
          </w:tcPr>
          <w:p>
            <w:pPr>
              <w:ind w:left="20"/>
              <w:spacing w:after="0" w:line="143" w:lineRule="exact"/>
              <w:rPr>
                <w:sz w:val="20"/>
                <w:szCs w:val="20"/>
                <w:color w:val="auto"/>
              </w:rPr>
            </w:pPr>
            <w:r>
              <w:rPr>
                <w:rFonts w:ascii="Arial" w:cs="Arial" w:eastAsia="Arial" w:hAnsi="Arial"/>
                <w:sz w:val="14"/>
                <w:szCs w:val="14"/>
                <w:color w:val="auto"/>
              </w:rPr>
              <w:t>Shares of Class A common stock issued and donated to</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22,102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2,373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188"/>
        </w:trPr>
        <w:tc>
          <w:tcPr>
            <w:tcW w:w="3660" w:type="dxa"/>
            <w:vAlign w:val="bottom"/>
          </w:tcPr>
          <w:p>
            <w:pPr>
              <w:ind w:left="180"/>
              <w:spacing w:after="0"/>
              <w:rPr>
                <w:sz w:val="20"/>
                <w:szCs w:val="20"/>
                <w:color w:val="auto"/>
              </w:rPr>
            </w:pPr>
            <w:r>
              <w:rPr>
                <w:rFonts w:ascii="Arial" w:cs="Arial" w:eastAsia="Arial" w:hAnsi="Arial"/>
                <w:sz w:val="14"/>
                <w:szCs w:val="14"/>
                <w:color w:val="auto"/>
              </w:rPr>
              <w:t>charity</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(19,022)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(19,022)</w:t>
            </w: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change in market value of effective foreign currency</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(11,106)</w:t>
            </w: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forward exchange contracts</w:t>
            </w: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247,412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247,412</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173,271,942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171</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9,817,605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6"/>
              </w:rPr>
              <w:t>13,623,300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(117,401)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(2,664,087)</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10,841,995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26"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TWILIO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960" w:type="dxa"/>
            <w:vAlign w:val="bottom"/>
            <w:gridSpan w:val="2"/>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4"/>
                <w:szCs w:val="4"/>
                <w:color w:val="auto"/>
              </w:rPr>
            </w:pPr>
          </w:p>
        </w:tc>
        <w:tc>
          <w:tcPr>
            <w:tcW w:w="104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restart"/>
          </w:tcPr>
          <w:p>
            <w:pPr>
              <w:jc w:val="center"/>
              <w:ind w:right="128"/>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0"/>
        </w:trPr>
        <w:tc>
          <w:tcPr>
            <w:tcW w:w="3660" w:type="dxa"/>
            <w:vAlign w:val="bottom"/>
          </w:tcPr>
          <w:p>
            <w:pPr>
              <w:spacing w:after="0"/>
              <w:rPr>
                <w:sz w:val="7"/>
                <w:szCs w:val="7"/>
                <w:color w:val="auto"/>
              </w:rPr>
            </w:pPr>
          </w:p>
        </w:tc>
        <w:tc>
          <w:tcPr>
            <w:tcW w:w="132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Class A</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Class B</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32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auto"/>
            </w:tcBorders>
            <w:gridSpan w:val="3"/>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680" w:type="dxa"/>
            <w:vAlign w:val="bottom"/>
            <w:tcBorders>
              <w:bottom w:val="single" w:sz="8" w:color="auto"/>
            </w:tcBorders>
            <w:gridSpan w:val="3"/>
            <w:vMerge w:val="continue"/>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740" w:type="dxa"/>
            <w:vAlign w:val="bottom"/>
            <w:tcBorders>
              <w:bottom w:val="single" w:sz="8" w:color="auto"/>
            </w:tcBorders>
            <w:gridSpan w:val="3"/>
            <w:vMerge w:val="continue"/>
          </w:tcPr>
          <w:p>
            <w:pPr>
              <w:spacing w:after="0"/>
              <w:rPr>
                <w:sz w:val="17"/>
                <w:szCs w:val="17"/>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8"/>
        </w:trPr>
        <w:tc>
          <w:tcPr>
            <w:tcW w:w="3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173,271,942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171</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9,817,605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5"/>
              </w:rPr>
              <w:t>$ 13,623,300</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(117,401)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(2,664,087)</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10,841,995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tcBorders>
              <w:top w:val="single" w:sz="8" w:color="CCEEFF"/>
            </w:tcBorders>
            <w:vMerge w:val="continue"/>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(482,327)</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(482,327)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38,368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35,187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2,056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2,056</w:t>
            </w: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1,115,248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Value of equity awards withheld for tax liability</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3"/>
        </w:trPr>
        <w:tc>
          <w:tcPr>
            <w:tcW w:w="3660" w:type="dxa"/>
            <w:vAlign w:val="bottom"/>
          </w:tcPr>
          <w:p>
            <w:pPr>
              <w:ind w:left="20"/>
              <w:spacing w:after="0" w:line="143" w:lineRule="exact"/>
              <w:rPr>
                <w:sz w:val="20"/>
                <w:szCs w:val="20"/>
                <w:color w:val="auto"/>
              </w:rPr>
            </w:pPr>
            <w:r>
              <w:rPr>
                <w:rFonts w:ascii="Arial" w:cs="Arial" w:eastAsia="Arial" w:hAnsi="Arial"/>
                <w:sz w:val="14"/>
                <w:szCs w:val="14"/>
                <w:color w:val="auto"/>
                <w:w w:val="94"/>
              </w:rPr>
              <w:t>Conversion of shares of Class B common stock into shares of</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35,187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(35,187)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66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Shares of Class A common stock issued and donated to</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22,102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1,911</w:t>
            </w: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charity</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(22,151)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0" w:type="dxa"/>
            <w:vAlign w:val="bottom"/>
          </w:tcPr>
          <w:p>
            <w:pPr>
              <w:spacing w:after="0"/>
              <w:rPr>
                <w:sz w:val="1"/>
                <w:szCs w:val="1"/>
                <w:color w:val="auto"/>
              </w:rPr>
            </w:pPr>
          </w:p>
        </w:tc>
      </w:tr>
      <w:tr>
        <w:trPr>
          <w:trHeight w:val="143"/>
        </w:trPr>
        <w:tc>
          <w:tcPr>
            <w:tcW w:w="3660" w:type="dxa"/>
            <w:vAlign w:val="bottom"/>
          </w:tcPr>
          <w:p>
            <w:pPr>
              <w:ind w:left="20"/>
              <w:spacing w:after="0" w:line="143" w:lineRule="exact"/>
              <w:rPr>
                <w:sz w:val="20"/>
                <w:szCs w:val="20"/>
                <w:color w:val="auto"/>
              </w:rPr>
            </w:pPr>
            <w:r>
              <w:rPr>
                <w:rFonts w:ascii="Arial" w:cs="Arial" w:eastAsia="Arial" w:hAnsi="Arial"/>
                <w:sz w:val="14"/>
                <w:szCs w:val="14"/>
                <w:color w:val="auto"/>
              </w:rPr>
              <w:t>Net change in market value of effective foreign currency</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(19,196)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(19,196)</w:t>
            </w:r>
          </w:p>
        </w:tc>
        <w:tc>
          <w:tcPr>
            <w:tcW w:w="0" w:type="dxa"/>
            <w:vAlign w:val="bottom"/>
          </w:tcPr>
          <w:p>
            <w:pPr>
              <w:spacing w:after="0"/>
              <w:rPr>
                <w:sz w:val="1"/>
                <w:szCs w:val="1"/>
                <w:color w:val="auto"/>
              </w:rPr>
            </w:pPr>
          </w:p>
        </w:tc>
      </w:tr>
      <w:tr>
        <w:trPr>
          <w:trHeight w:val="188"/>
        </w:trPr>
        <w:tc>
          <w:tcPr>
            <w:tcW w:w="3660" w:type="dxa"/>
            <w:vAlign w:val="bottom"/>
          </w:tcPr>
          <w:p>
            <w:pPr>
              <w:ind w:left="180"/>
              <w:spacing w:after="0"/>
              <w:rPr>
                <w:sz w:val="20"/>
                <w:szCs w:val="20"/>
                <w:color w:val="auto"/>
              </w:rPr>
            </w:pPr>
            <w:r>
              <w:rPr>
                <w:rFonts w:ascii="Arial" w:cs="Arial" w:eastAsia="Arial" w:hAnsi="Arial"/>
                <w:sz w:val="14"/>
                <w:szCs w:val="14"/>
                <w:color w:val="auto"/>
              </w:rPr>
              <w:t>forward exchange contracts</w:t>
            </w: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 of other comprehensive loss from equity method</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(4,243)</w:t>
            </w: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w:t>
            </w:r>
          </w:p>
        </w:tc>
        <w:tc>
          <w:tcPr>
            <w:tcW w:w="102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199,772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199,772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 restructuring</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15,274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15,274</w:t>
            </w:r>
          </w:p>
        </w:tc>
        <w:tc>
          <w:tcPr>
            <w:tcW w:w="0" w:type="dxa"/>
            <w:vAlign w:val="bottom"/>
          </w:tcPr>
          <w:p>
            <w:pPr>
              <w:spacing w:after="0"/>
              <w:rPr>
                <w:sz w:val="1"/>
                <w:szCs w:val="1"/>
                <w:color w:val="auto"/>
              </w:rPr>
            </w:pP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174,482,722</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172</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9,817,605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5"/>
              </w:rPr>
              <w:t>$ 13,842,301</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(165,183)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(3,146,414)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10,530,888</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26"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TWILIO INC</w:t>
      </w:r>
      <w:r>
        <w:rPr>
          <w:rFonts w:ascii="Arial" w:cs="Arial" w:eastAsia="Arial" w:hAnsi="Arial"/>
          <w:sz w:val="14"/>
          <w:szCs w:val="14"/>
          <w:b w:val="1"/>
          <w:bCs w:val="1"/>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4"/>
              </w:rPr>
              <w:t>Nine Months Ended</w:t>
            </w:r>
          </w:p>
        </w:tc>
      </w:tr>
      <w:tr>
        <w:trPr>
          <w:trHeight w:val="203"/>
        </w:trPr>
        <w:tc>
          <w:tcPr>
            <w:tcW w:w="8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8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9"/>
        </w:trPr>
        <w:tc>
          <w:tcPr>
            <w:tcW w:w="8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89"/>
        </w:trPr>
        <w:tc>
          <w:tcPr>
            <w:tcW w:w="850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center"/>
              <w:ind w:left="448"/>
              <w:spacing w:after="0"/>
              <w:rPr>
                <w:sz w:val="20"/>
                <w:szCs w:val="20"/>
                <w:color w:val="auto"/>
              </w:rPr>
            </w:pPr>
            <w:r>
              <w:rPr>
                <w:rFonts w:ascii="Arial" w:cs="Arial" w:eastAsia="Arial" w:hAnsi="Arial"/>
                <w:sz w:val="13"/>
                <w:szCs w:val="13"/>
                <w:color w:val="auto"/>
                <w:w w:val="86"/>
              </w:rPr>
              <w:t>(In thousands)</w:t>
            </w:r>
          </w:p>
        </w:tc>
        <w:tc>
          <w:tcPr>
            <w:tcW w:w="740" w:type="dxa"/>
            <w:vAlign w:val="bottom"/>
            <w:shd w:val="clear" w:color="auto" w:fill="CCEEFF"/>
          </w:tcPr>
          <w:p>
            <w:pPr>
              <w:spacing w:after="0"/>
              <w:rPr>
                <w:sz w:val="16"/>
                <w:szCs w:val="16"/>
                <w:color w:val="auto"/>
              </w:rPr>
            </w:pPr>
          </w:p>
        </w:tc>
      </w:tr>
      <w:tr>
        <w:trPr>
          <w:trHeight w:val="182"/>
        </w:trPr>
        <w:tc>
          <w:tcPr>
            <w:tcW w:w="8500" w:type="dxa"/>
            <w:vAlign w:val="bottom"/>
          </w:tcPr>
          <w:p>
            <w:pPr>
              <w:spacing w:after="0"/>
              <w:rPr>
                <w:sz w:val="20"/>
                <w:szCs w:val="20"/>
                <w:color w:val="auto"/>
              </w:rPr>
            </w:pPr>
            <w:r>
              <w:rPr>
                <w:rFonts w:ascii="Arial" w:cs="Arial" w:eastAsia="Arial" w:hAnsi="Arial"/>
                <w:sz w:val="14"/>
                <w:szCs w:val="14"/>
                <w:color w:val="auto"/>
              </w:rPr>
              <w:t>Net loss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(650,033)</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7"/>
              </w:rPr>
              <w:t>(1,026,723)</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218,968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207,880</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Non-cash reduction to the right-of-use asset</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21,815</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38,669</w:t>
            </w: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Net amortization of investment premium and discount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4,403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27,900</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Impairment of long-lived assets due to office closures</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34,278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97,722</w:t>
            </w: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Stock-based compensation including restructuring</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509,367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606,260</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deferred commissions</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54,428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41,322</w:t>
            </w: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Unrealized loss on equity securities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9,750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Allowance for doubtful accounts</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41,454</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21,786</w:t>
            </w: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Value of shares of Class A common stock issued and donated to charity</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3,985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8,516</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Share of losses from equity method investment</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93,838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13,376</w:t>
            </w: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Loss on net assets divested</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32,277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Impairment of strategic investments</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46,154</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Other adjustments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3,166</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2"/>
        </w:trPr>
        <w:tc>
          <w:tcPr>
            <w:tcW w:w="850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(69,116)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(121,353)</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(56,506)</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(81,071)</w:t>
            </w:r>
          </w:p>
        </w:tc>
      </w:tr>
      <w:tr>
        <w:trPr>
          <w:trHeight w:val="182"/>
        </w:trPr>
        <w:tc>
          <w:tcPr>
            <w:tcW w:w="8500" w:type="dxa"/>
            <w:vAlign w:val="bottom"/>
          </w:tcPr>
          <w:p>
            <w:pPr>
              <w:ind w:left="340"/>
              <w:spacing w:after="0"/>
              <w:rPr>
                <w:sz w:val="20"/>
                <w:szCs w:val="20"/>
                <w:color w:val="auto"/>
              </w:rPr>
            </w:pPr>
            <w:r>
              <w:rPr>
                <w:rFonts w:ascii="Arial" w:cs="Arial" w:eastAsia="Arial" w:hAnsi="Arial"/>
                <w:sz w:val="14"/>
                <w:szCs w:val="14"/>
                <w:color w:val="auto"/>
              </w:rPr>
              <w:t>Other long-term assets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(15,367)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(111,662)</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11,585</w:t>
            </w:r>
          </w:p>
        </w:tc>
      </w:tr>
      <w:tr>
        <w:trPr>
          <w:trHeight w:val="182"/>
        </w:trPr>
        <w:tc>
          <w:tcPr>
            <w:tcW w:w="8500" w:type="dxa"/>
            <w:vAlign w:val="bottom"/>
          </w:tcPr>
          <w:p>
            <w:pPr>
              <w:ind w:left="34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(59,677)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122,408</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revenue and customer deposits</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(6,206)</w:t>
            </w:r>
          </w:p>
        </w:tc>
      </w:tr>
      <w:tr>
        <w:trPr>
          <w:trHeight w:val="182"/>
        </w:trPr>
        <w:tc>
          <w:tcPr>
            <w:tcW w:w="8500" w:type="dxa"/>
            <w:vAlign w:val="bottom"/>
          </w:tcPr>
          <w:p>
            <w:pPr>
              <w:ind w:left="340"/>
              <w:spacing w:after="0"/>
              <w:rPr>
                <w:sz w:val="20"/>
                <w:szCs w:val="20"/>
                <w:color w:val="auto"/>
              </w:rPr>
            </w:pPr>
            <w:r>
              <w:rPr>
                <w:rFonts w:ascii="Arial" w:cs="Arial" w:eastAsia="Arial" w:hAnsi="Arial"/>
                <w:sz w:val="14"/>
                <w:szCs w:val="14"/>
                <w:color w:val="auto"/>
              </w:rPr>
              <w:t>Operating lease liabilities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(41,446)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(42,158)</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2"/>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(7,330)</w:t>
            </w:r>
          </w:p>
        </w:tc>
      </w:tr>
      <w:tr>
        <w:trPr>
          <w:trHeight w:val="176"/>
        </w:trPr>
        <w:tc>
          <w:tcPr>
            <w:tcW w:w="8500" w:type="dxa"/>
            <w:vAlign w:val="bottom"/>
          </w:tcPr>
          <w:p>
            <w:pPr>
              <w:ind w:left="46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192,207</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(195,913)</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2"/>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Acquisitions, net of cash acquired and payments related to prior period acquisitions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(5,770)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(32,853)</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Divestitures, net of cash divested</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38,194</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Purchases of marketable securities and other investments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(1,391,975)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7"/>
              </w:rPr>
              <w:t>(1,650,759)</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Proceeds from sales and maturities of marketable securities</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1,764,841</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1,065,998</w:t>
            </w: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Capitalized software development costs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(30,526)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(35,905)</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Purchases of long-lived and intangible assets</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(9,019)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(28,634)</w:t>
            </w:r>
          </w:p>
        </w:tc>
      </w:tr>
      <w:tr>
        <w:trPr>
          <w:trHeight w:val="176"/>
        </w:trPr>
        <w:tc>
          <w:tcPr>
            <w:tcW w:w="8500" w:type="dxa"/>
            <w:vAlign w:val="bottom"/>
          </w:tcPr>
          <w:p>
            <w:pPr>
              <w:ind w:left="340"/>
              <w:spacing w:after="0"/>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365,745</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(682,153)</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3"/>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Payments of costs related to public offerings</w:t>
            </w:r>
          </w:p>
        </w:tc>
        <w:tc>
          <w:tcPr>
            <w:tcW w:w="2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Principal payments on debt and finance leases</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(13,763)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(9,383)</w:t>
            </w: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Value of equity awards withheld for tax liabilities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(2,536)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(1,080)</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Repurchases of shares of Class A common stock and related costs</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(548,871)</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Proceeds from exercises of stock options and shares of Class A common stock issued under ESPP</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28,949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43,750</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6"/>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(536,221)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33,252</w:t>
            </w:r>
          </w:p>
        </w:tc>
      </w:tr>
      <w:tr>
        <w:trPr>
          <w:trHeight w:val="176"/>
        </w:trPr>
        <w:tc>
          <w:tcPr>
            <w:tcW w:w="8500" w:type="dxa"/>
            <w:vAlign w:val="bottom"/>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6"/>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21,839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(844,668)</w:t>
            </w:r>
          </w:p>
        </w:tc>
      </w:tr>
      <w:tr>
        <w:trPr>
          <w:trHeight w:val="182"/>
        </w:trPr>
        <w:tc>
          <w:tcPr>
            <w:tcW w:w="8500" w:type="dxa"/>
            <w:vAlign w:val="bottom"/>
          </w:tcPr>
          <w:p>
            <w:pPr>
              <w:spacing w:after="0"/>
              <w:rPr>
                <w:sz w:val="20"/>
                <w:szCs w:val="20"/>
                <w:color w:val="auto"/>
              </w:rPr>
            </w:pPr>
            <w:r>
              <w:rPr>
                <w:rFonts w:ascii="Arial" w:cs="Arial" w:eastAsia="Arial" w:hAnsi="Arial"/>
                <w:sz w:val="14"/>
                <w:szCs w:val="14"/>
                <w:color w:val="auto"/>
              </w:rPr>
              <w:t>CASH, CASH EQUIVALENTS AND RESTRICTED CASH—Beginning of period</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656,078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1,481,831</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677,917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637,163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8500" w:type="dxa"/>
            <w:vAlign w:val="bottom"/>
          </w:tcPr>
          <w:p>
            <w:pPr>
              <w:spacing w:after="0"/>
              <w:rPr>
                <w:sz w:val="20"/>
                <w:szCs w:val="20"/>
                <w:color w:val="auto"/>
              </w:rPr>
            </w:pPr>
            <w:r>
              <w:rPr>
                <w:rFonts w:ascii="Arial" w:cs="Arial" w:eastAsia="Arial" w:hAnsi="Arial"/>
                <w:sz w:val="14"/>
                <w:szCs w:val="14"/>
                <w:color w:val="auto"/>
              </w:rPr>
              <w:t>Cash paid for income taxes, net</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22,916</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5,481</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5"/>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for interest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38,216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37,500</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43"/>
        </w:trPr>
        <w:tc>
          <w:tcPr>
            <w:tcW w:w="8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RECONCILIATION OF CASH, CASH EQUIVALENTS AND RESTRICTED CASH TO THE CONDENSED CONSOLIDATED BALANCE</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94"/>
        </w:trPr>
        <w:tc>
          <w:tcPr>
            <w:tcW w:w="8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SHEETS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677,917</w:t>
            </w: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632,794</w:t>
            </w:r>
          </w:p>
        </w:tc>
      </w:tr>
      <w:tr>
        <w:trPr>
          <w:trHeight w:val="20"/>
        </w:trPr>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Restricted cash in other current assets</w:t>
            </w:r>
          </w:p>
        </w:tc>
        <w:tc>
          <w:tcPr>
            <w:tcW w:w="2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4,357</w:t>
            </w:r>
          </w:p>
        </w:tc>
      </w:tr>
      <w:tr>
        <w:trPr>
          <w:trHeight w:val="182"/>
        </w:trPr>
        <w:tc>
          <w:tcPr>
            <w:tcW w:w="8500" w:type="dxa"/>
            <w:vAlign w:val="bottom"/>
          </w:tcPr>
          <w:p>
            <w:pPr>
              <w:ind w:left="220"/>
              <w:spacing w:after="0"/>
              <w:rPr>
                <w:sz w:val="20"/>
                <w:szCs w:val="20"/>
                <w:color w:val="auto"/>
              </w:rPr>
            </w:pPr>
            <w:r>
              <w:rPr>
                <w:rFonts w:ascii="Arial" w:cs="Arial" w:eastAsia="Arial" w:hAnsi="Arial"/>
                <w:sz w:val="14"/>
                <w:szCs w:val="14"/>
                <w:color w:val="auto"/>
              </w:rPr>
              <w:t>Restricted cash in other long-term assets</w:t>
            </w:r>
          </w:p>
        </w:tc>
        <w:tc>
          <w:tcPr>
            <w:tcW w:w="2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1"/>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cash, cash equivalents and restricted cash</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677,917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637,163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80" w:top="445" w:right="5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TWILIO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Twilio Inc. (the “Company”) was incorporated in the state of Delaware on March 13, 2008. Today's leading companies trust Twilio's Customer Engagement Platform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spacing w:after="0" w:line="18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Company’s headquarters are located in San Francisco, California, and the Company has subsidiaries across North America, South America, Europe, Asia and Australia.</w:t>
      </w:r>
    </w:p>
    <w:p>
      <w:pPr>
        <w:spacing w:after="0" w:line="166"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1300" w:hanging="806"/>
        <w:spacing w:after="0"/>
        <w:tabs>
          <w:tab w:leader="none" w:pos="1300" w:val="left"/>
        </w:tabs>
        <w:numPr>
          <w:ilvl w:val="1"/>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27, 2023 (“Annual Report”).</w:t>
      </w:r>
    </w:p>
    <w:p>
      <w:pPr>
        <w:spacing w:after="0" w:line="192"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The condensed consolidated balance sheet as of December 31, 2022, included herein, was derived from the audited financial statements as of that date, but may not include all disclosures including certain notes required by U.S. GAAP on an annual reporting basis.</w:t>
      </w:r>
    </w:p>
    <w:p>
      <w:pPr>
        <w:spacing w:after="0" w:line="146"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2023 or any future period.</w:t>
      </w:r>
    </w:p>
    <w:p>
      <w:pPr>
        <w:spacing w:after="0" w:line="165" w:lineRule="exact"/>
        <w:rPr>
          <w:sz w:val="20"/>
          <w:szCs w:val="20"/>
          <w:color w:val="auto"/>
        </w:rPr>
      </w:pPr>
    </w:p>
    <w:p>
      <w:pPr>
        <w:ind w:left="1300" w:hanging="806"/>
        <w:spacing w:after="0"/>
        <w:tabs>
          <w:tab w:leader="none" w:pos="130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 owned subsidiaries. All intercompany balances and transactions have been eliminated.</w:t>
      </w:r>
    </w:p>
    <w:p>
      <w:pPr>
        <w:spacing w:after="0" w:line="170" w:lineRule="exact"/>
        <w:rPr>
          <w:sz w:val="20"/>
          <w:szCs w:val="20"/>
          <w:color w:val="auto"/>
        </w:rPr>
      </w:pPr>
    </w:p>
    <w:p>
      <w:pPr>
        <w:ind w:left="1300" w:hanging="806"/>
        <w:spacing w:after="0"/>
        <w:tabs>
          <w:tab w:leader="none" w:pos="130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allocation of goodwill to reporting units; impairment assessments of goodwill and indefinite-lived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806"/>
        <w:spacing w:after="0"/>
        <w:tabs>
          <w:tab w:leader="none" w:pos="13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Revenue allocated to remaining performance obligations for contracts with durations of more than one year was $128.8 million as of September 30, 2023, of which 68% is expected to be recognized over the next 12 months and 96% is expected to be recognized over the next 24 months.</w:t>
      </w:r>
    </w:p>
    <w:p>
      <w:pPr>
        <w:spacing w:after="0" w:line="124" w:lineRule="exact"/>
        <w:rPr>
          <w:sz w:val="20"/>
          <w:szCs w:val="20"/>
          <w:color w:val="auto"/>
        </w:rPr>
      </w:pPr>
    </w:p>
    <w:p>
      <w:pPr>
        <w:ind w:left="1300" w:hanging="806"/>
        <w:spacing w:after="0"/>
        <w:tabs>
          <w:tab w:leader="none" w:pos="13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Revenue and Customer Deposits</w:t>
      </w:r>
    </w:p>
    <w:p>
      <w:pPr>
        <w:spacing w:after="0" w:line="225"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As of September 30, 2023, and December 31, 2022, the Company recorded $146.0 million and $139.1 million as its deferred revenue and customer deposits, respectively, that are included in deferred revenue and customer deposits and other long-term liabilities in the accompanying condensed consolidated balance sheets. During the three months ended September 30, 2023 and 2022, the Company recognized $16.7 million and $17.5 million of revenue, respectively, that was included in the deferred revenue and customer deposits balances as of the end of the previous year. During the nine months ended September 30, 2023 and 2022, the Company recognized $115.3 million and $112.2 million of revenue, respectively, that was included in the deferred revenue and customer deposits balances as of the end of the previous year.</w:t>
      </w:r>
    </w:p>
    <w:p>
      <w:pPr>
        <w:spacing w:after="0" w:line="178" w:lineRule="exact"/>
        <w:rPr>
          <w:sz w:val="20"/>
          <w:szCs w:val="20"/>
          <w:color w:val="auto"/>
        </w:rPr>
      </w:pPr>
    </w:p>
    <w:p>
      <w:pPr>
        <w:ind w:left="1300" w:hanging="806"/>
        <w:spacing w:after="0"/>
        <w:tabs>
          <w:tab w:leader="none" w:pos="13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Sales Commissions</w:t>
      </w:r>
    </w:p>
    <w:p>
      <w:pPr>
        <w:spacing w:after="0" w:line="225" w:lineRule="exact"/>
        <w:rPr>
          <w:sz w:val="20"/>
          <w:szCs w:val="20"/>
          <w:color w:val="auto"/>
        </w:rPr>
      </w:pPr>
    </w:p>
    <w:p>
      <w:pPr>
        <w:ind w:right="40" w:firstLine="486"/>
        <w:spacing w:after="0" w:line="224" w:lineRule="exact"/>
        <w:rPr>
          <w:sz w:val="20"/>
          <w:szCs w:val="20"/>
          <w:color w:val="auto"/>
        </w:rPr>
      </w:pPr>
      <w:r>
        <w:rPr>
          <w:rFonts w:ascii="Arial" w:cs="Arial" w:eastAsia="Arial" w:hAnsi="Arial"/>
          <w:sz w:val="16"/>
          <w:szCs w:val="16"/>
          <w:color w:val="auto"/>
        </w:rPr>
        <w:t>Total net capitalized commission costs as of September 30, 2023, and December 31, 2022, were $210.1 million and $239.1 million, respectively, and are included in prepaid expenses and other current assets and other long</w:t>
      </w:r>
      <w:r>
        <w:rPr>
          <w:rFonts w:ascii="MS PGothic" w:cs="MS PGothic" w:eastAsia="MS PGothic" w:hAnsi="MS PGothic"/>
          <w:sz w:val="16"/>
          <w:szCs w:val="16"/>
          <w:color w:val="auto"/>
        </w:rPr>
        <w:t>‑</w:t>
      </w:r>
      <w:r>
        <w:rPr>
          <w:rFonts w:ascii="Arial" w:cs="Arial" w:eastAsia="Arial" w:hAnsi="Arial"/>
          <w:sz w:val="16"/>
          <w:szCs w:val="16"/>
          <w:color w:val="auto"/>
        </w:rPr>
        <w:t>term assets in the accompanying condensed consolidated balance sheets.</w:t>
      </w:r>
    </w:p>
    <w:p>
      <w:pPr>
        <w:spacing w:after="0" w:line="202" w:lineRule="exact"/>
        <w:rPr>
          <w:sz w:val="20"/>
          <w:szCs w:val="20"/>
          <w:color w:val="auto"/>
        </w:rPr>
      </w:pPr>
    </w:p>
    <w:p>
      <w:pPr>
        <w:ind w:left="1300" w:hanging="806"/>
        <w:spacing w:after="0"/>
        <w:tabs>
          <w:tab w:leader="none" w:pos="13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Certain balances held by such financial institutions exceed insured limits.</w:t>
      </w:r>
    </w:p>
    <w:p>
      <w:pPr>
        <w:spacing w:after="0" w:line="18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The Company does not require collateral from its credit customers and maintains reserves for estimated credit losses on customer accounts when considered necessary. Actual credit losses may differ from the Company’s estimates. As of September 30, 2023, and December 31, 2022, the allowance for doubtful accounts was $40.3 million and $27.0 million, respectively, and is recorded in accounts receivable, net, in the accompanying condensed consolidated balance sheets.</w:t>
      </w:r>
    </w:p>
    <w:p>
      <w:pPr>
        <w:spacing w:after="0" w:line="192"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In the three and nine months ended September 30, 2023 and 2022, no customer organization accounted for more than 10% of the Company’s total revenue.</w:t>
      </w:r>
    </w:p>
    <w:p>
      <w:pPr>
        <w:spacing w:after="0" w:line="170"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As of September 30, 2023, and December 31, 2022, no customer organization represented more than 10% of the Company’s gross accounts receivable.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806"/>
        <w:spacing w:after="0"/>
        <w:tabs>
          <w:tab w:leader="none" w:pos="130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jc w:val="both"/>
        <w:ind w:right="260" w:firstLine="486"/>
        <w:spacing w:after="0" w:line="287" w:lineRule="auto"/>
        <w:rPr>
          <w:sz w:val="20"/>
          <w:szCs w:val="20"/>
          <w:color w:val="auto"/>
        </w:rPr>
      </w:pPr>
      <w:r>
        <w:rPr>
          <w:rFonts w:ascii="Arial" w:cs="Arial" w:eastAsia="Arial" w:hAnsi="Arial"/>
          <w:sz w:val="16"/>
          <w:szCs w:val="16"/>
          <w:color w:val="auto"/>
        </w:rPr>
        <w:t xml:space="preserve">The Company determines its operating and reportable segments in accordance with Accounting Standards Codification 280 -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(“ASC 280”), which requires financial information to be reported based on how the chief operating decision maker (“CODM”), who is the Company's Chief Executive Officer, reviews and manages the business, and establishes criteria for aggregating operating segments into reportable segments.</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Historically, the Company had one operating and reportable segment. As described in Note 8, in the second quarter of 2023, the Company determined that it operated in and, as such, started reporting its results in two reportable segments.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connection with changes in the segment reporting structure described in Note 8, in the second quarter of 2023, the Company concluded that it had multiple reporting units. Accordingly, the Company reassigned assets and liabilities to the reporting units based on which reporting units’ operations the assets and liabilities were employed in or were related to. The Company reassigned goodwill to each reporting unit using a relative fair value allocation approach.</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other changes to the Company’s significant accounting policies as described in its Annual Report.</w:t>
      </w:r>
    </w:p>
    <w:p>
      <w:pPr>
        <w:spacing w:after="0" w:line="225" w:lineRule="exact"/>
        <w:rPr>
          <w:sz w:val="20"/>
          <w:szCs w:val="20"/>
          <w:color w:val="auto"/>
        </w:rPr>
      </w:pPr>
    </w:p>
    <w:p>
      <w:pPr>
        <w:ind w:left="1300" w:hanging="806"/>
        <w:spacing w:after="0"/>
        <w:tabs>
          <w:tab w:leader="none" w:pos="130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Issued Accounting Guidance, Not yet Adopted</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June 2022, the Financial Accounting Standards Board issued Accounting Standards Update No. 2022-03, "</w:t>
      </w:r>
      <w:r>
        <w:rPr>
          <w:rFonts w:ascii="Arial" w:cs="Arial" w:eastAsia="Arial" w:hAnsi="Arial"/>
          <w:sz w:val="18"/>
          <w:szCs w:val="18"/>
          <w:i w:val="1"/>
          <w:iCs w:val="1"/>
          <w:color w:val="auto"/>
        </w:rPr>
        <w:t>Fair Value Measurements (Topic 820):</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 of Equity Securities Subject to Contractual Sale Restrictions,</w:t>
      </w:r>
      <w:r>
        <w:rPr>
          <w:rFonts w:ascii="Arial" w:cs="Arial" w:eastAsia="Arial" w:hAnsi="Arial"/>
          <w:sz w:val="18"/>
          <w:szCs w:val="18"/>
          <w:color w:val="auto"/>
        </w:rPr>
        <w:t>" which clarifies and amends the guidance of measuring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equity securities subject to contractual restrictions that prohibit the sale of the equity securities. The guidance will be effective for fiscal years beginning after December 15, 2023, and interim periods within those fiscal years. The Company is evaluating the impact of the adoption of this guidance on its consolidated financial statements.</w:t>
      </w:r>
    </w:p>
    <w:p>
      <w:pPr>
        <w:spacing w:after="0" w:line="184" w:lineRule="exact"/>
        <w:rPr>
          <w:sz w:val="20"/>
          <w:szCs w:val="20"/>
          <w:color w:val="auto"/>
        </w:rPr>
      </w:pPr>
    </w:p>
    <w:p>
      <w:pPr>
        <w:ind w:left="500" w:right="9020" w:hanging="492"/>
        <w:spacing w:after="0" w:line="566" w:lineRule="auto"/>
        <w:tabs>
          <w:tab w:leader="none" w:pos="194"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i w:val="1"/>
          <w:iCs w:val="1"/>
          <w:color w:val="auto"/>
        </w:rPr>
        <w:t>Financial Assets</w:t>
      </w:r>
    </w:p>
    <w:p>
      <w:pPr>
        <w:ind w:left="50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tables provide the financial assets measured at fair value on a recurring basis: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12"/>
                <w:szCs w:val="12"/>
                <w:color w:val="auto"/>
              </w:rPr>
            </w:pPr>
          </w:p>
        </w:tc>
        <w:tc>
          <w:tcPr>
            <w:tcW w:w="2160" w:type="dxa"/>
            <w:vAlign w:val="bottom"/>
            <w:gridSpan w:val="6"/>
            <w:vMerge w:val="restart"/>
          </w:tcPr>
          <w:p>
            <w:pPr>
              <w:jc w:val="center"/>
              <w:ind w:left="470"/>
              <w:spacing w:after="0"/>
              <w:rPr>
                <w:sz w:val="20"/>
                <w:szCs w:val="20"/>
                <w:color w:val="auto"/>
              </w:rPr>
            </w:pPr>
            <w:r>
              <w:rPr>
                <w:rFonts w:ascii="Arial" w:cs="Arial" w:eastAsia="Arial" w:hAnsi="Arial"/>
                <w:sz w:val="13"/>
                <w:szCs w:val="13"/>
                <w:b w:val="1"/>
                <w:bCs w:val="1"/>
                <w:color w:val="auto"/>
                <w:w w:val="88"/>
              </w:rPr>
              <w:t>Fair Value Hierarchy as of</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4"/>
                <w:szCs w:val="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4"/>
                <w:szCs w:val="4"/>
                <w:color w:val="auto"/>
              </w:rPr>
            </w:pPr>
          </w:p>
        </w:tc>
        <w:tc>
          <w:tcPr>
            <w:tcW w:w="2160" w:type="dxa"/>
            <w:vAlign w:val="bottom"/>
            <w:gridSpan w:val="6"/>
            <w:vMerge w:val="continue"/>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gridSpan w:val="4"/>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September 30, 2023</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tcPr>
          <w:p>
            <w:pPr>
              <w:jc w:val="center"/>
              <w:ind w:right="260"/>
              <w:spacing w:after="0" w:line="61" w:lineRule="exact"/>
              <w:rPr>
                <w:sz w:val="20"/>
                <w:szCs w:val="20"/>
                <w:color w:val="auto"/>
              </w:rPr>
            </w:pPr>
            <w:r>
              <w:rPr>
                <w:rFonts w:ascii="Arial" w:cs="Arial" w:eastAsia="Arial" w:hAnsi="Arial"/>
                <w:sz w:val="7"/>
                <w:szCs w:val="7"/>
                <w:b w:val="1"/>
                <w:bCs w:val="1"/>
                <w:color w:val="auto"/>
              </w:rPr>
              <w:t>Cost or</w:t>
            </w:r>
          </w:p>
        </w:tc>
        <w:tc>
          <w:tcPr>
            <w:tcW w:w="140" w:type="dxa"/>
            <w:vAlign w:val="bottom"/>
          </w:tcPr>
          <w:p>
            <w:pPr>
              <w:spacing w:after="0"/>
              <w:rPr>
                <w:sz w:val="5"/>
                <w:szCs w:val="5"/>
                <w:color w:val="auto"/>
              </w:rPr>
            </w:pPr>
          </w:p>
        </w:tc>
        <w:tc>
          <w:tcPr>
            <w:tcW w:w="940" w:type="dxa"/>
            <w:vAlign w:val="bottom"/>
            <w:gridSpan w:val="2"/>
          </w:tcPr>
          <w:p>
            <w:pPr>
              <w:jc w:val="center"/>
              <w:ind w:right="260"/>
              <w:spacing w:after="0" w:line="61" w:lineRule="exact"/>
              <w:rPr>
                <w:sz w:val="20"/>
                <w:szCs w:val="20"/>
                <w:color w:val="auto"/>
              </w:rPr>
            </w:pPr>
            <w:r>
              <w:rPr>
                <w:rFonts w:ascii="Arial" w:cs="Arial" w:eastAsia="Arial" w:hAnsi="Arial"/>
                <w:sz w:val="7"/>
                <w:szCs w:val="7"/>
                <w:b w:val="1"/>
                <w:bCs w:val="1"/>
                <w:color w:val="auto"/>
              </w:rPr>
              <w:t>Gross</w:t>
            </w:r>
          </w:p>
        </w:tc>
        <w:tc>
          <w:tcPr>
            <w:tcW w:w="140" w:type="dxa"/>
            <w:vAlign w:val="bottom"/>
          </w:tcPr>
          <w:p>
            <w:pPr>
              <w:spacing w:after="0"/>
              <w:rPr>
                <w:sz w:val="5"/>
                <w:szCs w:val="5"/>
                <w:color w:val="auto"/>
              </w:rPr>
            </w:pPr>
          </w:p>
        </w:tc>
        <w:tc>
          <w:tcPr>
            <w:tcW w:w="94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Unrealized</w:t>
            </w:r>
          </w:p>
        </w:tc>
        <w:tc>
          <w:tcPr>
            <w:tcW w:w="120" w:type="dxa"/>
            <w:vAlign w:val="bottom"/>
          </w:tcPr>
          <w:p>
            <w:pPr>
              <w:spacing w:after="0"/>
              <w:rPr>
                <w:sz w:val="5"/>
                <w:szCs w:val="5"/>
                <w:color w:val="auto"/>
              </w:rPr>
            </w:pPr>
          </w:p>
        </w:tc>
        <w:tc>
          <w:tcPr>
            <w:tcW w:w="94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Losses More</w:t>
            </w: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3"/>
              </w:rPr>
              <w:t>Carrying</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8"/>
              </w:rPr>
              <w:t>Unrealized</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79"/>
              </w:rPr>
              <w:t>Losses Less</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6"/>
              </w:rPr>
              <w:t>Than</w:t>
            </w:r>
          </w:p>
        </w:tc>
        <w:tc>
          <w:tcPr>
            <w:tcW w:w="180" w:type="dxa"/>
            <w:vAlign w:val="bottom"/>
          </w:tcPr>
          <w:p>
            <w:pPr>
              <w:spacing w:after="0"/>
              <w:rPr>
                <w:sz w:val="11"/>
                <w:szCs w:val="11"/>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Level 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Level 2</w:t>
            </w:r>
          </w:p>
        </w:tc>
        <w:tc>
          <w:tcPr>
            <w:tcW w:w="18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Level 3</w:t>
            </w:r>
          </w:p>
        </w:tc>
        <w:tc>
          <w:tcPr>
            <w:tcW w:w="140" w:type="dxa"/>
            <w:vAlign w:val="bottom"/>
          </w:tcPr>
          <w:p>
            <w:pPr>
              <w:spacing w:after="0"/>
              <w:rPr>
                <w:sz w:val="11"/>
                <w:szCs w:val="11"/>
                <w:color w:val="auto"/>
              </w:rPr>
            </w:pPr>
          </w:p>
        </w:tc>
        <w:tc>
          <w:tcPr>
            <w:tcW w:w="840" w:type="dxa"/>
            <w:vAlign w:val="bottom"/>
          </w:tcPr>
          <w:p>
            <w:pPr>
              <w:jc w:val="right"/>
              <w:ind w:right="150"/>
              <w:spacing w:after="0" w:line="129" w:lineRule="exact"/>
              <w:rPr>
                <w:sz w:val="20"/>
                <w:szCs w:val="20"/>
                <w:color w:val="auto"/>
              </w:rPr>
            </w:pPr>
            <w:r>
              <w:rPr>
                <w:rFonts w:ascii="Arial" w:cs="Arial" w:eastAsia="Arial" w:hAnsi="Arial"/>
                <w:sz w:val="13"/>
                <w:szCs w:val="13"/>
                <w:b w:val="1"/>
                <w:bCs w:val="1"/>
                <w:color w:val="auto"/>
                <w:w w:val="93"/>
              </w:rPr>
              <w:t>Aggregate</w:t>
            </w:r>
          </w:p>
        </w:tc>
        <w:tc>
          <w:tcPr>
            <w:tcW w:w="0" w:type="dxa"/>
            <w:vAlign w:val="bottom"/>
          </w:tcPr>
          <w:p>
            <w:pPr>
              <w:spacing w:after="0"/>
              <w:rPr>
                <w:sz w:val="1"/>
                <w:szCs w:val="1"/>
                <w:color w:val="auto"/>
              </w:rPr>
            </w:pPr>
          </w:p>
        </w:tc>
      </w:tr>
      <w:tr>
        <w:trPr>
          <w:trHeight w:val="170"/>
        </w:trPr>
        <w:tc>
          <w:tcPr>
            <w:tcW w:w="2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8"/>
              </w:rPr>
              <w:t>Gains</w:t>
            </w: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8"/>
              </w:rPr>
              <w:t>Than 12 Months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0"/>
              </w:rPr>
              <w:t>12 Months</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182"/>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gridSpan w:val="4"/>
            <w:shd w:val="clear" w:color="auto" w:fill="CCEEFF"/>
          </w:tcPr>
          <w:p>
            <w:pPr>
              <w:jc w:val="right"/>
              <w:ind w:right="53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418,098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418,098</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418,098</w:t>
            </w:r>
          </w:p>
        </w:tc>
        <w:tc>
          <w:tcPr>
            <w:tcW w:w="0" w:type="dxa"/>
            <w:vAlign w:val="bottom"/>
          </w:tcPr>
          <w:p>
            <w:pPr>
              <w:spacing w:after="0"/>
              <w:rPr>
                <w:sz w:val="1"/>
                <w:szCs w:val="1"/>
                <w:color w:val="auto"/>
              </w:rPr>
            </w:pPr>
          </w:p>
        </w:tc>
      </w:tr>
      <w:tr>
        <w:trPr>
          <w:trHeight w:val="182"/>
        </w:trPr>
        <w:tc>
          <w:tcPr>
            <w:tcW w:w="2480" w:type="dxa"/>
            <w:vAlign w:val="bottom"/>
          </w:tcPr>
          <w:p>
            <w:pPr>
              <w:ind w:left="220"/>
              <w:spacing w:after="0"/>
              <w:rPr>
                <w:sz w:val="20"/>
                <w:szCs w:val="20"/>
                <w:color w:val="auto"/>
              </w:rPr>
            </w:pPr>
            <w:r>
              <w:rPr>
                <w:rFonts w:ascii="Arial" w:cs="Arial" w:eastAsia="Arial" w:hAnsi="Arial"/>
                <w:sz w:val="14"/>
                <w:szCs w:val="14"/>
                <w:color w:val="auto"/>
              </w:rPr>
              <w:t>Commercial paper</w:t>
            </w:r>
          </w:p>
        </w:tc>
        <w:tc>
          <w:tcPr>
            <w:tcW w:w="140" w:type="dxa"/>
            <w:vAlign w:val="bottom"/>
          </w:tcPr>
          <w:p>
            <w:pPr>
              <w:spacing w:after="0"/>
              <w:rPr>
                <w:sz w:val="15"/>
                <w:szCs w:val="15"/>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23,311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23,311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23,311</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480" w:type="dxa"/>
            <w:vAlign w:val="bottom"/>
            <w:shd w:val="clear" w:color="auto" w:fill="CCEEFF"/>
          </w:tcPr>
          <w:p>
            <w:pPr>
              <w:ind w:left="480"/>
              <w:spacing w:after="0" w:line="123" w:lineRule="exact"/>
              <w:rPr>
                <w:sz w:val="20"/>
                <w:szCs w:val="20"/>
                <w:color w:val="auto"/>
              </w:rPr>
            </w:pPr>
            <w:r>
              <w:rPr>
                <w:rFonts w:ascii="Arial" w:cs="Arial" w:eastAsia="Arial" w:hAnsi="Arial"/>
                <w:sz w:val="14"/>
                <w:szCs w:val="14"/>
                <w:color w:val="auto"/>
              </w:rPr>
              <w:t>Total included in cash</w:t>
            </w: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441,409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418,098</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23,311</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441,409</w:t>
            </w: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and cash equivalents</w:t>
            </w: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Debt securities:</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300"/>
              <w:spacing w:after="0"/>
              <w:rPr>
                <w:sz w:val="20"/>
                <w:szCs w:val="20"/>
                <w:color w:val="auto"/>
              </w:rPr>
            </w:pPr>
            <w:r>
              <w:rPr>
                <w:rFonts w:ascii="Arial" w:cs="Arial" w:eastAsia="Arial" w:hAnsi="Arial"/>
                <w:sz w:val="14"/>
                <w:szCs w:val="14"/>
                <w:color w:val="auto"/>
              </w:rPr>
              <w:t>U.S. Treasury securities</w:t>
            </w:r>
          </w:p>
        </w:tc>
        <w:tc>
          <w:tcPr>
            <w:tcW w:w="140" w:type="dxa"/>
            <w:vAlign w:val="bottom"/>
          </w:tcPr>
          <w:p>
            <w:pPr>
              <w:spacing w:after="0"/>
              <w:rPr>
                <w:sz w:val="15"/>
                <w:szCs w:val="15"/>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528,950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(3,999)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523,911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523,911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Non-U.S. government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115,923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113,026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113,026</w:t>
            </w: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securities</w:t>
            </w: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80" w:type="dxa"/>
            <w:vAlign w:val="bottom"/>
          </w:tcPr>
          <w:p>
            <w:pPr>
              <w:ind w:left="300"/>
              <w:spacing w:after="0" w:line="143" w:lineRule="exact"/>
              <w:rPr>
                <w:sz w:val="20"/>
                <w:szCs w:val="20"/>
                <w:color w:val="auto"/>
              </w:rPr>
            </w:pPr>
            <w:r>
              <w:rPr>
                <w:rFonts w:ascii="Arial" w:cs="Arial" w:eastAsia="Arial" w:hAnsi="Arial"/>
                <w:sz w:val="14"/>
                <w:szCs w:val="14"/>
                <w:color w:val="auto"/>
              </w:rPr>
              <w:t>Corporate debt securities and</w:t>
            </w:r>
          </w:p>
        </w:tc>
        <w:tc>
          <w:tcPr>
            <w:tcW w:w="140" w:type="dxa"/>
            <w:vAlign w:val="bottom"/>
          </w:tcPr>
          <w:p>
            <w:pPr>
              <w:spacing w:after="0"/>
              <w:rPr>
                <w:sz w:val="12"/>
                <w:szCs w:val="12"/>
                <w:color w:val="auto"/>
              </w:rPr>
            </w:pPr>
          </w:p>
        </w:tc>
        <w:tc>
          <w:tcPr>
            <w:tcW w:w="840" w:type="dxa"/>
            <w:vAlign w:val="bottom"/>
            <w:vMerge w:val="restart"/>
          </w:tcPr>
          <w:p>
            <w:pPr>
              <w:jc w:val="right"/>
              <w:ind w:right="12"/>
              <w:spacing w:after="0"/>
              <w:rPr>
                <w:sz w:val="20"/>
                <w:szCs w:val="20"/>
                <w:color w:val="auto"/>
              </w:rPr>
            </w:pPr>
            <w:r>
              <w:rPr>
                <w:rFonts w:ascii="Arial" w:cs="Arial" w:eastAsia="Arial" w:hAnsi="Arial"/>
                <w:sz w:val="14"/>
                <w:szCs w:val="14"/>
                <w:color w:val="auto"/>
              </w:rPr>
              <w:t>2,577,183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12"/>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(9,810)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(31,002)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16,690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2,519,815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2,536,505</w:t>
            </w:r>
          </w:p>
        </w:tc>
        <w:tc>
          <w:tcPr>
            <w:tcW w:w="0" w:type="dxa"/>
            <w:vAlign w:val="bottom"/>
          </w:tcPr>
          <w:p>
            <w:pPr>
              <w:spacing w:after="0"/>
              <w:rPr>
                <w:sz w:val="1"/>
                <w:szCs w:val="1"/>
                <w:color w:val="auto"/>
              </w:rPr>
            </w:pPr>
          </w:p>
        </w:tc>
      </w:tr>
      <w:tr>
        <w:trPr>
          <w:trHeight w:val="188"/>
        </w:trPr>
        <w:tc>
          <w:tcPr>
            <w:tcW w:w="2480" w:type="dxa"/>
            <w:vAlign w:val="bottom"/>
          </w:tcPr>
          <w:p>
            <w:pPr>
              <w:ind w:left="480"/>
              <w:spacing w:after="0"/>
              <w:rPr>
                <w:sz w:val="20"/>
                <w:szCs w:val="20"/>
                <w:color w:val="auto"/>
              </w:rPr>
            </w:pPr>
            <w:r>
              <w:rPr>
                <w:rFonts w:ascii="Arial" w:cs="Arial" w:eastAsia="Arial" w:hAnsi="Arial"/>
                <w:sz w:val="14"/>
                <w:szCs w:val="14"/>
                <w:color w:val="auto"/>
              </w:rPr>
              <w:t>commercial paper</w:t>
            </w: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debt securities</w:t>
            </w: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3,222,056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(37,898)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653,627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2,519,815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3,173,442</w:t>
            </w:r>
          </w:p>
        </w:tc>
        <w:tc>
          <w:tcPr>
            <w:tcW w:w="0" w:type="dxa"/>
            <w:vAlign w:val="bottom"/>
          </w:tcPr>
          <w:p>
            <w:pPr>
              <w:spacing w:after="0"/>
              <w:rPr>
                <w:sz w:val="1"/>
                <w:szCs w:val="1"/>
                <w:color w:val="auto"/>
              </w:rPr>
            </w:pPr>
          </w:p>
        </w:tc>
      </w:tr>
      <w:tr>
        <w:trPr>
          <w:trHeight w:val="176"/>
        </w:trPr>
        <w:tc>
          <w:tcPr>
            <w:tcW w:w="2480" w:type="dxa"/>
            <w:vAlign w:val="bottom"/>
          </w:tcPr>
          <w:p>
            <w:pPr>
              <w:ind w:left="220"/>
              <w:spacing w:after="0"/>
              <w:rPr>
                <w:sz w:val="20"/>
                <w:szCs w:val="20"/>
                <w:color w:val="auto"/>
              </w:rPr>
            </w:pPr>
            <w:r>
              <w:rPr>
                <w:rFonts w:ascii="Arial" w:cs="Arial" w:eastAsia="Arial" w:hAnsi="Arial"/>
                <w:sz w:val="14"/>
                <w:szCs w:val="14"/>
                <w:color w:val="auto"/>
              </w:rPr>
              <w:t>Equity securities</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6,050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6,050</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6,050</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480" w:type="dxa"/>
            <w:vAlign w:val="bottom"/>
            <w:shd w:val="clear" w:color="auto" w:fill="CCEEFF"/>
          </w:tcPr>
          <w:p>
            <w:pPr>
              <w:ind w:left="360"/>
              <w:spacing w:after="0" w:line="123" w:lineRule="exact"/>
              <w:rPr>
                <w:sz w:val="20"/>
                <w:szCs w:val="20"/>
                <w:color w:val="auto"/>
              </w:rPr>
            </w:pPr>
            <w:r>
              <w:rPr>
                <w:rFonts w:ascii="Arial" w:cs="Arial" w:eastAsia="Arial" w:hAnsi="Arial"/>
                <w:sz w:val="14"/>
                <w:szCs w:val="14"/>
                <w:color w:val="auto"/>
              </w:rPr>
              <w:t>Total marketable</w:t>
            </w: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3,228,106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(10,870)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(37,898)</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659,677</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2,519,815</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3,179,492</w:t>
            </w: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securities</w:t>
            </w: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680"/>
              <w:spacing w:after="0"/>
              <w:rPr>
                <w:sz w:val="20"/>
                <w:szCs w:val="20"/>
                <w:color w:val="auto"/>
              </w:rPr>
            </w:pPr>
            <w:r>
              <w:rPr>
                <w:rFonts w:ascii="Arial" w:cs="Arial" w:eastAsia="Arial" w:hAnsi="Arial"/>
                <w:sz w:val="14"/>
                <w:szCs w:val="14"/>
                <w:color w:val="auto"/>
              </w:rPr>
              <w:t>Total financial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3,669,515</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(10,870)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(37,898)</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1,077,775</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2,543,126</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3,620,901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Amortized</w:t>
            </w:r>
          </w:p>
        </w:tc>
        <w:tc>
          <w:tcPr>
            <w:tcW w:w="140" w:type="dxa"/>
            <w:vAlign w:val="bottom"/>
          </w:tcPr>
          <w:p>
            <w:pPr>
              <w:spacing w:after="0"/>
              <w:rPr>
                <w:sz w:val="15"/>
                <w:szCs w:val="15"/>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Unrealized</w:t>
            </w:r>
          </w:p>
        </w:tc>
        <w:tc>
          <w:tcPr>
            <w:tcW w:w="180" w:type="dxa"/>
            <w:vAlign w:val="bottom"/>
          </w:tcPr>
          <w:p>
            <w:pPr>
              <w:spacing w:after="0"/>
              <w:rPr>
                <w:sz w:val="15"/>
                <w:szCs w:val="15"/>
                <w:color w:val="auto"/>
              </w:rPr>
            </w:pPr>
          </w:p>
        </w:tc>
        <w:tc>
          <w:tcPr>
            <w:tcW w:w="2160" w:type="dxa"/>
            <w:vAlign w:val="bottom"/>
            <w:gridSpan w:val="6"/>
          </w:tcPr>
          <w:p>
            <w:pPr>
              <w:jc w:val="center"/>
              <w:ind w:left="470"/>
              <w:spacing w:after="0"/>
              <w:rPr>
                <w:sz w:val="20"/>
                <w:szCs w:val="20"/>
                <w:color w:val="auto"/>
              </w:rPr>
            </w:pPr>
            <w:r>
              <w:rPr>
                <w:rFonts w:ascii="Arial" w:cs="Arial" w:eastAsia="Arial" w:hAnsi="Arial"/>
                <w:sz w:val="13"/>
                <w:szCs w:val="13"/>
                <w:b w:val="1"/>
                <w:bCs w:val="1"/>
                <w:color w:val="auto"/>
                <w:w w:val="88"/>
              </w:rPr>
              <w:t>Fair Value Hierarchy as of</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7"/>
              </w:rPr>
              <w:t>Cost or</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1"/>
              </w:rPr>
              <w:t>Unrealized</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Losses More</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gridSpan w:val="4"/>
          </w:tcPr>
          <w:p>
            <w:pPr>
              <w:jc w:val="center"/>
              <w:ind w:right="20"/>
              <w:spacing w:after="0" w:line="122" w:lineRule="exact"/>
              <w:rPr>
                <w:sz w:val="20"/>
                <w:szCs w:val="20"/>
                <w:color w:val="auto"/>
              </w:rPr>
            </w:pPr>
            <w:r>
              <w:rPr>
                <w:rFonts w:ascii="Arial" w:cs="Arial" w:eastAsia="Arial" w:hAnsi="Arial"/>
                <w:sz w:val="13"/>
                <w:szCs w:val="13"/>
                <w:b w:val="1"/>
                <w:bCs w:val="1"/>
                <w:color w:val="auto"/>
                <w:w w:val="87"/>
              </w:rPr>
              <w:t>December 31, 2022</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tcPr>
          <w:p>
            <w:pPr>
              <w:jc w:val="center"/>
              <w:ind w:right="280"/>
              <w:spacing w:after="0" w:line="68" w:lineRule="exact"/>
              <w:rPr>
                <w:sz w:val="20"/>
                <w:szCs w:val="20"/>
                <w:color w:val="auto"/>
              </w:rPr>
            </w:pPr>
            <w:r>
              <w:rPr>
                <w:rFonts w:ascii="Arial" w:cs="Arial" w:eastAsia="Arial" w:hAnsi="Arial"/>
                <w:sz w:val="7"/>
                <w:szCs w:val="7"/>
                <w:b w:val="1"/>
                <w:bCs w:val="1"/>
                <w:color w:val="auto"/>
              </w:rPr>
              <w:t>Carrying</w:t>
            </w:r>
          </w:p>
        </w:tc>
        <w:tc>
          <w:tcPr>
            <w:tcW w:w="140" w:type="dxa"/>
            <w:vAlign w:val="bottom"/>
          </w:tcPr>
          <w:p>
            <w:pPr>
              <w:spacing w:after="0"/>
              <w:rPr>
                <w:sz w:val="5"/>
                <w:szCs w:val="5"/>
                <w:color w:val="auto"/>
              </w:rPr>
            </w:pPr>
          </w:p>
        </w:tc>
        <w:tc>
          <w:tcPr>
            <w:tcW w:w="940" w:type="dxa"/>
            <w:vAlign w:val="bottom"/>
            <w:gridSpan w:val="2"/>
          </w:tcPr>
          <w:p>
            <w:pPr>
              <w:jc w:val="center"/>
              <w:ind w:right="260"/>
              <w:spacing w:after="0" w:line="68" w:lineRule="exact"/>
              <w:rPr>
                <w:sz w:val="20"/>
                <w:szCs w:val="20"/>
                <w:color w:val="auto"/>
              </w:rPr>
            </w:pPr>
            <w:r>
              <w:rPr>
                <w:rFonts w:ascii="Arial" w:cs="Arial" w:eastAsia="Arial" w:hAnsi="Arial"/>
                <w:sz w:val="7"/>
                <w:szCs w:val="7"/>
                <w:b w:val="1"/>
                <w:bCs w:val="1"/>
                <w:color w:val="auto"/>
              </w:rPr>
              <w:t>Unrealized</w:t>
            </w:r>
          </w:p>
        </w:tc>
        <w:tc>
          <w:tcPr>
            <w:tcW w:w="120" w:type="dxa"/>
            <w:vAlign w:val="bottom"/>
          </w:tcPr>
          <w:p>
            <w:pPr>
              <w:spacing w:after="0"/>
              <w:rPr>
                <w:sz w:val="5"/>
                <w:szCs w:val="5"/>
                <w:color w:val="auto"/>
              </w:rPr>
            </w:pPr>
          </w:p>
        </w:tc>
        <w:tc>
          <w:tcPr>
            <w:tcW w:w="960" w:type="dxa"/>
            <w:vAlign w:val="bottom"/>
            <w:gridSpan w:val="2"/>
          </w:tcPr>
          <w:p>
            <w:pPr>
              <w:jc w:val="center"/>
              <w:ind w:right="260"/>
              <w:spacing w:after="0" w:line="68" w:lineRule="exact"/>
              <w:rPr>
                <w:sz w:val="20"/>
                <w:szCs w:val="20"/>
                <w:color w:val="auto"/>
              </w:rPr>
            </w:pPr>
            <w:r>
              <w:rPr>
                <w:rFonts w:ascii="Arial" w:cs="Arial" w:eastAsia="Arial" w:hAnsi="Arial"/>
                <w:sz w:val="7"/>
                <w:szCs w:val="7"/>
                <w:b w:val="1"/>
                <w:bCs w:val="1"/>
                <w:color w:val="auto"/>
              </w:rPr>
              <w:t>Losses Less</w:t>
            </w:r>
          </w:p>
        </w:tc>
        <w:tc>
          <w:tcPr>
            <w:tcW w:w="120" w:type="dxa"/>
            <w:vAlign w:val="bottom"/>
          </w:tcPr>
          <w:p>
            <w:pPr>
              <w:spacing w:after="0"/>
              <w:rPr>
                <w:sz w:val="5"/>
                <w:szCs w:val="5"/>
                <w:color w:val="auto"/>
              </w:rPr>
            </w:pPr>
          </w:p>
        </w:tc>
        <w:tc>
          <w:tcPr>
            <w:tcW w:w="960" w:type="dxa"/>
            <w:vAlign w:val="bottom"/>
            <w:gridSpan w:val="2"/>
          </w:tcPr>
          <w:p>
            <w:pPr>
              <w:jc w:val="center"/>
              <w:ind w:right="240"/>
              <w:spacing w:after="0" w:line="68" w:lineRule="exact"/>
              <w:rPr>
                <w:sz w:val="20"/>
                <w:szCs w:val="20"/>
                <w:color w:val="auto"/>
              </w:rPr>
            </w:pPr>
            <w:r>
              <w:rPr>
                <w:rFonts w:ascii="Arial" w:cs="Arial" w:eastAsia="Arial" w:hAnsi="Arial"/>
                <w:sz w:val="7"/>
                <w:szCs w:val="7"/>
                <w:b w:val="1"/>
                <w:bCs w:val="1"/>
                <w:color w:val="auto"/>
              </w:rPr>
              <w:t>Than</w:t>
            </w: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jc w:val="right"/>
              <w:ind w:right="152"/>
              <w:spacing w:after="0" w:line="68" w:lineRule="exact"/>
              <w:rPr>
                <w:sz w:val="20"/>
                <w:szCs w:val="20"/>
                <w:color w:val="auto"/>
              </w:rPr>
            </w:pPr>
            <w:r>
              <w:rPr>
                <w:rFonts w:ascii="Arial" w:cs="Arial" w:eastAsia="Arial" w:hAnsi="Arial"/>
                <w:sz w:val="7"/>
                <w:szCs w:val="7"/>
                <w:b w:val="1"/>
                <w:bCs w:val="1"/>
                <w:color w:val="auto"/>
              </w:rPr>
              <w:t>Aggregate</w:t>
            </w:r>
          </w:p>
        </w:tc>
        <w:tc>
          <w:tcPr>
            <w:tcW w:w="0" w:type="dxa"/>
            <w:vAlign w:val="bottom"/>
          </w:tcPr>
          <w:p>
            <w:pPr>
              <w:spacing w:after="0"/>
              <w:rPr>
                <w:sz w:val="1"/>
                <w:szCs w:val="1"/>
                <w:color w:val="auto"/>
              </w:rPr>
            </w:pPr>
          </w:p>
        </w:tc>
      </w:tr>
      <w:tr>
        <w:trPr>
          <w:trHeight w:val="177"/>
        </w:trPr>
        <w:tc>
          <w:tcPr>
            <w:tcW w:w="25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8"/>
              </w:rPr>
              <w:t>Gains</w:t>
            </w: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8"/>
              </w:rPr>
              <w:t>Than 12 Months</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12 Months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Level 1</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Level 2</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182"/>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gridSpan w:val="4"/>
            <w:shd w:val="clear" w:color="auto" w:fill="CCEEFF"/>
          </w:tcPr>
          <w:p>
            <w:pPr>
              <w:jc w:val="right"/>
              <w:ind w:right="53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46,610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46,610</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46,610</w:t>
            </w:r>
          </w:p>
        </w:tc>
        <w:tc>
          <w:tcPr>
            <w:tcW w:w="0" w:type="dxa"/>
            <w:vAlign w:val="bottom"/>
          </w:tcPr>
          <w:p>
            <w:pPr>
              <w:spacing w:after="0"/>
              <w:rPr>
                <w:sz w:val="1"/>
                <w:szCs w:val="1"/>
                <w:color w:val="auto"/>
              </w:rPr>
            </w:pPr>
          </w:p>
        </w:tc>
      </w:tr>
      <w:tr>
        <w:trPr>
          <w:trHeight w:val="143"/>
        </w:trPr>
        <w:tc>
          <w:tcPr>
            <w:tcW w:w="2500" w:type="dxa"/>
            <w:vAlign w:val="bottom"/>
          </w:tcPr>
          <w:p>
            <w:pPr>
              <w:ind w:left="240"/>
              <w:spacing w:after="0" w:line="143" w:lineRule="exact"/>
              <w:rPr>
                <w:sz w:val="20"/>
                <w:szCs w:val="20"/>
                <w:color w:val="auto"/>
              </w:rPr>
            </w:pPr>
            <w:r>
              <w:rPr>
                <w:rFonts w:ascii="Arial" w:cs="Arial" w:eastAsia="Arial" w:hAnsi="Arial"/>
                <w:sz w:val="14"/>
                <w:szCs w:val="14"/>
                <w:color w:val="auto"/>
              </w:rPr>
              <w:t>Reverse repurchase</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88"/>
        </w:trPr>
        <w:tc>
          <w:tcPr>
            <w:tcW w:w="2500" w:type="dxa"/>
            <w:vAlign w:val="bottom"/>
          </w:tcPr>
          <w:p>
            <w:pPr>
              <w:ind w:left="340"/>
              <w:spacing w:after="0"/>
              <w:rPr>
                <w:sz w:val="20"/>
                <w:szCs w:val="20"/>
                <w:color w:val="auto"/>
              </w:rPr>
            </w:pPr>
            <w:r>
              <w:rPr>
                <w:rFonts w:ascii="Arial" w:cs="Arial" w:eastAsia="Arial" w:hAnsi="Arial"/>
                <w:sz w:val="14"/>
                <w:szCs w:val="14"/>
                <w:color w:val="auto"/>
              </w:rPr>
              <w:t>agreements</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Commercial paper</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2,249</w:t>
            </w:r>
          </w:p>
        </w:tc>
        <w:tc>
          <w:tcPr>
            <w:tcW w:w="0" w:type="dxa"/>
            <w:vAlign w:val="bottom"/>
          </w:tcPr>
          <w:p>
            <w:pPr>
              <w:spacing w:after="0"/>
              <w:rPr>
                <w:sz w:val="1"/>
                <w:szCs w:val="1"/>
                <w:color w:val="auto"/>
              </w:rPr>
            </w:pPr>
          </w:p>
        </w:tc>
      </w:tr>
      <w:tr>
        <w:trPr>
          <w:trHeight w:val="123"/>
        </w:trPr>
        <w:tc>
          <w:tcPr>
            <w:tcW w:w="2500" w:type="dxa"/>
            <w:vAlign w:val="bottom"/>
          </w:tcPr>
          <w:p>
            <w:pPr>
              <w:ind w:left="480"/>
              <w:spacing w:after="0" w:line="123" w:lineRule="exact"/>
              <w:rPr>
                <w:sz w:val="20"/>
                <w:szCs w:val="20"/>
                <w:color w:val="auto"/>
              </w:rPr>
            </w:pPr>
            <w:r>
              <w:rPr>
                <w:rFonts w:ascii="Arial" w:cs="Arial" w:eastAsia="Arial" w:hAnsi="Arial"/>
                <w:sz w:val="14"/>
                <w:szCs w:val="14"/>
                <w:color w:val="auto"/>
              </w:rPr>
              <w:t>Total included in cash</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248,859</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46,610</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202,249</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248,859</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and cash equivalents</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00" w:type="dxa"/>
            <w:vAlign w:val="bottom"/>
          </w:tcPr>
          <w:p>
            <w:pPr>
              <w:ind w:left="220"/>
              <w:spacing w:after="0"/>
              <w:rPr>
                <w:sz w:val="20"/>
                <w:szCs w:val="20"/>
                <w:color w:val="auto"/>
              </w:rPr>
            </w:pPr>
            <w:r>
              <w:rPr>
                <w:rFonts w:ascii="Arial" w:cs="Arial" w:eastAsia="Arial" w:hAnsi="Arial"/>
                <w:sz w:val="14"/>
                <w:szCs w:val="14"/>
                <w:color w:val="auto"/>
              </w:rPr>
              <w:t>U.S. Treasury securities</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481,463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(11,347)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468,847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468,847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0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Non-U.S. government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149,901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143,564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143,564</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securities</w:t>
            </w: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220"/>
              <w:spacing w:after="0" w:line="143" w:lineRule="exact"/>
              <w:rPr>
                <w:sz w:val="20"/>
                <w:szCs w:val="20"/>
                <w:color w:val="auto"/>
              </w:rPr>
            </w:pPr>
            <w:r>
              <w:rPr>
                <w:rFonts w:ascii="Arial" w:cs="Arial" w:eastAsia="Arial" w:hAnsi="Arial"/>
                <w:sz w:val="14"/>
                <w:szCs w:val="14"/>
                <w:color w:val="auto"/>
              </w:rPr>
              <w:t>Corporate debt securities and</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2,973,844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(12,202)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(71,043)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2,885,906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2,890,906</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commercial paper</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500" w:type="dxa"/>
            <w:vAlign w:val="bottom"/>
            <w:shd w:val="clear" w:color="auto" w:fill="CCEEFF"/>
          </w:tcPr>
          <w:p>
            <w:pPr>
              <w:ind w:left="480"/>
              <w:spacing w:after="0" w:line="129" w:lineRule="exact"/>
              <w:rPr>
                <w:sz w:val="20"/>
                <w:szCs w:val="20"/>
                <w:color w:val="auto"/>
              </w:rPr>
            </w:pPr>
            <w:r>
              <w:rPr>
                <w:rFonts w:ascii="Arial" w:cs="Arial" w:eastAsia="Arial" w:hAnsi="Arial"/>
                <w:sz w:val="14"/>
                <w:szCs w:val="14"/>
                <w:color w:val="auto"/>
              </w:rPr>
              <w:t>Total marketable</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3,605,208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(13,504)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(88,694)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617,411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2,885,906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3,503,317</w:t>
            </w:r>
          </w:p>
        </w:tc>
        <w:tc>
          <w:tcPr>
            <w:tcW w:w="0" w:type="dxa"/>
            <w:vAlign w:val="bottom"/>
          </w:tcPr>
          <w:p>
            <w:pPr>
              <w:spacing w:after="0"/>
              <w:rPr>
                <w:sz w:val="1"/>
                <w:szCs w:val="1"/>
                <w:color w:val="auto"/>
              </w:rPr>
            </w:pPr>
          </w:p>
        </w:tc>
      </w:tr>
      <w:tr>
        <w:trPr>
          <w:trHeight w:val="194"/>
        </w:trPr>
        <w:tc>
          <w:tcPr>
            <w:tcW w:w="25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securities</w:t>
            </w: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680"/>
              <w:spacing w:after="0"/>
              <w:rPr>
                <w:sz w:val="20"/>
                <w:szCs w:val="20"/>
                <w:color w:val="auto"/>
              </w:rPr>
            </w:pPr>
            <w:r>
              <w:rPr>
                <w:rFonts w:ascii="Arial" w:cs="Arial" w:eastAsia="Arial" w:hAnsi="Arial"/>
                <w:sz w:val="14"/>
                <w:szCs w:val="14"/>
                <w:color w:val="auto"/>
              </w:rPr>
              <w:t>Total financial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3,854,067</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(13,504)</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(88,694)</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664,021</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3,088,155</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3,752,176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Debt Securities</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aggregate fair value of the corporate debt securities with unrealized losses was $2.3 billion as of September 30, 2023, of which $1.2 billion were in an unrealized loss position for more than 12 months and $1.1 billion were in an unrealized loss position for less than 12 months. The aggregate fair value of corporate debt securities with unrealized losses was $2.7 billion as of December 31, 2022, of which $2.0 billion were in an unrealized loss position for more than 12 months and $620.5 million were in an unrealized loss position for less than 12 months. Unrealized losses related to other investments as of September 30, 2023 and December 31, 2022 were not significant.</w:t>
      </w:r>
    </w:p>
    <w:p>
      <w:pPr>
        <w:spacing w:after="0" w:line="18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Company’s primary objective when investing excess cash is preservation of capital, hence the Company’s debt securities primarily consist of U.S. Treasury Securities, non-U.S government securities, high credit quality corporate debt securities and commercial paper. Because the Company views its debt securities as available to support current operations, it has classified all available for sale securities as short-term. As of September 30, 2023, and December 31, 2022, for all debt securities that were in unrealized loss positions, the Company has determined that (i) it does not have the intent to sell any of these investments, and (ii) it is not more likely than not that it will be required to sell any of these investments before recovery of the entire amortized cost basis. In addition, as of September 30, 2023 and December 31, 2022, the Company anticipates that it will recover the entire amortized cost basis of such debt securities before maturity.</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earned on debt securities was $19.3 million and $53.2 million in the three and nine months ended September 30, 2023, respectively,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$16.3 million and $47.5 million in the three and nine months ended September 30, 2022, respectively. The interest is recorded as other income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in the accompanying condensed consolidated statements of operations.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contractual maturities of debt securities: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ind w:left="440"/>
              <w:spacing w:after="0"/>
              <w:rPr>
                <w:sz w:val="20"/>
                <w:szCs w:val="20"/>
                <w:color w:val="auto"/>
              </w:rPr>
            </w:pPr>
            <w:r>
              <w:rPr>
                <w:rFonts w:ascii="Arial" w:cs="Arial" w:eastAsia="Arial" w:hAnsi="Arial"/>
                <w:sz w:val="16"/>
                <w:szCs w:val="16"/>
                <w:b w:val="1"/>
                <w:bCs w:val="1"/>
                <w:color w:val="auto"/>
              </w:rPr>
              <w:t>As of September 30,</w:t>
            </w:r>
          </w:p>
        </w:tc>
        <w:tc>
          <w:tcPr>
            <w:tcW w:w="180" w:type="dxa"/>
            <w:vAlign w:val="bottom"/>
          </w:tcPr>
          <w:p>
            <w:pPr>
              <w:spacing w:after="0"/>
              <w:rPr>
                <w:sz w:val="18"/>
                <w:szCs w:val="18"/>
                <w:color w:val="auto"/>
              </w:rPr>
            </w:pPr>
          </w:p>
        </w:tc>
        <w:tc>
          <w:tcPr>
            <w:tcW w:w="24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53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1060" w:type="dxa"/>
            <w:vAlign w:val="bottom"/>
            <w:tcBorders>
              <w:top w:val="single" w:sz="8" w:color="auto"/>
              <w:bottom w:val="single" w:sz="8" w:color="auto"/>
            </w:tcBorders>
          </w:tcPr>
          <w:p>
            <w:pPr>
              <w:spacing w:after="0"/>
              <w:rPr>
                <w:sz w:val="18"/>
                <w:szCs w:val="18"/>
                <w:color w:val="auto"/>
              </w:rPr>
            </w:pPr>
          </w:p>
        </w:tc>
      </w:tr>
      <w:tr>
        <w:trPr>
          <w:trHeight w:val="158"/>
        </w:trPr>
        <w:tc>
          <w:tcPr>
            <w:tcW w:w="5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4"/>
              </w:rPr>
              <w:t>Amortized</w:t>
            </w:r>
          </w:p>
        </w:tc>
        <w:tc>
          <w:tcPr>
            <w:tcW w:w="200" w:type="dxa"/>
            <w:vAlign w:val="bottom"/>
          </w:tcPr>
          <w:p>
            <w:pPr>
              <w:spacing w:after="0"/>
              <w:rPr>
                <w:sz w:val="13"/>
                <w:szCs w:val="13"/>
                <w:color w:val="auto"/>
              </w:rPr>
            </w:pPr>
          </w:p>
        </w:tc>
        <w:tc>
          <w:tcPr>
            <w:tcW w:w="1060" w:type="dxa"/>
            <w:vAlign w:val="bottom"/>
          </w:tcPr>
          <w:p>
            <w:pPr>
              <w:ind w:left="80"/>
              <w:spacing w:after="0" w:line="158" w:lineRule="exact"/>
              <w:rPr>
                <w:sz w:val="20"/>
                <w:szCs w:val="20"/>
                <w:color w:val="auto"/>
              </w:rPr>
            </w:pPr>
            <w:r>
              <w:rPr>
                <w:rFonts w:ascii="Arial" w:cs="Arial" w:eastAsia="Arial" w:hAnsi="Arial"/>
                <w:sz w:val="16"/>
                <w:szCs w:val="16"/>
                <w:b w:val="1"/>
                <w:bCs w:val="1"/>
                <w:color w:val="auto"/>
              </w:rPr>
              <w:t>Aggregate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3"/>
                <w:szCs w:val="13"/>
                <w:color w:val="auto"/>
              </w:rPr>
            </w:pPr>
          </w:p>
        </w:tc>
        <w:tc>
          <w:tcPr>
            <w:tcW w:w="1060" w:type="dxa"/>
            <w:vAlign w:val="bottom"/>
          </w:tcPr>
          <w:p>
            <w:pPr>
              <w:jc w:val="right"/>
              <w:ind w:right="179"/>
              <w:spacing w:after="0" w:line="158" w:lineRule="exact"/>
              <w:rPr>
                <w:sz w:val="20"/>
                <w:szCs w:val="20"/>
                <w:color w:val="auto"/>
              </w:rPr>
            </w:pPr>
            <w:r>
              <w:rPr>
                <w:rFonts w:ascii="Arial" w:cs="Arial" w:eastAsia="Arial" w:hAnsi="Arial"/>
                <w:sz w:val="16"/>
                <w:szCs w:val="16"/>
                <w:b w:val="1"/>
                <w:bCs w:val="1"/>
                <w:color w:val="auto"/>
                <w:w w:val="98"/>
              </w:rPr>
              <w:t>Aggregate</w:t>
            </w:r>
          </w:p>
        </w:tc>
      </w:tr>
      <w:tr>
        <w:trPr>
          <w:trHeight w:val="213"/>
        </w:trPr>
        <w:tc>
          <w:tcPr>
            <w:tcW w:w="5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4"/>
              </w:rPr>
              <w:t>Cost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Fair Value</w:t>
            </w:r>
          </w:p>
        </w:tc>
      </w:tr>
      <w:tr>
        <w:trPr>
          <w:trHeight w:val="19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40" w:type="dxa"/>
            <w:vAlign w:val="bottom"/>
            <w:gridSpan w:val="5"/>
            <w:shd w:val="clear" w:color="auto" w:fill="CCEEFF"/>
          </w:tcPr>
          <w:p>
            <w:pPr>
              <w:ind w:left="700"/>
              <w:spacing w:after="0"/>
              <w:rPr>
                <w:sz w:val="20"/>
                <w:szCs w:val="20"/>
                <w:color w:val="auto"/>
              </w:rPr>
            </w:pPr>
            <w:r>
              <w:rPr>
                <w:rFonts w:ascii="Arial" w:cs="Arial" w:eastAsia="Arial" w:hAnsi="Arial"/>
                <w:sz w:val="14"/>
                <w:szCs w:val="14"/>
                <w:color w:val="auto"/>
              </w:rPr>
              <w:t>(In thousands)</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Less than one year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1,740,368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1,710,876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1,943,836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1,909,218</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One to three years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1,481,688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1,462,566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1,661,372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1,594,099</w:t>
            </w:r>
          </w:p>
        </w:tc>
      </w:tr>
      <w:tr>
        <w:trPr>
          <w:trHeight w:val="207"/>
        </w:trPr>
        <w:tc>
          <w:tcPr>
            <w:tcW w:w="538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3,222,056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3,173,442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3,605,208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3,503,317</w:t>
            </w:r>
          </w:p>
        </w:tc>
      </w:tr>
      <w:tr>
        <w:trPr>
          <w:trHeight w:val="24"/>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Equity Securities</w:t>
      </w:r>
    </w:p>
    <w:p>
      <w:pPr>
        <w:spacing w:after="0" w:line="22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equity securities consist of shares of a publicly traded company that were received as consideration in a divestiture transaction described further in Note 5.</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Strategic Investments</w:t>
      </w:r>
    </w:p>
    <w:p>
      <w:pPr>
        <w:spacing w:after="0" w:line="225"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As of September 30, 2023 and December 31, 2022, the Company held strategic investments with a carrying value of $30.7 million and $76.9 million, respectively, recorded as other long-term assets in the accompanying condensed consolidated balance sheets. The carrying value of these securities is determined under the measurement alternative on a non-recurring basis and adjusted for observable changes in fair value or impairment. In the nine months ended September 30, 2023, the Company remeasured to fair value one of its strategic investments acquired in 2021 due to an assessed impairment. The fair value measurement of the strategic investment is classified as Level 2 in the fair value hierarchy and the primary input used in the fair value measurement was the publicly available stock price of the issuer’s unrestricted security of the same class. The impairment loss of $46.2 million is recorded in other expenses, net, in the accompanying condensed consolidated statement of operations for the nine months ended September 30, 2023. There were no other impairments or adjustments recorded in the three and nine months ended September 30, 2023 and 2022 related to these securities.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Liabilities</w:t>
      </w:r>
    </w:p>
    <w:p>
      <w:pPr>
        <w:spacing w:after="0" w:line="225"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Company’s financial liabilities that are measured at fair value on a recurring basis consist of foreign currency derivative liabilities and are classified as Level 2 financial instruments in the fair value hierarchy. As of September 30, 2023 and December 31, 2022, the aggregate fair value of these liabilities and the associated unrealized losses were not significant.</w:t>
      </w:r>
    </w:p>
    <w:p>
      <w:pPr>
        <w:spacing w:after="0" w:line="184" w:lineRule="exact"/>
        <w:rPr>
          <w:sz w:val="20"/>
          <w:szCs w:val="20"/>
          <w:color w:val="auto"/>
        </w:rPr>
      </w:pPr>
    </w:p>
    <w:p>
      <w:pPr>
        <w:ind w:right="340" w:firstLine="486"/>
        <w:spacing w:after="0" w:line="311" w:lineRule="auto"/>
        <w:rPr>
          <w:sz w:val="20"/>
          <w:szCs w:val="20"/>
          <w:color w:val="auto"/>
        </w:rPr>
      </w:pPr>
      <w:r>
        <w:rPr>
          <w:rFonts w:ascii="Arial" w:cs="Arial" w:eastAsia="Arial" w:hAnsi="Arial"/>
          <w:sz w:val="16"/>
          <w:szCs w:val="16"/>
          <w:color w:val="auto"/>
        </w:rPr>
        <w:t>The Company’s financial liabilities that are not measured at fair value on a recurring basis are its Senior Notes due 2029 (“2029 Notes”) and its Senior Notes due 2031 (“2031 Notes”). As of September 30, 2023, the fair value of the 2029 Notes and 2031 Notes were $419.0 million and $407.5 million, respectively. As of December 31, 2022, the fair value of the 2029 Notes and 2031 Notes were $410.9 million and $399.4 million,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As of September 30,</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As of December 31,</w:t>
            </w:r>
          </w:p>
        </w:tc>
      </w:tr>
      <w:tr>
        <w:trPr>
          <w:trHeight w:val="210"/>
        </w:trPr>
        <w:tc>
          <w:tcPr>
            <w:tcW w:w="66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720"/>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r>
      <w:tr>
        <w:trPr>
          <w:trHeight w:val="179"/>
        </w:trPr>
        <w:tc>
          <w:tcPr>
            <w:tcW w:w="6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gridSpan w:val="4"/>
          </w:tcPr>
          <w:p>
            <w:pPr>
              <w:jc w:val="right"/>
              <w:ind w:right="1459"/>
              <w:spacing w:after="0"/>
              <w:rPr>
                <w:sz w:val="20"/>
                <w:szCs w:val="20"/>
                <w:color w:val="auto"/>
              </w:rPr>
            </w:pPr>
            <w:r>
              <w:rPr>
                <w:rFonts w:ascii="Arial" w:cs="Arial" w:eastAsia="Arial" w:hAnsi="Arial"/>
                <w:sz w:val="14"/>
                <w:szCs w:val="14"/>
                <w:color w:val="auto"/>
              </w:rPr>
              <w:t>(In thousands)</w:t>
            </w:r>
          </w:p>
        </w:tc>
      </w:tr>
      <w:tr>
        <w:trPr>
          <w:trHeight w:val="20"/>
        </w:trPr>
        <w:tc>
          <w:tcPr>
            <w:tcW w:w="6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internal-use software developments costs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257,983</w:t>
            </w:r>
          </w:p>
        </w:tc>
      </w:tr>
      <w:tr>
        <w:trPr>
          <w:trHeight w:val="216"/>
        </w:trPr>
        <w:tc>
          <w:tcPr>
            <w:tcW w:w="66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Data center equipment </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105,027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100,207</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91,660</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Office equipment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61,578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70,815</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14,935</w:t>
            </w:r>
          </w:p>
        </w:tc>
      </w:tr>
      <w:tr>
        <w:trPr>
          <w:trHeight w:val="21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Software</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14,675</w:t>
            </w:r>
          </w:p>
        </w:tc>
      </w:tr>
      <w:tr>
        <w:trPr>
          <w:trHeight w:val="213"/>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property and equipment</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574,210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550,275</w:t>
            </w:r>
          </w:p>
        </w:tc>
      </w:tr>
      <w:tr>
        <w:trPr>
          <w:trHeight w:val="216"/>
        </w:trPr>
        <w:tc>
          <w:tcPr>
            <w:tcW w:w="66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accumulated depreciation and amortization </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(351,953)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(286,296)</w:t>
            </w:r>
          </w:p>
        </w:tc>
      </w:tr>
      <w:tr>
        <w:trPr>
          <w:trHeight w:val="235"/>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222,257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263,979</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11" w:lineRule="exact"/>
        <w:rPr>
          <w:sz w:val="20"/>
          <w:szCs w:val="20"/>
          <w:color w:val="auto"/>
        </w:rPr>
      </w:pPr>
    </w:p>
    <w:p>
      <w:pPr>
        <w:ind w:right="180"/>
        <w:spacing w:after="0" w:line="231" w:lineRule="auto"/>
        <w:rPr>
          <w:sz w:val="20"/>
          <w:szCs w:val="20"/>
          <w:color w:val="auto"/>
        </w:rPr>
      </w:pPr>
      <w:r>
        <w:rPr>
          <w:rFonts w:ascii="Arial" w:cs="Arial" w:eastAsia="Arial" w:hAnsi="Arial"/>
          <w:sz w:val="9"/>
          <w:szCs w:val="9"/>
          <w:color w:val="auto"/>
        </w:rPr>
        <w:t>(</w:t>
      </w:r>
      <w:r>
        <w:rPr>
          <w:rFonts w:ascii="Arial" w:cs="Arial" w:eastAsia="Arial" w:hAnsi="Arial"/>
          <w:sz w:val="21"/>
          <w:szCs w:val="21"/>
          <w:color w:val="auto"/>
          <w:vertAlign w:val="superscript"/>
        </w:rPr>
        <w:t>1</w:t>
      </w:r>
      <w:r>
        <w:rPr>
          <w:rFonts w:ascii="Arial" w:cs="Arial" w:eastAsia="Arial" w:hAnsi="Arial"/>
          <w:sz w:val="9"/>
          <w:szCs w:val="9"/>
          <w:color w:val="auto"/>
        </w:rPr>
        <w:t xml:space="preserve">) </w:t>
      </w:r>
      <w:r>
        <w:rPr>
          <w:rFonts w:ascii="Arial" w:cs="Arial" w:eastAsia="Arial" w:hAnsi="Arial"/>
          <w:sz w:val="16"/>
          <w:szCs w:val="16"/>
          <w:color w:val="auto"/>
        </w:rPr>
        <w:t>Data center equipment contains $72.4 million in assets held under finance leases as of September 30, 2023 and December 31, 2022. Accumulated depreciation and</w:t>
      </w:r>
      <w:r>
        <w:rPr>
          <w:rFonts w:ascii="Arial" w:cs="Arial" w:eastAsia="Arial" w:hAnsi="Arial"/>
          <w:sz w:val="9"/>
          <w:szCs w:val="9"/>
          <w:color w:val="auto"/>
        </w:rPr>
        <w:t xml:space="preserve"> </w:t>
      </w:r>
      <w:r>
        <w:rPr>
          <w:rFonts w:ascii="Arial" w:cs="Arial" w:eastAsia="Arial" w:hAnsi="Arial"/>
          <w:sz w:val="16"/>
          <w:szCs w:val="16"/>
          <w:color w:val="auto"/>
        </w:rPr>
        <w:t>amortization includes $52.4 million and $41.2 million of accumulated depreciation for assets held under finance leases as of September 30, 2023 and December 31, 2022, respectively.</w:t>
      </w:r>
    </w:p>
    <w:p>
      <w:pPr>
        <w:spacing w:after="0" w:line="20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Depreciation and amortization expense was $23.2 million and $18.4 million in the three months ended September 30, 2023 and 2022, respectively, and $67.5 million and $52.5 million in the nine months ended September 30, 2023 and 2022, respectively.</w:t>
      </w:r>
    </w:p>
    <w:p>
      <w:pPr>
        <w:spacing w:after="0" w:line="170" w:lineRule="exact"/>
        <w:rPr>
          <w:sz w:val="20"/>
          <w:szCs w:val="20"/>
          <w:color w:val="auto"/>
        </w:rPr>
      </w:pPr>
    </w:p>
    <w:p>
      <w:pPr>
        <w:ind w:firstLine="486"/>
        <w:spacing w:after="0" w:line="224" w:lineRule="exact"/>
        <w:rPr>
          <w:sz w:val="20"/>
          <w:szCs w:val="20"/>
          <w:color w:val="auto"/>
        </w:rPr>
      </w:pPr>
      <w:r>
        <w:rPr>
          <w:rFonts w:ascii="Arial" w:cs="Arial" w:eastAsia="Arial" w:hAnsi="Arial"/>
          <w:sz w:val="17"/>
          <w:szCs w:val="17"/>
          <w:color w:val="auto"/>
        </w:rPr>
        <w:t>The Company capitalized $14.7 million and $19.3 million in internal</w:t>
      </w:r>
      <w:r>
        <w:rPr>
          <w:rFonts w:ascii="MS PGothic" w:cs="MS PGothic" w:eastAsia="MS PGothic" w:hAnsi="MS PGothic"/>
          <w:sz w:val="17"/>
          <w:szCs w:val="17"/>
          <w:color w:val="auto"/>
        </w:rPr>
        <w:t>‑</w:t>
      </w:r>
      <w:r>
        <w:rPr>
          <w:rFonts w:ascii="Arial" w:cs="Arial" w:eastAsia="Arial" w:hAnsi="Arial"/>
          <w:sz w:val="17"/>
          <w:szCs w:val="17"/>
          <w:color w:val="auto"/>
        </w:rPr>
        <w:t>use software development costs in the three months ended September 30, 2023 and 2022, respectively, and $43.7 million and $51.2 million in the nine months ended September 30, 2023 and 2022, respectively.</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Divestitures</w:t>
      </w:r>
    </w:p>
    <w:p>
      <w:pPr>
        <w:spacing w:after="0" w:line="22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In July 2023, the Company completed the sale of its ValueFirst business, which operated an enterprise communications platform in India, for a total cash sales price of $45.5 million, or $38.2 million in proceeds, net of cash divested. As part of the transaction, the Company divested $17.4 million of tangible net assets, $17.3 million of intangible assets and $34.6 million of goodwill. The sale resulted in a loss of $28.8 million, which was recorded in the second quarter of 2023 when the assets and the liabilities were classified as held for sale. The loss was recorded within general and administrative expenses in the accompanying condensed consolidated statement of operations for the nine months ended September 30, 2023. The Company also recorded an additional $3.3 million of divestiture-related expenses in the same period.</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Separately, in the second quarter of 2023, the Company sold its Internet of Things (“IoT”) disposal group for stock consideration of $15.8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loss on divestiture and related expenses were not significant.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Impairment</w:t>
      </w:r>
    </w:p>
    <w:p>
      <w:pPr>
        <w:spacing w:after="0" w:line="229"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In February 2023, the Company announced plans to close additional offices during 2023 as part of its previously announced strategy to become a remote-first company. The Company regularly assesses recoverability of all impacted right-of-use (“ROU”) assets and the related leasehold improvements and property and equipment for indicators of impairment. In the three and nine months ended September 30, 2023, the Company recorded a $3.2 million and $34.3 million impairment, respectively, related to its permanently closed offices. In the three and nine months ended September 30, 2022, the Company recorded a $97.7 million impairment in each period related to its permanently closed offices.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other significant impairments were recorded in the three and nine months ended September 30, 2023 or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 Activities</w:t>
      </w:r>
    </w:p>
    <w:p>
      <w:pPr>
        <w:spacing w:after="0" w:line="22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February 2023, the Company announced a workforce reduction plan (the “February 2023 Plan”) that eliminated approximately 17% of the Company’s workforce. The execution of the February 2023 Plan was substantially complete in the first quarter of 2023. The restructuring charges recorded in the three months ended September 30, 2023 were not significant. The cumulated restructuring charges recorded in the nine months ended September 30, 2023, were $140.3 million, which consisted of $129.2 million related to employee severance, benefits and facilitation costs, and $11.1 million related to vesting of employee stock-based compensation awards. The estimated remaining expenses related to the February 2023 Plan are not expected to be significant.</w:t>
      </w:r>
    </w:p>
    <w:p>
      <w:pPr>
        <w:spacing w:after="0" w:line="192"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table summarizes the Company’s restructuring liability related to the February 2023 Plan that is included in accrued expenses and other current liabilities in the accompanying 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Workforce</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Facilitation Costs</w:t>
            </w:r>
          </w:p>
        </w:tc>
        <w:tc>
          <w:tcPr>
            <w:tcW w:w="280" w:type="dxa"/>
            <w:vAlign w:val="bottom"/>
          </w:tcPr>
          <w:p>
            <w:pPr>
              <w:spacing w:after="0"/>
              <w:rPr>
                <w:sz w:val="16"/>
                <w:szCs w:val="16"/>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780" w:type="dxa"/>
            <w:vAlign w:val="bottom"/>
          </w:tcPr>
          <w:p>
            <w:pPr>
              <w:spacing w:after="0"/>
              <w:rPr>
                <w:sz w:val="18"/>
                <w:szCs w:val="18"/>
                <w:color w:val="auto"/>
              </w:rPr>
            </w:pPr>
          </w:p>
        </w:tc>
        <w:tc>
          <w:tcPr>
            <w:tcW w:w="14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8"/>
              </w:rPr>
              <w:t>Reduction Costs</w:t>
            </w:r>
          </w:p>
        </w:tc>
        <w:tc>
          <w:tcPr>
            <w:tcW w:w="13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201"/>
              <w:spacing w:after="0"/>
              <w:rPr>
                <w:sz w:val="20"/>
                <w:szCs w:val="20"/>
                <w:color w:val="auto"/>
              </w:rPr>
            </w:pPr>
            <w:r>
              <w:rPr>
                <w:rFonts w:ascii="Arial" w:cs="Arial" w:eastAsia="Arial" w:hAnsi="Arial"/>
                <w:sz w:val="14"/>
                <w:szCs w:val="14"/>
                <w:color w:val="auto"/>
                <w:w w:val="96"/>
              </w:rPr>
              <w:t>(In thousands)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80" w:type="dxa"/>
            <w:vAlign w:val="bottom"/>
          </w:tcPr>
          <w:p>
            <w:pPr>
              <w:ind w:left="140"/>
              <w:spacing w:after="0"/>
              <w:rPr>
                <w:sz w:val="20"/>
                <w:szCs w:val="20"/>
                <w:color w:val="auto"/>
              </w:rPr>
            </w:pPr>
            <w:r>
              <w:rPr>
                <w:rFonts w:ascii="Arial" w:cs="Arial" w:eastAsia="Arial" w:hAnsi="Arial"/>
                <w:sz w:val="16"/>
                <w:szCs w:val="16"/>
                <w:color w:val="auto"/>
              </w:rPr>
              <w:t>Restructuring charges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119,562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9,623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129,185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(107,997)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(9,529)</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(117,526)</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Balance as of September 30, 2023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11,659</w:t>
            </w: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remaining restructuring charges related to the restructuring plan effected in September 2022 (the “September 2022 Plan”) that were incurred in 2023, and the remaining liabilities related to the September 2022 Plan as of September 30, 2023 and December 31, 2022, were not significant. In the three and nine months ended September 30, 2022, the Company recorded $72.5 million of restructuring charges in its accompanying condensed consolidated statements of operations related to the September 2022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Reorganization and Segment Reporting</w:t>
      </w:r>
    </w:p>
    <w:p>
      <w:pPr>
        <w:spacing w:after="0" w:line="229"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In February 2023, the Company announced a reorganization of its business into two business units, Twilio Communications and Twilio Data &amp; Applications (the “Reorganization”). With the Reorganization, the Company changed the organizational structure of its business, including the way management operates the business.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firstLine="486"/>
        <w:spacing w:after="0" w:line="259" w:lineRule="auto"/>
        <w:rPr>
          <w:sz w:val="20"/>
          <w:szCs w:val="20"/>
          <w:color w:val="auto"/>
        </w:rPr>
      </w:pPr>
      <w:r>
        <w:rPr>
          <w:rFonts w:ascii="Arial" w:cs="Arial" w:eastAsia="Arial" w:hAnsi="Arial"/>
          <w:sz w:val="18"/>
          <w:szCs w:val="18"/>
          <w:color w:val="auto"/>
        </w:rPr>
        <w:t>The Company’s Chief Executive Officer is its CODM. In the second quarter of 2023, the Company began regularly providing the CODM with discrete financial information for each business unit, as presented below, which required a reevaluation of the Company’s operating and reportable segments in accordance with ASC 280. The Company concluded that as of June 30, 2023, it had two operating and reportable segments: Twilio Communications and Twilio Data &amp; Applications.</w:t>
      </w:r>
    </w:p>
    <w:p>
      <w:pPr>
        <w:spacing w:after="0" w:line="18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u w:val="single" w:color="auto"/>
          <w:color w:val="auto"/>
        </w:rPr>
        <w:t>Twilio Communications</w:t>
      </w:r>
      <w:r>
        <w:rPr>
          <w:rFonts w:ascii="Arial" w:cs="Arial" w:eastAsia="Arial" w:hAnsi="Arial"/>
          <w:sz w:val="18"/>
          <w:szCs w:val="18"/>
          <w:color w:val="auto"/>
        </w:rPr>
        <w:t>: The Communications segment consists of a variety of application programming interfaces (“APIs”) and software solutions to optimize communications between Twilio customers and their end users. The key products from which the segment derives its revenue are Messaging, Voice and Email.</w:t>
      </w:r>
    </w:p>
    <w:p>
      <w:pPr>
        <w:spacing w:after="0" w:line="18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u w:val="single" w:color="auto"/>
          <w:color w:val="auto"/>
        </w:rPr>
        <w:t>Twilio Data &amp; Applications</w:t>
      </w:r>
      <w:r>
        <w:rPr>
          <w:rFonts w:ascii="Arial" w:cs="Arial" w:eastAsia="Arial" w:hAnsi="Arial"/>
          <w:sz w:val="18"/>
          <w:szCs w:val="18"/>
          <w:color w:val="auto"/>
        </w:rPr>
        <w:t>: The Data &amp; Applications segment consists of software products that enable businesses to achieve more effective customer engagement by providing the tools necessary for customers to build direct, personalized relationships with their end users. The key products from which the segment derives its revenue are Segment, Engage, Flex and Marketing Campaigns.</w:t>
      </w:r>
    </w:p>
    <w:p>
      <w:pPr>
        <w:spacing w:after="0" w:line="184"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Presented below is the discrete financial information by reportable segment for the three and nine months ended September 30, 2023 and 2022, that is regularly reviewed by the CODM for performance assessment and resource allocation decisions. Asset information is not presented below since it is not reviewed by the CODM on a segment by segment basis. Revenue and costs of revenue are generally directly attributable to each segment. Certain costs of revenue are allocated based on methodologies that best reflect the patterns of consumption of these costs. Prior period comparative financial information presented below was restated to conform to the current period presentation.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Arial" w:cs="Arial" w:eastAsia="Arial" w:hAnsi="Arial"/>
                <w:sz w:val="16"/>
                <w:szCs w:val="16"/>
                <w:b w:val="1"/>
                <w:bCs w:val="1"/>
                <w:color w:val="auto"/>
                <w:w w:val="98"/>
              </w:rPr>
              <w:t>Three Months Ended September 30,</w:t>
            </w:r>
          </w:p>
        </w:tc>
        <w:tc>
          <w:tcPr>
            <w:tcW w:w="260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79"/>
        </w:trPr>
        <w:tc>
          <w:tcPr>
            <w:tcW w:w="5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(In thousands)</w:t>
            </w: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Communications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906,714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866,193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2,703,079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2,470,350</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Data &amp; Applications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126,956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116,837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374,916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331,397</w:t>
            </w:r>
          </w:p>
        </w:tc>
        <w:tc>
          <w:tcPr>
            <w:tcW w:w="0" w:type="dxa"/>
            <w:vAlign w:val="bottom"/>
          </w:tcPr>
          <w:p>
            <w:pPr>
              <w:spacing w:after="0"/>
              <w:rPr>
                <w:sz w:val="1"/>
                <w:szCs w:val="1"/>
                <w:color w:val="auto"/>
              </w:rPr>
            </w:pPr>
          </w:p>
        </w:tc>
      </w:tr>
      <w:tr>
        <w:trPr>
          <w:trHeight w:val="234"/>
        </w:trPr>
        <w:tc>
          <w:tcPr>
            <w:tcW w:w="5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1,033,670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983,030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3,077,995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2,801,747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Non-GAAP gross profit:</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Communications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401,236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1,316,541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1,160,683</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Data &amp; Applications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101,268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97,897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304,074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279,441</w:t>
            </w:r>
          </w:p>
        </w:tc>
        <w:tc>
          <w:tcPr>
            <w:tcW w:w="0" w:type="dxa"/>
            <w:vAlign w:val="bottom"/>
          </w:tcPr>
          <w:p>
            <w:pPr>
              <w:spacing w:after="0"/>
              <w:rPr>
                <w:sz w:val="1"/>
                <w:szCs w:val="1"/>
                <w:color w:val="auto"/>
              </w:rPr>
            </w:pPr>
          </w:p>
        </w:tc>
      </w:tr>
      <w:tr>
        <w:trPr>
          <w:trHeight w:val="235"/>
        </w:trPr>
        <w:tc>
          <w:tcPr>
            <w:tcW w:w="5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552,598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499,133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1,620,615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1,440,124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non-GAAP gross profit to gross profit: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180"/>
              <w:spacing w:after="0"/>
              <w:rPr>
                <w:sz w:val="20"/>
                <w:szCs w:val="20"/>
                <w:color w:val="auto"/>
              </w:rPr>
            </w:pPr>
            <w:r>
              <w:rPr>
                <w:rFonts w:ascii="Arial" w:cs="Arial" w:eastAsia="Arial" w:hAnsi="Arial"/>
                <w:sz w:val="16"/>
                <w:szCs w:val="16"/>
                <w:color w:val="auto"/>
              </w:rPr>
              <w:t>Total non-GAAP gross profit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552,598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499,133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1,620,615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1,440,124</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(14,631)</w:t>
            </w:r>
          </w:p>
        </w:tc>
        <w:tc>
          <w:tcPr>
            <w:tcW w:w="0" w:type="dxa"/>
            <w:vAlign w:val="bottom"/>
          </w:tcPr>
          <w:p>
            <w:pPr>
              <w:spacing w:after="0"/>
              <w:rPr>
                <w:sz w:val="1"/>
                <w:szCs w:val="1"/>
                <w:color w:val="auto"/>
              </w:rPr>
            </w:pPr>
          </w:p>
        </w:tc>
      </w:tr>
      <w:tr>
        <w:trPr>
          <w:trHeight w:val="213"/>
        </w:trPr>
        <w:tc>
          <w:tcPr>
            <w:tcW w:w="5560" w:type="dxa"/>
            <w:vAlign w:val="bottom"/>
          </w:tcPr>
          <w:p>
            <w:pPr>
              <w:ind w:left="180"/>
              <w:spacing w:after="0"/>
              <w:rPr>
                <w:sz w:val="20"/>
                <w:szCs w:val="20"/>
                <w:color w:val="auto"/>
              </w:rPr>
            </w:pPr>
            <w:r>
              <w:rPr>
                <w:rFonts w:ascii="Arial" w:cs="Arial" w:eastAsia="Arial" w:hAnsi="Arial"/>
                <w:sz w:val="16"/>
                <w:szCs w:val="16"/>
                <w:color w:val="auto"/>
              </w:rPr>
              <w:t>Amortization of acquired intangibles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(29,045)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(30,729)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(88,675)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(92,601)</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Payroll taxes related to stock-based compensation</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07"/>
        </w:trPr>
        <w:tc>
          <w:tcPr>
            <w:tcW w:w="55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Gross profit</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516,319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462,075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1,512,764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1,332,435</w:t>
            </w: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(625,222)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(919,072)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(2,027,578)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(2,319,176)</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net</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(122,261)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(36,666)</w:t>
            </w:r>
          </w:p>
        </w:tc>
        <w:tc>
          <w:tcPr>
            <w:tcW w:w="0" w:type="dxa"/>
            <w:vAlign w:val="bottom"/>
          </w:tcPr>
          <w:p>
            <w:pPr>
              <w:spacing w:after="0"/>
              <w:rPr>
                <w:sz w:val="1"/>
                <w:szCs w:val="1"/>
                <w:color w:val="auto"/>
              </w:rPr>
            </w:pPr>
          </w:p>
        </w:tc>
      </w:tr>
      <w:tr>
        <w:trPr>
          <w:trHeight w:val="235"/>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Loss before provision for income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(139,960)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(478,747)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(637,075)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(1,023,407)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Depreciation and amortization expenses included in non-GAAP gross profit for the Communications reportable segment was $13.0 million and $7.7 million in the three months ended September 30, 2023 and 2022, respectively, and $36.1 million and $21.4 million in the nine months ended September 30, 2023 and 2022, respectively.</w:t>
      </w:r>
    </w:p>
    <w:p>
      <w:pPr>
        <w:spacing w:after="0" w:line="211"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Depreciation and amortization expenses included in non-GAAP gross profit for the Data &amp; Applications reportable segment was $3.2 million and $1.9 million in the three months ended September 30, 2023 and 2022, respectively, and $9.8 million and $4.7 million in the nine months ended September 30, 2023 and 2022,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 and Hedging</w:t>
      </w:r>
    </w:p>
    <w:p>
      <w:pPr>
        <w:spacing w:after="0" w:line="229"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As of September 30, 2023, the Company had outstanding foreign currency forward contracts designated as cash flow hedges with a total sell notional value of $237.7 million. The notional value represents the amount that will be sold upon maturity of the forward contract. As of September 30, 2023, these contracts had maturities of up to seventeen months.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Gains and losses associated with these foreign currency forward contracts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6"/>
                <w:szCs w:val="16"/>
                <w:color w:val="auto"/>
              </w:rPr>
            </w:pPr>
          </w:p>
        </w:tc>
        <w:tc>
          <w:tcPr>
            <w:tcW w:w="194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3080" w:type="dxa"/>
            <w:vAlign w:val="bottom"/>
          </w:tcPr>
          <w:p>
            <w:pPr>
              <w:spacing w:after="0"/>
              <w:rPr>
                <w:sz w:val="18"/>
                <w:szCs w:val="18"/>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Condensed Consolidated Statement of Operations</w:t>
            </w:r>
          </w:p>
        </w:tc>
        <w:tc>
          <w:tcPr>
            <w:tcW w:w="220" w:type="dxa"/>
            <w:vAlign w:val="bottom"/>
          </w:tcPr>
          <w:p>
            <w:pPr>
              <w:spacing w:after="0"/>
              <w:rPr>
                <w:sz w:val="18"/>
                <w:szCs w:val="18"/>
                <w:color w:val="auto"/>
              </w:rPr>
            </w:pPr>
          </w:p>
        </w:tc>
        <w:tc>
          <w:tcPr>
            <w:tcW w:w="20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8"/>
                <w:szCs w:val="18"/>
                <w:color w:val="auto"/>
              </w:rPr>
            </w:pPr>
          </w:p>
        </w:tc>
        <w:tc>
          <w:tcPr>
            <w:tcW w:w="1940" w:type="dxa"/>
            <w:vAlign w:val="bottom"/>
            <w:gridSpan w:val="3"/>
          </w:tcPr>
          <w:p>
            <w:pPr>
              <w:ind w:left="360"/>
              <w:spacing w:after="0"/>
              <w:rPr>
                <w:sz w:val="20"/>
                <w:szCs w:val="20"/>
                <w:color w:val="auto"/>
              </w:rPr>
            </w:pPr>
            <w:r>
              <w:rPr>
                <w:rFonts w:ascii="Arial" w:cs="Arial" w:eastAsia="Arial" w:hAnsi="Arial"/>
                <w:sz w:val="16"/>
                <w:szCs w:val="16"/>
                <w:b w:val="1"/>
                <w:bCs w:val="1"/>
                <w:color w:val="auto"/>
              </w:rPr>
              <w:t>September 30,</w:t>
            </w:r>
          </w:p>
        </w:tc>
      </w:tr>
      <w:tr>
        <w:trPr>
          <w:trHeight w:val="207"/>
        </w:trPr>
        <w:tc>
          <w:tcPr>
            <w:tcW w:w="3080" w:type="dxa"/>
            <w:vAlign w:val="bottom"/>
          </w:tcPr>
          <w:p>
            <w:pPr>
              <w:spacing w:after="0"/>
              <w:rPr>
                <w:sz w:val="17"/>
                <w:szCs w:val="17"/>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and Statement of Comprehensive Loss</w:t>
            </w: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r>
      <w:tr>
        <w:trPr>
          <w:trHeight w:val="179"/>
        </w:trPr>
        <w:tc>
          <w:tcPr>
            <w:tcW w:w="3080" w:type="dxa"/>
            <w:vAlign w:val="bottom"/>
          </w:tcPr>
          <w:p>
            <w:pPr>
              <w:spacing w:after="0"/>
              <w:rPr>
                <w:sz w:val="15"/>
                <w:szCs w:val="15"/>
                <w:color w:val="auto"/>
              </w:rPr>
            </w:pPr>
          </w:p>
        </w:tc>
        <w:tc>
          <w:tcPr>
            <w:tcW w:w="3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4"/>
          </w:tcPr>
          <w:p>
            <w:pPr>
              <w:jc w:val="right"/>
              <w:ind w:right="619"/>
              <w:spacing w:after="0"/>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r>
      <w:tr>
        <w:trPr>
          <w:trHeight w:val="20"/>
        </w:trPr>
        <w:tc>
          <w:tcPr>
            <w:tcW w:w="3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30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Losses recognized in OCI</w:t>
            </w:r>
          </w:p>
        </w:tc>
        <w:tc>
          <w:tcPr>
            <w:tcW w:w="372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6"/>
                <w:szCs w:val="16"/>
                <w:color w:val="auto"/>
              </w:rPr>
              <w:t>Net change in market value of effective foreign</w:t>
            </w:r>
          </w:p>
        </w:tc>
        <w:tc>
          <w:tcPr>
            <w:tcW w:w="220" w:type="dxa"/>
            <w:vAlign w:val="bottom"/>
            <w:shd w:val="clear" w:color="auto" w:fill="CCEEFF"/>
          </w:tcPr>
          <w:p>
            <w:pPr>
              <w:jc w:val="right"/>
              <w:ind w:right="39"/>
              <w:spacing w:after="0" w:line="166"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(8,626)</w:t>
            </w:r>
          </w:p>
        </w:tc>
        <w:tc>
          <w:tcPr>
            <w:tcW w:w="280" w:type="dxa"/>
            <w:vAlign w:val="bottom"/>
            <w:shd w:val="clear" w:color="auto" w:fill="CCEEFF"/>
          </w:tcPr>
          <w:p>
            <w:pPr>
              <w:jc w:val="right"/>
              <w:ind w:right="39"/>
              <w:spacing w:after="0" w:line="166"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(19,196)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9"/>
              <w:spacing w:after="0" w:line="166"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(7,458)</w:t>
            </w:r>
          </w:p>
        </w:tc>
        <w:tc>
          <w:tcPr>
            <w:tcW w:w="300" w:type="dxa"/>
            <w:vAlign w:val="bottom"/>
            <w:shd w:val="clear" w:color="auto" w:fill="CCEEFF"/>
          </w:tcPr>
          <w:p>
            <w:pPr>
              <w:jc w:val="right"/>
              <w:ind w:right="59"/>
              <w:spacing w:after="0" w:line="166"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(34,154)</w:t>
            </w:r>
          </w:p>
        </w:tc>
      </w:tr>
      <w:tr>
        <w:trPr>
          <w:trHeight w:val="212"/>
        </w:trPr>
        <w:tc>
          <w:tcPr>
            <w:tcW w:w="30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currency forward exchange contracts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66"/>
        </w:trPr>
        <w:tc>
          <w:tcPr>
            <w:tcW w:w="3080" w:type="dxa"/>
            <w:vAlign w:val="bottom"/>
          </w:tcPr>
          <w:p>
            <w:pPr>
              <w:ind w:left="20"/>
              <w:spacing w:after="0" w:line="166" w:lineRule="exact"/>
              <w:rPr>
                <w:sz w:val="20"/>
                <w:szCs w:val="20"/>
                <w:color w:val="auto"/>
              </w:rPr>
            </w:pPr>
            <w:r>
              <w:rPr>
                <w:rFonts w:ascii="Arial" w:cs="Arial" w:eastAsia="Arial" w:hAnsi="Arial"/>
                <w:sz w:val="16"/>
                <w:szCs w:val="16"/>
                <w:color w:val="auto"/>
                <w:w w:val="98"/>
              </w:rPr>
              <w:t>(Losses) gains recognized in income due to</w:t>
            </w:r>
          </w:p>
        </w:tc>
        <w:tc>
          <w:tcPr>
            <w:tcW w:w="37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Cost of revenue</w:t>
            </w:r>
          </w:p>
        </w:tc>
        <w:tc>
          <w:tcPr>
            <w:tcW w:w="220" w:type="dxa"/>
            <w:vAlign w:val="bottom"/>
          </w:tcPr>
          <w:p>
            <w:pPr>
              <w:jc w:val="right"/>
              <w:ind w:right="39"/>
              <w:spacing w:after="0" w:line="166"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(325)</w:t>
            </w:r>
          </w:p>
        </w:tc>
        <w:tc>
          <w:tcPr>
            <w:tcW w:w="280" w:type="dxa"/>
            <w:vAlign w:val="bottom"/>
          </w:tcPr>
          <w:p>
            <w:pPr>
              <w:jc w:val="right"/>
              <w:ind w:right="39"/>
              <w:spacing w:after="0" w:line="166"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(16,357)</w:t>
            </w:r>
          </w:p>
        </w:tc>
        <w:tc>
          <w:tcPr>
            <w:tcW w:w="120" w:type="dxa"/>
            <w:vAlign w:val="bottom"/>
          </w:tcPr>
          <w:p>
            <w:pPr>
              <w:spacing w:after="0"/>
              <w:rPr>
                <w:sz w:val="14"/>
                <w:szCs w:val="14"/>
                <w:color w:val="auto"/>
              </w:rPr>
            </w:pPr>
          </w:p>
        </w:tc>
        <w:tc>
          <w:tcPr>
            <w:tcW w:w="220" w:type="dxa"/>
            <w:vAlign w:val="bottom"/>
          </w:tcPr>
          <w:p>
            <w:pPr>
              <w:jc w:val="right"/>
              <w:ind w:right="39"/>
              <w:spacing w:after="0" w:line="166" w:lineRule="exact"/>
              <w:rPr>
                <w:sz w:val="20"/>
                <w:szCs w:val="20"/>
                <w:color w:val="auto"/>
              </w:rPr>
            </w:pPr>
            <w:r>
              <w:rPr>
                <w:rFonts w:ascii="Arial" w:cs="Arial" w:eastAsia="Arial" w:hAnsi="Arial"/>
                <w:sz w:val="16"/>
                <w:szCs w:val="16"/>
                <w:color w:val="auto"/>
                <w:w w:val="89"/>
              </w:rPr>
              <w:t>$</w:t>
            </w:r>
          </w:p>
        </w:tc>
        <w:tc>
          <w:tcPr>
            <w:tcW w:w="840" w:type="dxa"/>
            <w:vAlign w:val="bottom"/>
          </w:tcPr>
          <w:p>
            <w:pPr>
              <w:ind w:left="360"/>
              <w:spacing w:after="0" w:line="166" w:lineRule="exact"/>
              <w:rPr>
                <w:sz w:val="20"/>
                <w:szCs w:val="20"/>
                <w:color w:val="auto"/>
              </w:rPr>
            </w:pPr>
            <w:r>
              <w:rPr>
                <w:rFonts w:ascii="Arial" w:cs="Arial" w:eastAsia="Arial" w:hAnsi="Arial"/>
                <w:sz w:val="16"/>
                <w:szCs w:val="16"/>
                <w:color w:val="auto"/>
              </w:rPr>
              <w:t>2,571</w:t>
            </w:r>
          </w:p>
        </w:tc>
        <w:tc>
          <w:tcPr>
            <w:tcW w:w="300" w:type="dxa"/>
            <w:vAlign w:val="bottom"/>
          </w:tcPr>
          <w:p>
            <w:pPr>
              <w:jc w:val="right"/>
              <w:ind w:right="59"/>
              <w:spacing w:after="0" w:line="166"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6" w:lineRule="exact"/>
              <w:rPr>
                <w:sz w:val="20"/>
                <w:szCs w:val="20"/>
                <w:color w:val="auto"/>
              </w:rPr>
            </w:pPr>
            <w:r>
              <w:rPr>
                <w:rFonts w:ascii="Arial" w:cs="Arial" w:eastAsia="Arial" w:hAnsi="Arial"/>
                <w:sz w:val="16"/>
                <w:szCs w:val="16"/>
                <w:color w:val="auto"/>
              </w:rPr>
              <w:t>(25,520)</w:t>
            </w:r>
          </w:p>
        </w:tc>
      </w:tr>
      <w:tr>
        <w:trPr>
          <w:trHeight w:val="206"/>
        </w:trPr>
        <w:tc>
          <w:tcPr>
            <w:tcW w:w="3080" w:type="dxa"/>
            <w:vAlign w:val="bottom"/>
          </w:tcPr>
          <w:p>
            <w:pPr>
              <w:ind w:left="180"/>
              <w:spacing w:after="0"/>
              <w:rPr>
                <w:sz w:val="20"/>
                <w:szCs w:val="20"/>
                <w:color w:val="auto"/>
              </w:rPr>
            </w:pPr>
            <w:r>
              <w:rPr>
                <w:rFonts w:ascii="Arial" w:cs="Arial" w:eastAsia="Arial" w:hAnsi="Arial"/>
                <w:sz w:val="16"/>
                <w:szCs w:val="16"/>
                <w:color w:val="auto"/>
              </w:rPr>
              <w:t>instruments maturing</w:t>
            </w: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302"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condensed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September 30, 2023, the Company did not have any offsetting arrangements.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described in Note 8, in the second quarter of 2023, the Company concluded it had two operating and reportable segments. In connection with the shift from one operating and reportable segment to two operating and reportable segments, the Company reevaluated its reporting unit structure and determined that it had multiple reporting units. As such, during the second quarter of 2023, the Company reallocated goodwill to its newly formed reporting units.</w:t>
      </w:r>
    </w:p>
    <w:p>
      <w:pPr>
        <w:spacing w:after="0" w:line="214"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The Company estimates the fair value of its reporting units using a weighting of fair values derived from an income and a market approach. Estimating the fair value by these methods involves the use of a number of key assumptions including forecasted revenues and related growth rates, forecasted operating cash flows, the discount rate, and the selection of relevant market multiples of comparable publicly-traded companies with similar characteristics to the reporting unit. Under the income approach, the Company determined the fair value of a reporting unit based on the present value of estimated future cash flows. Cash flow projections are based on the Company’s best estimates of forecasted economic and market conditions over the period including growth rates and expected changes in operating cash flows. The discount rate used is based on a weighted average cost of capital adjusted for the relevant risk associated with the characteristics of the business and the projected cash flows. The market approach estimates fair value based on market multiples of current and forward 12-month revenue or adjusted EBITDA, as applicable, derived from comparable publicly traded companies with similar operating and investment characteristics as the reporting unit.</w:t>
      </w:r>
    </w:p>
    <w:p>
      <w:pPr>
        <w:spacing w:after="0" w:line="208"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While these assumptions reflect management’s best estimates of future performance at the time, these estimates are inherently complex and uncertain and the Company’s actual results could differ materially from these estimates.</w:t>
      </w:r>
    </w:p>
    <w:p>
      <w:pPr>
        <w:spacing w:after="0" w:line="19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In connection with the goodwill reallocation, the Company assessed goodwill for impairment immediately before and immediately after the change in the reporting unit structure and related goodwill reallocation. Both assessments concluded that the fair value of the reporting units were above their respective carrying amounts.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presents the goodwill allocated to the Company’s reportable segments as of September 30, 2023 and December 31, 2022, and the changes during the period: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Twilio</w:t>
            </w:r>
          </w:p>
        </w:tc>
        <w:tc>
          <w:tcPr>
            <w:tcW w:w="160" w:type="dxa"/>
            <w:vAlign w:val="bottom"/>
          </w:tcPr>
          <w:p>
            <w:pPr>
              <w:spacing w:after="0"/>
              <w:rPr>
                <w:sz w:val="16"/>
                <w:szCs w:val="16"/>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Twilio</w:t>
            </w:r>
          </w:p>
        </w:tc>
        <w:tc>
          <w:tcPr>
            <w:tcW w:w="380" w:type="dxa"/>
            <w:vAlign w:val="bottom"/>
          </w:tcPr>
          <w:p>
            <w:pPr>
              <w:spacing w:after="0"/>
              <w:rPr>
                <w:sz w:val="16"/>
                <w:szCs w:val="16"/>
                <w:color w:val="auto"/>
              </w:rPr>
            </w:pPr>
          </w:p>
        </w:tc>
        <w:tc>
          <w:tcPr>
            <w:tcW w:w="128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0"/>
              </w:rPr>
              <w:t>Communications</w:t>
            </w: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3"/>
              </w:rPr>
              <w:t>Data &amp; Applications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ind w:left="280"/>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5,284,153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Foreign currency adjustments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Reallocation to segments in the second quarter of 2023</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4,321,130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963,049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tcPr>
          <w:p>
            <w:pPr>
              <w:ind w:left="180"/>
              <w:spacing w:after="0"/>
              <w:rPr>
                <w:sz w:val="20"/>
                <w:szCs w:val="20"/>
                <w:color w:val="auto"/>
              </w:rPr>
            </w:pPr>
            <w:r>
              <w:rPr>
                <w:rFonts w:ascii="Arial" w:cs="Arial" w:eastAsia="Arial" w:hAnsi="Arial"/>
                <w:sz w:val="16"/>
                <w:szCs w:val="16"/>
                <w:color w:val="auto"/>
              </w:rPr>
              <w:t>Foreign currency adjustments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Goodwill divested</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(41,164)</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Balance as of September 30, 2023</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4,280,217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963,049</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5,243,266</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ind w:left="500"/>
        <w:spacing w:after="0" w:line="193" w:lineRule="auto"/>
        <w:rPr>
          <w:sz w:val="20"/>
          <w:szCs w:val="20"/>
          <w:color w:val="auto"/>
        </w:rPr>
      </w:pPr>
      <w:r>
        <w:rPr>
          <w:rFonts w:ascii="Arial" w:cs="Arial" w:eastAsia="Arial" w:hAnsi="Arial"/>
          <w:sz w:val="18"/>
          <w:szCs w:val="18"/>
          <w:color w:val="auto"/>
          <w:vertAlign w:val="superscript"/>
        </w:rPr>
        <w:t>(</w:t>
      </w:r>
      <w:r>
        <w:rPr>
          <w:rFonts w:ascii="Arial" w:cs="Arial" w:eastAsia="Arial" w:hAnsi="Arial"/>
          <w:sz w:val="21"/>
          <w:szCs w:val="21"/>
          <w:color w:val="auto"/>
          <w:vertAlign w:val="superscript"/>
        </w:rPr>
        <w:t>1</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Represents reallocation of goodwill as a result of changes in segment structure in the second quarter of 2023.</w:t>
      </w:r>
    </w:p>
    <w:p>
      <w:pPr>
        <w:spacing w:after="0" w:line="1" w:lineRule="exact"/>
        <w:rPr>
          <w:sz w:val="20"/>
          <w:szCs w:val="20"/>
          <w:color w:val="auto"/>
        </w:rPr>
      </w:pPr>
    </w:p>
    <w:p>
      <w:pPr>
        <w:ind w:left="620" w:hanging="126"/>
        <w:spacing w:after="0"/>
        <w:tabs>
          <w:tab w:leader="none" w:pos="620" w:val="left"/>
        </w:tabs>
        <w:numPr>
          <w:ilvl w:val="0"/>
          <w:numId w:val="13"/>
        </w:numPr>
        <w:rPr>
          <w:rFonts w:ascii="Arial" w:cs="Arial" w:eastAsia="Arial" w:hAnsi="Arial"/>
          <w:sz w:val="9"/>
          <w:szCs w:val="9"/>
          <w:color w:val="auto"/>
        </w:rPr>
      </w:pPr>
      <w:r>
        <w:rPr>
          <w:rFonts w:ascii="Arial" w:cs="Arial" w:eastAsia="Arial" w:hAnsi="Arial"/>
          <w:sz w:val="14"/>
          <w:szCs w:val="14"/>
          <w:color w:val="auto"/>
        </w:rPr>
        <w:t>Represents goodwill related to the divestitures of IoT and ValueFirst. See Note 5 for further details.</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w w:val="89"/>
              </w:rPr>
              <w:t>As of September 30, 2023</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6"/>
              </w:rPr>
              <w:t>Amortization</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Amortizable intangible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180"/>
              <w:spacing w:after="0"/>
              <w:rPr>
                <w:sz w:val="20"/>
                <w:szCs w:val="20"/>
                <w:color w:val="auto"/>
              </w:rPr>
            </w:pPr>
            <w:r>
              <w:rPr>
                <w:rFonts w:ascii="Arial" w:cs="Arial" w:eastAsia="Arial" w:hAnsi="Arial"/>
                <w:sz w:val="16"/>
                <w:szCs w:val="16"/>
                <w:color w:val="auto"/>
              </w:rPr>
              <w:t>Developed technology</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778,609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(408,446)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370,163</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270,879</w:t>
            </w:r>
          </w:p>
        </w:tc>
        <w:tc>
          <w:tcPr>
            <w:tcW w:w="0" w:type="dxa"/>
            <w:vAlign w:val="bottom"/>
          </w:tcPr>
          <w:p>
            <w:pPr>
              <w:spacing w:after="0"/>
              <w:rPr>
                <w:sz w:val="1"/>
                <w:szCs w:val="1"/>
                <w:color w:val="auto"/>
              </w:rPr>
            </w:pPr>
          </w:p>
        </w:tc>
      </w:tr>
      <w:tr>
        <w:trPr>
          <w:trHeight w:val="213"/>
        </w:trPr>
        <w:tc>
          <w:tcPr>
            <w:tcW w:w="6340" w:type="dxa"/>
            <w:vAlign w:val="bottom"/>
          </w:tcPr>
          <w:p>
            <w:pPr>
              <w:ind w:left="180"/>
              <w:spacing w:after="0"/>
              <w:rPr>
                <w:sz w:val="20"/>
                <w:szCs w:val="20"/>
                <w:color w:val="auto"/>
              </w:rPr>
            </w:pPr>
            <w:r>
              <w:rPr>
                <w:rFonts w:ascii="Arial" w:cs="Arial" w:eastAsia="Arial" w:hAnsi="Arial"/>
                <w:sz w:val="16"/>
                <w:szCs w:val="16"/>
                <w:color w:val="auto"/>
              </w:rPr>
              <w:t>Supplier relationships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49,756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(24,046)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25,710</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 names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w:t>
            </w:r>
          </w:p>
        </w:tc>
        <w:tc>
          <w:tcPr>
            <w:tcW w:w="0" w:type="dxa"/>
            <w:vAlign w:val="bottom"/>
          </w:tcPr>
          <w:p>
            <w:pPr>
              <w:spacing w:after="0"/>
              <w:rPr>
                <w:sz w:val="1"/>
                <w:szCs w:val="1"/>
                <w:color w:val="auto"/>
              </w:rPr>
            </w:pPr>
          </w:p>
        </w:tc>
      </w:tr>
      <w:tr>
        <w:trPr>
          <w:trHeight w:val="213"/>
        </w:trPr>
        <w:tc>
          <w:tcPr>
            <w:tcW w:w="6340" w:type="dxa"/>
            <w:vAlign w:val="bottom"/>
          </w:tcPr>
          <w:p>
            <w:pPr>
              <w:ind w:left="180"/>
              <w:spacing w:after="0"/>
              <w:rPr>
                <w:sz w:val="20"/>
                <w:szCs w:val="20"/>
                <w:color w:val="auto"/>
              </w:rPr>
            </w:pPr>
            <w:r>
              <w:rPr>
                <w:rFonts w:ascii="Arial" w:cs="Arial" w:eastAsia="Arial" w:hAnsi="Arial"/>
                <w:sz w:val="16"/>
                <w:szCs w:val="16"/>
                <w:color w:val="auto"/>
              </w:rPr>
              <w:t>Order backlog</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Patent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3,116</w:t>
            </w:r>
          </w:p>
        </w:tc>
        <w:tc>
          <w:tcPr>
            <w:tcW w:w="0" w:type="dxa"/>
            <w:vAlign w:val="bottom"/>
          </w:tcPr>
          <w:p>
            <w:pPr>
              <w:spacing w:after="0"/>
              <w:rPr>
                <w:sz w:val="1"/>
                <w:szCs w:val="1"/>
                <w:color w:val="auto"/>
              </w:rPr>
            </w:pPr>
          </w:p>
        </w:tc>
      </w:tr>
      <w:tr>
        <w:trPr>
          <w:trHeight w:val="207"/>
        </w:trPr>
        <w:tc>
          <w:tcPr>
            <w:tcW w:w="63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amortizable intangible assets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1,391,375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(717,869)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673,506</w:t>
            </w:r>
          </w:p>
        </w:tc>
        <w:tc>
          <w:tcPr>
            <w:tcW w:w="0" w:type="dxa"/>
            <w:vAlign w:val="bottom"/>
          </w:tcPr>
          <w:p>
            <w:pPr>
              <w:spacing w:after="0"/>
              <w:rPr>
                <w:sz w:val="1"/>
                <w:szCs w:val="1"/>
                <w:color w:val="auto"/>
              </w:rPr>
            </w:pPr>
          </w:p>
        </w:tc>
      </w:tr>
      <w:tr>
        <w:trPr>
          <w:trHeight w:val="19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Non-amortizable intangible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40" w:type="dxa"/>
            <w:vAlign w:val="bottom"/>
          </w:tcPr>
          <w:p>
            <w:pPr>
              <w:ind w:left="180"/>
              <w:spacing w:after="0"/>
              <w:rPr>
                <w:sz w:val="20"/>
                <w:szCs w:val="20"/>
                <w:color w:val="auto"/>
              </w:rPr>
            </w:pPr>
            <w:r>
              <w:rPr>
                <w:rFonts w:ascii="Arial" w:cs="Arial" w:eastAsia="Arial" w:hAnsi="Arial"/>
                <w:sz w:val="16"/>
                <w:szCs w:val="16"/>
                <w:color w:val="auto"/>
              </w:rPr>
              <w:t>Telecommunication licenses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Trademarks and other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3"/>
        </w:trPr>
        <w:tc>
          <w:tcPr>
            <w:tcW w:w="6340" w:type="dxa"/>
            <w:vAlign w:val="bottom"/>
          </w:tcPr>
          <w:p>
            <w:pPr>
              <w:ind w:left="5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1,396,590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(717,869)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678,721</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center"/>
              <w:ind w:right="199"/>
              <w:spacing w:after="0"/>
              <w:rPr>
                <w:sz w:val="20"/>
                <w:szCs w:val="20"/>
                <w:color w:val="auto"/>
              </w:rPr>
            </w:pPr>
            <w:r>
              <w:rPr>
                <w:rFonts w:ascii="Arial" w:cs="Arial" w:eastAsia="Arial" w:hAnsi="Arial"/>
                <w:sz w:val="16"/>
                <w:szCs w:val="16"/>
                <w:b w:val="1"/>
                <w:bCs w:val="1"/>
                <w:color w:val="auto"/>
                <w:w w:val="91"/>
              </w:rPr>
              <w:t>As of December 31, 2022</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Cost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Amortizable intangible assets: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3"/>
              </w:rPr>
              <w:t>(In thousands)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80"/>
              <w:spacing w:after="0"/>
              <w:rPr>
                <w:sz w:val="20"/>
                <w:szCs w:val="20"/>
                <w:color w:val="auto"/>
              </w:rPr>
            </w:pPr>
            <w:r>
              <w:rPr>
                <w:rFonts w:ascii="Arial" w:cs="Arial" w:eastAsia="Arial" w:hAnsi="Arial"/>
                <w:sz w:val="16"/>
                <w:szCs w:val="16"/>
                <w:color w:val="auto"/>
              </w:rPr>
              <w:t>Developed technology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795,753</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(335,893)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459,860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538,466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334,225</w:t>
            </w:r>
          </w:p>
        </w:tc>
        <w:tc>
          <w:tcPr>
            <w:tcW w:w="0" w:type="dxa"/>
            <w:vAlign w:val="bottom"/>
          </w:tcPr>
          <w:p>
            <w:pPr>
              <w:spacing w:after="0"/>
              <w:rPr>
                <w:sz w:val="1"/>
                <w:szCs w:val="1"/>
                <w:color w:val="auto"/>
              </w:rPr>
            </w:pPr>
          </w:p>
        </w:tc>
      </w:tr>
      <w:tr>
        <w:trPr>
          <w:trHeight w:val="213"/>
        </w:trPr>
        <w:tc>
          <w:tcPr>
            <w:tcW w:w="6360" w:type="dxa"/>
            <w:vAlign w:val="bottom"/>
          </w:tcPr>
          <w:p>
            <w:pPr>
              <w:ind w:left="180"/>
              <w:spacing w:after="0"/>
              <w:rPr>
                <w:sz w:val="20"/>
                <w:szCs w:val="20"/>
                <w:color w:val="auto"/>
              </w:rPr>
            </w:pPr>
            <w:r>
              <w:rPr>
                <w:rFonts w:ascii="Arial" w:cs="Arial" w:eastAsia="Arial" w:hAnsi="Arial"/>
                <w:sz w:val="16"/>
                <w:szCs w:val="16"/>
                <w:color w:val="auto"/>
              </w:rPr>
              <w:t>Supplier relationships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56,922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37,076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 names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10,236</w:t>
            </w:r>
          </w:p>
        </w:tc>
        <w:tc>
          <w:tcPr>
            <w:tcW w:w="0" w:type="dxa"/>
            <w:vAlign w:val="bottom"/>
          </w:tcPr>
          <w:p>
            <w:pPr>
              <w:spacing w:after="0"/>
              <w:rPr>
                <w:sz w:val="1"/>
                <w:szCs w:val="1"/>
                <w:color w:val="auto"/>
              </w:rPr>
            </w:pPr>
          </w:p>
        </w:tc>
      </w:tr>
      <w:tr>
        <w:trPr>
          <w:trHeight w:val="213"/>
        </w:trPr>
        <w:tc>
          <w:tcPr>
            <w:tcW w:w="6360" w:type="dxa"/>
            <w:vAlign w:val="bottom"/>
          </w:tcPr>
          <w:p>
            <w:pPr>
              <w:ind w:left="180"/>
              <w:spacing w:after="0"/>
              <w:rPr>
                <w:sz w:val="20"/>
                <w:szCs w:val="20"/>
                <w:color w:val="auto"/>
              </w:rPr>
            </w:pPr>
            <w:r>
              <w:rPr>
                <w:rFonts w:ascii="Arial" w:cs="Arial" w:eastAsia="Arial" w:hAnsi="Arial"/>
                <w:sz w:val="16"/>
                <w:szCs w:val="16"/>
                <w:color w:val="auto"/>
              </w:rPr>
              <w:t>Order backlog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Patent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3,323</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amortizable intangible assets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1,435,511</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(590,791)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844,720</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Non-amortizable intangible assets: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80"/>
              <w:spacing w:after="0"/>
              <w:rPr>
                <w:sz w:val="20"/>
                <w:szCs w:val="20"/>
                <w:color w:val="auto"/>
              </w:rPr>
            </w:pPr>
            <w:r>
              <w:rPr>
                <w:rFonts w:ascii="Arial" w:cs="Arial" w:eastAsia="Arial" w:hAnsi="Arial"/>
                <w:sz w:val="16"/>
                <w:szCs w:val="16"/>
                <w:color w:val="auto"/>
              </w:rPr>
              <w:t>Telecommunication licenses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Trademarks and other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3"/>
        </w:trPr>
        <w:tc>
          <w:tcPr>
            <w:tcW w:w="6360" w:type="dxa"/>
            <w:vAlign w:val="bottom"/>
          </w:tcPr>
          <w:p>
            <w:pPr>
              <w:ind w:left="5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1,440,726</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(590,791)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849,935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Amortization expense was $48.9 million and $51.7 million for the three months ended September 30, 2023 and 2022, respectively, and $150.0 million and $155.4 million for the nine months ended September 30, 2023 and 2022,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estimated future amortization expense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3"/>
              </w:rPr>
              <w:t>As of September 30, 2023</w:t>
            </w:r>
          </w:p>
        </w:tc>
      </w:tr>
      <w:tr>
        <w:trPr>
          <w:trHeight w:val="161"/>
        </w:trPr>
        <w:tc>
          <w:tcPr>
            <w:tcW w:w="20" w:type="dxa"/>
            <w:vAlign w:val="bottom"/>
          </w:tcPr>
          <w:p>
            <w:pPr>
              <w:spacing w:after="0"/>
              <w:rPr>
                <w:sz w:val="14"/>
                <w:szCs w:val="14"/>
                <w:color w:val="auto"/>
              </w:rPr>
            </w:pPr>
          </w:p>
        </w:tc>
        <w:tc>
          <w:tcPr>
            <w:tcW w:w="8460" w:type="dxa"/>
            <w:vAlign w:val="bottom"/>
            <w:gridSpan w:val="2"/>
          </w:tcPr>
          <w:p>
            <w:pPr>
              <w:spacing w:after="0" w:line="161" w:lineRule="exact"/>
              <w:rPr>
                <w:sz w:val="20"/>
                <w:szCs w:val="20"/>
                <w:color w:val="auto"/>
              </w:rPr>
            </w:pPr>
            <w:r>
              <w:rPr>
                <w:rFonts w:ascii="Arial" w:cs="Arial" w:eastAsia="Arial" w:hAnsi="Arial"/>
                <w:sz w:val="16"/>
                <w:szCs w:val="16"/>
                <w:color w:val="auto"/>
              </w:rPr>
              <w:t>Year Ended December 31,</w:t>
            </w:r>
          </w:p>
        </w:tc>
        <w:tc>
          <w:tcPr>
            <w:tcW w:w="180" w:type="dxa"/>
            <w:vAlign w:val="bottom"/>
          </w:tcPr>
          <w:p>
            <w:pPr>
              <w:spacing w:after="0"/>
              <w:rPr>
                <w:sz w:val="14"/>
                <w:szCs w:val="14"/>
                <w:color w:val="auto"/>
              </w:rPr>
            </w:pPr>
          </w:p>
        </w:tc>
        <w:tc>
          <w:tcPr>
            <w:tcW w:w="2140" w:type="dxa"/>
            <w:vAlign w:val="bottom"/>
          </w:tcPr>
          <w:p>
            <w:pPr>
              <w:jc w:val="right"/>
              <w:ind w:right="680"/>
              <w:spacing w:after="0"/>
              <w:rPr>
                <w:sz w:val="20"/>
                <w:szCs w:val="20"/>
                <w:color w:val="auto"/>
              </w:rPr>
            </w:pPr>
            <w:r>
              <w:rPr>
                <w:rFonts w:ascii="Arial" w:cs="Arial" w:eastAsia="Arial" w:hAnsi="Arial"/>
                <w:sz w:val="14"/>
                <w:szCs w:val="14"/>
                <w:color w:val="auto"/>
              </w:rPr>
              <w:t>(In thousands)</w:t>
            </w: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2023 (remaining three months)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48,922</w:t>
            </w:r>
          </w:p>
        </w:tc>
      </w:tr>
      <w:tr>
        <w:trPr>
          <w:trHeight w:val="213"/>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191,486</w:t>
            </w:r>
          </w:p>
        </w:tc>
      </w:tr>
      <w:tr>
        <w:trPr>
          <w:trHeight w:val="219"/>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6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187,912</w:t>
            </w:r>
          </w:p>
        </w:tc>
      </w:tr>
      <w:tr>
        <w:trPr>
          <w:trHeight w:val="213"/>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2026</w:t>
            </w:r>
          </w:p>
        </w:tc>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117,416</w:t>
            </w:r>
          </w:p>
        </w:tc>
      </w:tr>
      <w:tr>
        <w:trPr>
          <w:trHeight w:val="219"/>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6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69,871</w:t>
            </w: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57,899</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8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673,506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Expenses and Other Current Liabilities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September 30,</w:t>
            </w:r>
          </w:p>
        </w:tc>
        <w:tc>
          <w:tcPr>
            <w:tcW w:w="16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As of December 31,</w:t>
            </w:r>
          </w:p>
        </w:tc>
      </w:tr>
      <w:tr>
        <w:trPr>
          <w:trHeight w:val="210"/>
        </w:trPr>
        <w:tc>
          <w:tcPr>
            <w:tcW w:w="70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r>
      <w:tr>
        <w:trPr>
          <w:trHeight w:val="179"/>
        </w:trPr>
        <w:tc>
          <w:tcPr>
            <w:tcW w:w="7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20" w:type="dxa"/>
            <w:vAlign w:val="bottom"/>
            <w:gridSpan w:val="4"/>
          </w:tcPr>
          <w:p>
            <w:pPr>
              <w:jc w:val="right"/>
              <w:ind w:right="1339"/>
              <w:spacing w:after="0"/>
              <w:rPr>
                <w:sz w:val="20"/>
                <w:szCs w:val="20"/>
                <w:color w:val="auto"/>
              </w:rPr>
            </w:pPr>
            <w:r>
              <w:rPr>
                <w:rFonts w:ascii="Arial" w:cs="Arial" w:eastAsia="Arial" w:hAnsi="Arial"/>
                <w:sz w:val="14"/>
                <w:szCs w:val="14"/>
                <w:color w:val="auto"/>
              </w:rPr>
              <w:t>(In thousands)</w:t>
            </w:r>
          </w:p>
        </w:tc>
      </w:tr>
      <w:tr>
        <w:trPr>
          <w:trHeight w:val="20"/>
        </w:trPr>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related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79,703</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Accrued bonus and commission</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15,877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35,449</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cost of revenue</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161,455</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Sales and other taxes payable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76,975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92,319</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ESPP contributions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8,499</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Finance lease liability</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8,546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11,871</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liability</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w:t>
            </w:r>
          </w:p>
        </w:tc>
      </w:tr>
      <w:tr>
        <w:trPr>
          <w:trHeight w:val="216"/>
        </w:trPr>
        <w:tc>
          <w:tcPr>
            <w:tcW w:w="7060" w:type="dxa"/>
            <w:vAlign w:val="bottom"/>
          </w:tcPr>
          <w:p>
            <w:pPr>
              <w:ind w:left="20"/>
              <w:spacing w:after="0" w:line="216" w:lineRule="exact"/>
              <w:rPr>
                <w:sz w:val="20"/>
                <w:szCs w:val="20"/>
                <w:color w:val="auto"/>
              </w:rPr>
            </w:pPr>
            <w:r>
              <w:rPr>
                <w:rFonts w:ascii="Arial" w:cs="Arial" w:eastAsia="Arial" w:hAnsi="Arial"/>
                <w:sz w:val="16"/>
                <w:szCs w:val="16"/>
                <w:color w:val="auto"/>
              </w:rPr>
              <w:t>Employee sabbatical benefit accrual</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8,343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30,683</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65,118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69,176</w:t>
            </w:r>
          </w:p>
        </w:tc>
      </w:tr>
      <w:tr>
        <w:trPr>
          <w:trHeight w:val="213"/>
        </w:trPr>
        <w:tc>
          <w:tcPr>
            <w:tcW w:w="7060" w:type="dxa"/>
            <w:vAlign w:val="bottom"/>
          </w:tcPr>
          <w:p>
            <w:pPr>
              <w:ind w:left="220"/>
              <w:spacing w:after="0"/>
              <w:rPr>
                <w:sz w:val="20"/>
                <w:szCs w:val="20"/>
                <w:color w:val="auto"/>
              </w:rPr>
            </w:pPr>
            <w:r>
              <w:rPr>
                <w:rFonts w:ascii="Arial" w:cs="Arial" w:eastAsia="Arial" w:hAnsi="Arial"/>
                <w:sz w:val="16"/>
                <w:szCs w:val="16"/>
                <w:color w:val="auto"/>
              </w:rPr>
              <w:t>Total accrued expenses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423,812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490,221</w:t>
            </w: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ind w:right="500"/>
        <w:spacing w:after="0" w:line="225" w:lineRule="auto"/>
        <w:rPr>
          <w:sz w:val="20"/>
          <w:szCs w:val="20"/>
          <w:color w:val="auto"/>
        </w:rPr>
      </w:pPr>
      <w:r>
        <w:rPr>
          <w:rFonts w:ascii="Arial" w:cs="Arial" w:eastAsia="Arial" w:hAnsi="Arial"/>
          <w:sz w:val="9"/>
          <w:szCs w:val="9"/>
          <w:color w:val="auto"/>
        </w:rPr>
        <w:t>(</w:t>
      </w:r>
      <w:r>
        <w:rPr>
          <w:rFonts w:ascii="Arial" w:cs="Arial" w:eastAsia="Arial" w:hAnsi="Arial"/>
          <w:sz w:val="21"/>
          <w:szCs w:val="21"/>
          <w:color w:val="auto"/>
          <w:vertAlign w:val="superscript"/>
        </w:rPr>
        <w:t>1</w:t>
      </w:r>
      <w:r>
        <w:rPr>
          <w:rFonts w:ascii="Arial" w:cs="Arial" w:eastAsia="Arial" w:hAnsi="Arial"/>
          <w:sz w:val="9"/>
          <w:szCs w:val="9"/>
          <w:color w:val="auto"/>
        </w:rPr>
        <w:t xml:space="preserve">) </w:t>
      </w:r>
      <w:r>
        <w:rPr>
          <w:rFonts w:ascii="Arial" w:cs="Arial" w:eastAsia="Arial" w:hAnsi="Arial"/>
          <w:sz w:val="16"/>
          <w:szCs w:val="16"/>
          <w:color w:val="auto"/>
        </w:rPr>
        <w:t>In February 2023, the Company announced that it will sunset its employee sabbatical program. The accrued liability as of September 30, 2023 represents the</w:t>
      </w:r>
      <w:r>
        <w:rPr>
          <w:rFonts w:ascii="Arial" w:cs="Arial" w:eastAsia="Arial" w:hAnsi="Arial"/>
          <w:sz w:val="9"/>
          <w:szCs w:val="9"/>
          <w:color w:val="auto"/>
        </w:rPr>
        <w:t xml:space="preserve"> </w:t>
      </w:r>
      <w:r>
        <w:rPr>
          <w:rFonts w:ascii="Arial" w:cs="Arial" w:eastAsia="Arial" w:hAnsi="Arial"/>
          <w:sz w:val="16"/>
          <w:szCs w:val="16"/>
          <w:color w:val="auto"/>
        </w:rPr>
        <w:t>accumulated benefit balance for the employees who remain eligible under this program through its termination date.</w:t>
      </w:r>
    </w:p>
    <w:p>
      <w:pPr>
        <w:spacing w:after="0" w:line="200" w:lineRule="exact"/>
        <w:rPr>
          <w:sz w:val="20"/>
          <w:szCs w:val="20"/>
          <w:color w:val="auto"/>
        </w:rPr>
      </w:pPr>
    </w:p>
    <w:p>
      <w:pPr>
        <w:spacing w:after="0" w:line="33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5" w:right="7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net,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As of September 30,</w:t>
            </w:r>
          </w:p>
        </w:tc>
        <w:tc>
          <w:tcPr>
            <w:tcW w:w="16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As of December 31,</w:t>
            </w:r>
          </w:p>
        </w:tc>
      </w:tr>
      <w:tr>
        <w:trPr>
          <w:trHeight w:val="210"/>
        </w:trPr>
        <w:tc>
          <w:tcPr>
            <w:tcW w:w="6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179"/>
        </w:trPr>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4"/>
          </w:tcPr>
          <w:p>
            <w:pPr>
              <w:jc w:val="right"/>
              <w:ind w:right="1379"/>
              <w:spacing w:after="0"/>
              <w:rPr>
                <w:sz w:val="20"/>
                <w:szCs w:val="20"/>
                <w:color w:val="auto"/>
              </w:rPr>
            </w:pPr>
            <w:r>
              <w:rPr>
                <w:rFonts w:ascii="Arial" w:cs="Arial" w:eastAsia="Arial" w:hAnsi="Arial"/>
                <w:sz w:val="14"/>
                <w:szCs w:val="14"/>
                <w:color w:val="auto"/>
              </w:rPr>
              <w:t>(In thousands)</w:t>
            </w:r>
          </w:p>
        </w:tc>
      </w:tr>
      <w:tr>
        <w:trPr>
          <w:trHeight w:val="20"/>
        </w:trPr>
        <w:tc>
          <w:tcPr>
            <w:tcW w:w="6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2029 Senior Notes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6900" w:type="dxa"/>
            <w:vAlign w:val="bottom"/>
          </w:tcPr>
          <w:p>
            <w:pPr>
              <w:ind w:left="360"/>
              <w:spacing w:after="0"/>
              <w:rPr>
                <w:sz w:val="20"/>
                <w:szCs w:val="20"/>
                <w:color w:val="auto"/>
              </w:rPr>
            </w:pPr>
            <w:r>
              <w:rPr>
                <w:rFonts w:ascii="Arial" w:cs="Arial" w:eastAsia="Arial" w:hAnsi="Arial"/>
                <w:sz w:val="16"/>
                <w:szCs w:val="16"/>
                <w:color w:val="auto"/>
              </w:rPr>
              <w:t>Principal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9"/>
        </w:trPr>
        <w:tc>
          <w:tcPr>
            <w:tcW w:w="6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Unamortized discount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w:t>
            </w:r>
          </w:p>
        </w:tc>
      </w:tr>
      <w:tr>
        <w:trPr>
          <w:trHeight w:val="213"/>
        </w:trPr>
        <w:tc>
          <w:tcPr>
            <w:tcW w:w="6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Unamortized issuance costs</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w:t>
            </w:r>
          </w:p>
        </w:tc>
      </w:tr>
      <w:tr>
        <w:trPr>
          <w:trHeight w:val="212"/>
        </w:trPr>
        <w:tc>
          <w:tcPr>
            <w:tcW w:w="6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carrying amount</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494,539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493,873</w:t>
            </w:r>
          </w:p>
        </w:tc>
      </w:tr>
      <w:tr>
        <w:trPr>
          <w:trHeight w:val="193"/>
        </w:trPr>
        <w:tc>
          <w:tcPr>
            <w:tcW w:w="6900" w:type="dxa"/>
            <w:vAlign w:val="bottom"/>
          </w:tcPr>
          <w:p>
            <w:pPr>
              <w:ind w:left="240"/>
              <w:spacing w:after="0"/>
              <w:rPr>
                <w:sz w:val="20"/>
                <w:szCs w:val="20"/>
                <w:color w:val="auto"/>
              </w:rPr>
            </w:pPr>
            <w:r>
              <w:rPr>
                <w:rFonts w:ascii="Arial" w:cs="Arial" w:eastAsia="Arial" w:hAnsi="Arial"/>
                <w:sz w:val="16"/>
                <w:szCs w:val="16"/>
                <w:b w:val="1"/>
                <w:bCs w:val="1"/>
                <w:color w:val="auto"/>
              </w:rPr>
              <w:t>2031 Senior Notes</w:t>
            </w: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9"/>
        </w:trPr>
        <w:tc>
          <w:tcPr>
            <w:tcW w:w="6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6900" w:type="dxa"/>
            <w:vAlign w:val="bottom"/>
          </w:tcPr>
          <w:p>
            <w:pPr>
              <w:ind w:left="360"/>
              <w:spacing w:after="0"/>
              <w:rPr>
                <w:sz w:val="20"/>
                <w:szCs w:val="20"/>
                <w:color w:val="auto"/>
              </w:rPr>
            </w:pPr>
            <w:r>
              <w:rPr>
                <w:rFonts w:ascii="Arial" w:cs="Arial" w:eastAsia="Arial" w:hAnsi="Arial"/>
                <w:sz w:val="16"/>
                <w:szCs w:val="16"/>
                <w:color w:val="auto"/>
              </w:rPr>
              <w:t>Unamortized discount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(4,885)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(5,299)</w:t>
            </w:r>
          </w:p>
        </w:tc>
      </w:tr>
      <w:tr>
        <w:trPr>
          <w:trHeight w:val="219"/>
        </w:trPr>
        <w:tc>
          <w:tcPr>
            <w:tcW w:w="6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Unamortized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w:t>
            </w:r>
          </w:p>
        </w:tc>
      </w:tr>
      <w:tr>
        <w:trPr>
          <w:trHeight w:val="206"/>
        </w:trPr>
        <w:tc>
          <w:tcPr>
            <w:tcW w:w="69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carrying amount</w:t>
            </w: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494,016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493,509</w:t>
            </w:r>
          </w:p>
        </w:tc>
      </w:tr>
      <w:tr>
        <w:trPr>
          <w:trHeight w:val="238"/>
        </w:trPr>
        <w:tc>
          <w:tcPr>
            <w:tcW w:w="6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long-term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988,555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987,382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the Company was in compliance with all of its covenants under the related indentures.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by Geographic Area</w:t>
      </w:r>
    </w:p>
    <w:p>
      <w:pPr>
        <w:spacing w:after="0" w:line="22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Revenue by geographic area is based on the IP address or the mailing address at the time of registration. The following table sets forth revenue by geographic area: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2160" w:type="dxa"/>
            <w:vAlign w:val="bottom"/>
            <w:gridSpan w:val="4"/>
          </w:tcPr>
          <w:p>
            <w:pPr>
              <w:jc w:val="right"/>
              <w:ind w:right="52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10"/>
        </w:trPr>
        <w:tc>
          <w:tcPr>
            <w:tcW w:w="55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w w:val="84"/>
              </w:rPr>
              <w:t>2022</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w w:val="96"/>
              </w:rPr>
              <w:t>2022</w:t>
            </w: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area:</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(In thousands)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55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688,121</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650,531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2,042,857</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1,837,325</w:t>
            </w:r>
          </w:p>
        </w:tc>
      </w:tr>
      <w:tr>
        <w:trPr>
          <w:trHeight w:val="219"/>
        </w:trPr>
        <w:tc>
          <w:tcPr>
            <w:tcW w:w="5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345,549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1,035,138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964,422</w:t>
            </w:r>
          </w:p>
        </w:tc>
      </w:tr>
      <w:tr>
        <w:trPr>
          <w:trHeight w:val="207"/>
        </w:trPr>
        <w:tc>
          <w:tcPr>
            <w:tcW w:w="5500" w:type="dxa"/>
            <w:vAlign w:val="bottom"/>
          </w:tcPr>
          <w:p>
            <w:pPr>
              <w:ind w:left="4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1,033,670</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983,030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3,077,995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2,801,747</w:t>
            </w:r>
          </w:p>
        </w:tc>
      </w:tr>
      <w:tr>
        <w:trPr>
          <w:trHeight w:val="23"/>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 by geographic area:</w:t>
            </w:r>
          </w:p>
        </w:tc>
        <w:tc>
          <w:tcPr>
            <w:tcW w:w="26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452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600" w:type="dxa"/>
            <w:vAlign w:val="bottom"/>
          </w:tcPr>
          <w:p>
            <w:pPr>
              <w:jc w:val="right"/>
              <w:ind w:right="439"/>
              <w:spacing w:after="0"/>
              <w:rPr>
                <w:sz w:val="20"/>
                <w:szCs w:val="20"/>
                <w:color w:val="auto"/>
              </w:rPr>
            </w:pPr>
            <w:r>
              <w:rPr>
                <w:rFonts w:ascii="Arial" w:cs="Arial" w:eastAsia="Arial" w:hAnsi="Arial"/>
                <w:sz w:val="16"/>
                <w:szCs w:val="16"/>
                <w:color w:val="auto"/>
              </w:rPr>
              <w:t>67 %</w:t>
            </w: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66 %</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66 %</w:t>
            </w:r>
          </w:p>
        </w:tc>
        <w:tc>
          <w:tcPr>
            <w:tcW w:w="90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219"/>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26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33 %</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34 %</w:t>
            </w:r>
          </w:p>
        </w:tc>
        <w:tc>
          <w:tcPr>
            <w:tcW w:w="13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34 %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Long-lived assets outside of the United States were $43.3 million and $54.5 million as of September 30, 2023, and December 31, 2022,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56" w:lineRule="exact"/>
        <w:rPr>
          <w:sz w:val="20"/>
          <w:szCs w:val="20"/>
          <w:color w:val="auto"/>
        </w:rPr>
      </w:pPr>
    </w:p>
    <w:p>
      <w:pPr>
        <w:ind w:left="1300" w:hanging="806"/>
        <w:spacing w:after="0"/>
        <w:tabs>
          <w:tab w:leader="none" w:pos="130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 and Other Commitments</w:t>
      </w:r>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Company has entered into various non-cancelable operating lease agreements for its facilities. In the three and nine months ended September 30, 2023, the Company did not enter into any significant new lease agreements.</w:t>
      </w:r>
    </w:p>
    <w:p>
      <w:pPr>
        <w:spacing w:after="0" w:line="170"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The Company has non-cancelable contractual commitments with its cloud infrastructure provider, network service providers and other vendors. In the three and nine months ended September 30, 2023, the Company entered into several such agreements with terms up to four years for a total purchase commitment of $24.3 million and $91.2 million, respectively.</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806"/>
        <w:spacing w:after="0"/>
        <w:tabs>
          <w:tab w:leader="none" w:pos="130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jc w:val="both"/>
        <w:ind w:right="280" w:firstLine="486"/>
        <w:spacing w:after="0" w:line="263" w:lineRule="auto"/>
        <w:rPr>
          <w:sz w:val="20"/>
          <w:szCs w:val="20"/>
          <w:color w:val="auto"/>
        </w:rPr>
      </w:pPr>
      <w:r>
        <w:rPr>
          <w:rFonts w:ascii="Arial" w:cs="Arial" w:eastAsia="Arial" w:hAnsi="Arial"/>
          <w:sz w:val="18"/>
          <w:szCs w:val="18"/>
          <w:color w:val="auto"/>
        </w:rPr>
        <w:t>In 2020, the City and County of San Francisco (“San Francisco”) assessed the Company for additional Telephone Users Tax (“TUT”) and Access Line Tax on certain of the Company’s services for the years 2009 through 2018. The assessments totaled $38.8 million, including interest and penalties. The Company paid the assessments under protest in the third quarter of 2020.</w:t>
      </w:r>
    </w:p>
    <w:p>
      <w:pPr>
        <w:spacing w:after="0" w:line="211"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On May 27, 2021, the Company filed a lawsuit against San Francisco in San Francisco Superior Court challenging the assessments. The Company raised numerous defenses to the assessments including that its services are not telecommunications services, application of the taxes to the Company’s services violates the Internet Tax Freedom Act and San Francisco does not have jurisdiction to impose tax on services provided outside of San Francisco. The Company is seeking refunds of the taxes paid, waivers of interest and penalties, cost of suit and reasonable attorneys’ fees, and other legal and equitable relief as the court deems appropriate. The previously set trial date remains vacated, and the parties have finalized a settlement agreement that was approved by San Francisco’s Board of Supervisors on November 7, 2023 and is currently before the Mayor for approval.</w:t>
      </w:r>
    </w:p>
    <w:p>
      <w:pPr>
        <w:spacing w:after="0" w:line="164"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In the event the settlement is not formally approved and further litigation is necessary, the Company believes it has strong arguments against the assessments; however, litigation is uncertain and there is no assurance that the Company will prevail in court. Should the Company lose on one or more of its arguments, it could incur additional losses associated with taxes, interest, and penalties that together, in aggregate, could be material. The Company regularly assesses the likelihood of adverse outcomes resulting from tax disputes such as this and examines all open years to determine the necessity and adequacy of any tax reserves. The Company’s tax reserves are further discussed in Note 14(d) of these condensed consolidated financial statements.</w:t>
      </w:r>
    </w:p>
    <w:p>
      <w:pPr>
        <w:spacing w:after="0" w:line="161" w:lineRule="exact"/>
        <w:rPr>
          <w:sz w:val="20"/>
          <w:szCs w:val="20"/>
          <w:color w:val="auto"/>
        </w:rPr>
      </w:pPr>
    </w:p>
    <w:p>
      <w:pPr>
        <w:ind w:right="280" w:firstLine="486"/>
        <w:spacing w:after="0" w:line="219" w:lineRule="exact"/>
        <w:rPr>
          <w:sz w:val="20"/>
          <w:szCs w:val="20"/>
          <w:color w:val="auto"/>
        </w:rPr>
      </w:pPr>
      <w:r>
        <w:rPr>
          <w:rFonts w:ascii="Arial" w:cs="Arial" w:eastAsia="Arial" w:hAnsi="Arial"/>
          <w:sz w:val="17"/>
          <w:szCs w:val="17"/>
          <w:color w:val="auto"/>
        </w:rPr>
        <w:t>In addition to the litigation discussed above, from time to time, the Company may be subject to legal actions and claims in the ordinary course of business. 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w:t>
      </w:r>
      <w:r>
        <w:rPr>
          <w:rFonts w:ascii="MS PGothic" w:cs="MS PGothic" w:eastAsia="MS PGothic" w:hAnsi="MS PGothic"/>
          <w:sz w:val="17"/>
          <w:szCs w:val="17"/>
          <w:color w:val="auto"/>
        </w:rPr>
        <w:t>‑</w:t>
      </w:r>
      <w:r>
        <w:rPr>
          <w:rFonts w:ascii="Arial" w:cs="Arial" w:eastAsia="Arial" w:hAnsi="Arial"/>
          <w:sz w:val="17"/>
          <w:szCs w:val="17"/>
          <w:color w:val="auto"/>
        </w:rPr>
        <w:t>party proprietary rights, or to establish our proprietary rights.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202"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Legal fees and other costs related to litigation and other legal proceedings are expensed as incurred and are included in general and administrative expenses in the accompanying condensed consolidated statements of operations.</w:t>
      </w:r>
    </w:p>
    <w:p>
      <w:pPr>
        <w:spacing w:after="0" w:line="170" w:lineRule="exact"/>
        <w:rPr>
          <w:sz w:val="20"/>
          <w:szCs w:val="20"/>
          <w:color w:val="auto"/>
        </w:rPr>
      </w:pPr>
    </w:p>
    <w:p>
      <w:pPr>
        <w:ind w:left="1300" w:hanging="806"/>
        <w:spacing w:after="0"/>
        <w:tabs>
          <w:tab w:leader="none" w:pos="130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The Company has signed indemnification agreements with all of its board members and executive officers. The agreements indemnify the board members and executive officers from claims and expenses on actions brought against the individuals separately or jointly with the Company for certain indemnifiable events. Indemnifiable events generally mean any event or occurrence related to the fact that the board member or the executive officer was or is acting in his or her capacity as a board member or an executive officer for the Company or was or is acting or representing the interests of the Company.</w:t>
      </w:r>
    </w:p>
    <w:p>
      <w:pPr>
        <w:spacing w:after="0" w:line="157"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In the ordinary course of business and in connection with its financing and business combinations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various products, or its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 The terms of such obligations may vary.</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and December 31, 2022, no amounts were accrued related to any outstanding indemnification agreements.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806"/>
        <w:spacing w:after="0"/>
        <w:tabs>
          <w:tab w:leader="none" w:pos="130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Taxes</w:t>
      </w:r>
    </w:p>
    <w:p>
      <w:pPr>
        <w:spacing w:after="0" w:line="225"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The Company conducts operations in multiple tax jurisdictions within and outside of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could be reasonably estimated. These reserves are based on estimates which include several key assumptions including, but not limited to, the taxability of the Company’s services, the jurisdictions in which its management believes it had nexus and the sourcing of revenues to those jurisdictions.</w:t>
      </w:r>
    </w:p>
    <w:p>
      <w:pPr>
        <w:spacing w:after="0" w:line="16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 For example, as described in Note 14(b), the Company is currently involved in legal proceedings with the City and County of San Francisco challenging their assessment of the Company’s estimated tax liability for a specific period. The $38.8 million assessment of taxes, including interest and penalties, that the Company paid as required in 2020, net of the $11.5 million reserve the Company had accrued for the same period, was recorded as a deposit in other assets in the accompanying condensed consolidated balance sheets.</w:t>
      </w:r>
    </w:p>
    <w:p>
      <w:pPr>
        <w:spacing w:after="0" w:line="178"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As of September 30, 2023, the liabilities recorded for the non-income-based taxes were $32.2 million for domestic jurisdictions and $19.2 million for jurisdictions outside of the United States. As of December 31, 2022, these liabilities were $29.1 million and $20.6 million, respectively.</w:t>
      </w:r>
    </w:p>
    <w:p>
      <w:pPr>
        <w:spacing w:after="0" w:line="142" w:lineRule="exact"/>
        <w:rPr>
          <w:sz w:val="20"/>
          <w:szCs w:val="20"/>
          <w:color w:val="auto"/>
        </w:rPr>
      </w:pPr>
    </w:p>
    <w:p>
      <w:pPr>
        <w:jc w:val="center"/>
        <w:ind w:left="500" w:right="9320" w:hanging="492"/>
        <w:spacing w:after="0" w:line="566" w:lineRule="auto"/>
        <w:tabs>
          <w:tab w:leader="none" w:pos="284"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ind w:right="80" w:firstLine="486"/>
        <w:spacing w:after="0" w:line="277" w:lineRule="auto"/>
        <w:rPr>
          <w:sz w:val="20"/>
          <w:szCs w:val="20"/>
          <w:color w:val="auto"/>
        </w:rPr>
      </w:pPr>
      <w:r>
        <w:rPr>
          <w:rFonts w:ascii="Arial" w:cs="Arial" w:eastAsia="Arial" w:hAnsi="Arial"/>
          <w:sz w:val="18"/>
          <w:szCs w:val="18"/>
          <w:color w:val="auto"/>
        </w:rPr>
        <w:t>As of September 30, 2023, and December 31, 2022, the Company had authorized 100,000,000 shares of preferred stock, par value $0.001, of which no shares were issued and outstanding.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As of September 30, 2023, the Company had authorized 1,000,000,000 shares of Class A common stock and 3,170,181 shares of Class B common stock, each with a par value of $0.001 per share. As of December 31, 2022, the Company had authorized 1,000,000,000 shares of Class A common stock and 100,000,000 shares of Class B common stock, each with a par value of $0.001 per share. As of September 30, 2023, 182,066,098 shares of Class A common stock and no shares of Class B common stock were issued and outstanding. As of December 31, 2022, 176,358,104 shares of Class A common stock and 9,617,605 shares of Class B common stock were issued and outstanding.</w:t>
      </w:r>
    </w:p>
    <w:p>
      <w:pPr>
        <w:spacing w:after="0" w:line="176"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On June 28, 2023, each outstanding share of the Company’s Class B common stock automatically converted (the “Conversion”) into one share of the Company’s Class A common stock pursuant to the terms of the Company’s amended and restated certificate of incorporation. In addition, upon the Conversion, outstanding stock options that were exercisable for shares of Class B common stock prior to the Conversion became exercisable for shares of Class A common stock. The Company filed a Certificate of Retirement with the Secretary of State of the State of Delaware effecting the retirement of all of the shares of its Class B common stock that were issued but not outstanding following the Conversion.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reserved shares of common stock for issuance as follows:</w:t>
      </w:r>
    </w:p>
    <w:p>
      <w:pPr>
        <w:sectPr>
          <w:pgSz w:w="11900" w:h="16838" w:orient="portrait"/>
          <w:cols w:equalWidth="0" w:num="1">
            <w:col w:w="11220"/>
          </w:cols>
          <w:pgMar w:left="320" w:top="125" w:right="359" w:bottom="1440" w:gutter="0" w:footer="0" w:header="0"/>
        </w:sectPr>
      </w:pPr>
    </w:p>
    <w:p>
      <w:pPr>
        <w:spacing w:after="0" w:line="266"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34925</wp:posOffset>
            </wp:positionV>
            <wp:extent cx="1165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49" w:lineRule="exact"/>
        <w:rPr>
          <w:sz w:val="20"/>
          <w:szCs w:val="20"/>
          <w:color w:val="auto"/>
        </w:rPr>
      </w:pPr>
    </w:p>
    <w:p>
      <w:pPr>
        <w:jc w:val="center"/>
        <w:ind w:left="7240"/>
        <w:spacing w:after="0"/>
        <w:rPr>
          <w:sz w:val="20"/>
          <w:szCs w:val="20"/>
          <w:color w:val="auto"/>
        </w:rPr>
      </w:pP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34925</wp:posOffset>
            </wp:positionV>
            <wp:extent cx="1174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49"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2022</w:t>
      </w:r>
    </w:p>
    <w:p>
      <w:pPr>
        <w:spacing w:after="0" w:line="26" w:lineRule="exact"/>
        <w:rPr>
          <w:sz w:val="20"/>
          <w:szCs w:val="20"/>
          <w:color w:val="auto"/>
        </w:rPr>
      </w:pPr>
    </w:p>
    <w:p>
      <w:pPr>
        <w:sectPr>
          <w:pgSz w:w="11900" w:h="16838" w:orient="portrait"/>
          <w:cols w:equalWidth="0" w:num="2">
            <w:col w:w="8620" w:space="600"/>
            <w:col w:w="2000"/>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 issued and outstanding</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1,778,852</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2,277,379</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Unvested restricted stock units issued and outstanding</w:t>
            </w:r>
          </w:p>
        </w:tc>
        <w:tc>
          <w:tcPr>
            <w:tcW w:w="1840" w:type="dxa"/>
            <w:vAlign w:val="bottom"/>
          </w:tcPr>
          <w:p>
            <w:pPr>
              <w:jc w:val="right"/>
              <w:spacing w:after="0"/>
              <w:rPr>
                <w:sz w:val="20"/>
                <w:szCs w:val="20"/>
                <w:color w:val="auto"/>
              </w:rPr>
            </w:pPr>
            <w:r>
              <w:rPr>
                <w:rFonts w:ascii="Arial" w:cs="Arial" w:eastAsia="Arial" w:hAnsi="Arial"/>
                <w:sz w:val="16"/>
                <w:szCs w:val="16"/>
                <w:color w:val="auto"/>
              </w:rPr>
              <w:t>20,263,588</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15,414,997</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of Class A common stock reserved for Twilio.org</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464,143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530,449</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Stock-based awards available for grant under 2016 Plan</w:t>
            </w:r>
          </w:p>
        </w:tc>
        <w:tc>
          <w:tcPr>
            <w:tcW w:w="1840" w:type="dxa"/>
            <w:vAlign w:val="bottom"/>
          </w:tcPr>
          <w:p>
            <w:pPr>
              <w:jc w:val="right"/>
              <w:spacing w:after="0"/>
              <w:rPr>
                <w:sz w:val="20"/>
                <w:szCs w:val="20"/>
                <w:color w:val="auto"/>
              </w:rPr>
            </w:pPr>
            <w:r>
              <w:rPr>
                <w:rFonts w:ascii="Arial" w:cs="Arial" w:eastAsia="Arial" w:hAnsi="Arial"/>
                <w:sz w:val="16"/>
                <w:szCs w:val="16"/>
                <w:color w:val="auto"/>
              </w:rPr>
              <w:t>20,480,221</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19,851,399</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of Class A common stock reserved for issuance pursuant to ESPP</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8,868,572</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7,648,429</w:t>
            </w:r>
          </w:p>
        </w:tc>
      </w:tr>
      <w:tr>
        <w:trPr>
          <w:trHeight w:val="207"/>
        </w:trPr>
        <w:tc>
          <w:tcPr>
            <w:tcW w:w="7020" w:type="dxa"/>
            <w:vAlign w:val="bottom"/>
          </w:tcPr>
          <w:p>
            <w:pPr>
              <w:ind w:left="22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51,855,376</w:t>
            </w:r>
          </w:p>
        </w:tc>
        <w:tc>
          <w:tcPr>
            <w:tcW w:w="10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45,722,653</w:t>
            </w:r>
          </w:p>
        </w:tc>
      </w:tr>
      <w:tr>
        <w:trPr>
          <w:trHeight w:val="24"/>
        </w:trPr>
        <w:tc>
          <w:tcPr>
            <w:tcW w:w="70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39" w:lineRule="exact"/>
        <w:rPr>
          <w:sz w:val="20"/>
          <w:szCs w:val="20"/>
          <w:color w:val="auto"/>
        </w:rPr>
      </w:pPr>
    </w:p>
    <w:p>
      <w:pPr>
        <w:ind w:right="80" w:firstLine="486"/>
        <w:spacing w:after="0" w:line="284" w:lineRule="auto"/>
        <w:rPr>
          <w:sz w:val="20"/>
          <w:szCs w:val="20"/>
          <w:color w:val="auto"/>
        </w:rPr>
      </w:pPr>
      <w:r>
        <w:rPr>
          <w:rFonts w:ascii="Arial" w:cs="Arial" w:eastAsia="Arial" w:hAnsi="Arial"/>
          <w:sz w:val="16"/>
          <w:szCs w:val="16"/>
          <w:color w:val="auto"/>
        </w:rPr>
        <w:t>In February 2023, the Board of Directors of the Company authorized the repurchase of up to $1.0 billion in aggregate value of its outstanding Class A common stock through a share repurchase program. Repurchases under this program can be made through open market, private transactions or other means, in compliance with applicable federal securities laws, and could include repurchases pursuant to Rule 10b5-1 trading plans. The Company has discretion in determining the conditions under which shares may be repurchased from time to time. The program expires on December 31, 2024.</w:t>
      </w:r>
    </w:p>
    <w:p>
      <w:pPr>
        <w:spacing w:after="0" w:line="196"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In the three and nine months ended September 30, 2023, the Company repurchased 0.9 million and 9.2 million shares of its Class A common stock, respectively, for an aggregate purchase price of $56.0 million and $551.0 million, respectively. As of September 30, 2023, approximately $449.0 million of the originally authorized amount remained available for future repurchases.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Company’s 2016 Stock Option and Incentive Plan (the “2016 Plan”) provides for granting stock options, restricted stock units, restricted stock awards, stock appreciation rights, unrestricted stock awards, performance share awards, dividend equivalent rights and cash-based awards to its employees, directors and consultants. Certain of the Company’s outstanding equity awards were granted under equity incentive plans that are no longer active but continue to govern the outstanding equity awards granted thereunder.</w:t>
      </w:r>
    </w:p>
    <w:p>
      <w:pPr>
        <w:spacing w:after="0" w:line="18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In addition, pursuant to the Company’s 2016 Employee Stock Purchase Plan (“ESPP”), eligible employees may purchase shares of the Company’s Class A common stock at a discount of 15% through payroll deductions of their eligible compensation. The ESPP provides for separate six-month offering periods beginning in May and November of each year.</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total unrecognized compensation cost related to all outstanding equity awards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As of September 30, 2023</w:t>
            </w:r>
          </w:p>
        </w:tc>
      </w:tr>
      <w:tr>
        <w:trPr>
          <w:trHeight w:val="159"/>
        </w:trPr>
        <w:tc>
          <w:tcPr>
            <w:tcW w:w="7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Unrecognized</w:t>
            </w:r>
          </w:p>
        </w:tc>
        <w:tc>
          <w:tcPr>
            <w:tcW w:w="100" w:type="dxa"/>
            <w:vAlign w:val="bottom"/>
          </w:tcPr>
          <w:p>
            <w:pPr>
              <w:spacing w:after="0"/>
              <w:rPr>
                <w:sz w:val="13"/>
                <w:szCs w:val="13"/>
                <w:color w:val="auto"/>
              </w:rPr>
            </w:pPr>
          </w:p>
        </w:tc>
        <w:tc>
          <w:tcPr>
            <w:tcW w:w="18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Weighted-average</w:t>
            </w:r>
          </w:p>
        </w:tc>
      </w:tr>
      <w:tr>
        <w:trPr>
          <w:trHeight w:val="213"/>
        </w:trPr>
        <w:tc>
          <w:tcPr>
            <w:tcW w:w="7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Compensation Cost</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remaining period</w:t>
            </w:r>
          </w:p>
        </w:tc>
      </w:tr>
      <w:tr>
        <w:trPr>
          <w:trHeight w:val="179"/>
        </w:trPr>
        <w:tc>
          <w:tcPr>
            <w:tcW w:w="7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right="100"/>
              <w:spacing w:after="0"/>
              <w:rPr>
                <w:sz w:val="20"/>
                <w:szCs w:val="20"/>
                <w:color w:val="auto"/>
              </w:rPr>
            </w:pPr>
            <w:r>
              <w:rPr>
                <w:rFonts w:ascii="Arial" w:cs="Arial" w:eastAsia="Arial" w:hAnsi="Arial"/>
                <w:sz w:val="14"/>
                <w:szCs w:val="14"/>
                <w:color w:val="auto"/>
                <w:w w:val="93"/>
              </w:rPr>
              <w:t>(In thousands)</w:t>
            </w:r>
          </w:p>
        </w:tc>
        <w:tc>
          <w:tcPr>
            <w:tcW w:w="10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94"/>
              </w:rPr>
              <w:t>(In years)</w:t>
            </w:r>
          </w:p>
        </w:tc>
      </w:tr>
      <w:tr>
        <w:trPr>
          <w:trHeight w:val="20"/>
        </w:trPr>
        <w:tc>
          <w:tcPr>
            <w:tcW w:w="7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18,058</w:t>
            </w:r>
          </w:p>
        </w:tc>
        <w:tc>
          <w:tcPr>
            <w:tcW w:w="1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1.6</w:t>
            </w: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Unvested restricted stock units and awards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1,678,691</w:t>
            </w:r>
          </w:p>
        </w:tc>
        <w:tc>
          <w:tcPr>
            <w:tcW w:w="1960" w:type="dxa"/>
            <w:vAlign w:val="bottom"/>
            <w:gridSpan w:val="2"/>
          </w:tcPr>
          <w:p>
            <w:pPr>
              <w:jc w:val="center"/>
              <w:spacing w:after="0"/>
              <w:rPr>
                <w:sz w:val="20"/>
                <w:szCs w:val="20"/>
                <w:color w:val="auto"/>
              </w:rPr>
            </w:pPr>
            <w:r>
              <w:rPr>
                <w:rFonts w:ascii="Arial" w:cs="Arial" w:eastAsia="Arial" w:hAnsi="Arial"/>
                <w:sz w:val="16"/>
                <w:szCs w:val="16"/>
                <w:color w:val="auto"/>
                <w:w w:val="89"/>
              </w:rPr>
              <w:t>2.9</w:t>
            </w: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ESPP</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9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0.1</w:t>
            </w:r>
          </w:p>
        </w:tc>
      </w:tr>
      <w:tr>
        <w:trPr>
          <w:trHeight w:val="213"/>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of Class A common stock in escrow subject to future vesting</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19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89"/>
              </w:rPr>
              <w:t>0.8</w:t>
            </w:r>
          </w:p>
        </w:tc>
      </w:tr>
      <w:tr>
        <w:trPr>
          <w:trHeight w:val="238"/>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1,699,159</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recorded total stock-based compensation expense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4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5"/>
        </w:trPr>
        <w:tc>
          <w:tcPr>
            <w:tcW w:w="5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r>
      <w:tr>
        <w:trPr>
          <w:trHeight w:val="182"/>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4"/>
                <w:szCs w:val="14"/>
                <w:color w:val="auto"/>
              </w:rPr>
              <w:t>(In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7,053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14,631</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94,085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90,787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246,754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279,680</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51,345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184,825</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32,524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37,973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90,497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111,850</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15,274</w:t>
            </w:r>
          </w:p>
        </w:tc>
      </w:tr>
      <w:tr>
        <w:trPr>
          <w:trHeight w:val="206"/>
        </w:trPr>
        <w:tc>
          <w:tcPr>
            <w:tcW w:w="5120" w:type="dxa"/>
            <w:vAlign w:val="bottom"/>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185,474</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208,895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509,367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606,260</w:t>
            </w:r>
          </w:p>
        </w:tc>
      </w:tr>
      <w:tr>
        <w:trPr>
          <w:trHeight w:val="24"/>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Loss Per Share Attributable to Common Stockholders</w:t>
      </w:r>
    </w:p>
    <w:p>
      <w:pPr>
        <w:spacing w:after="0" w:line="229"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340" w:type="dxa"/>
            <w:vAlign w:val="bottom"/>
            <w:gridSpan w:val="4"/>
          </w:tcPr>
          <w:p>
            <w:pPr>
              <w:jc w:val="right"/>
              <w:ind w:right="5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2340" w:type="dxa"/>
            <w:vAlign w:val="bottom"/>
            <w:gridSpan w:val="4"/>
          </w:tcPr>
          <w:p>
            <w:pPr>
              <w:jc w:val="right"/>
              <w:ind w:right="76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0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 (in thousands)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(482,327)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(650,033)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(1,026,723)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Weighted-average shares used to compute net loss per share attributable to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0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181,749,309</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183,692,564</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restart"/>
          </w:tcPr>
          <w:p>
            <w:pPr>
              <w:jc w:val="right"/>
              <w:ind w:right="4"/>
              <w:spacing w:after="0"/>
              <w:rPr>
                <w:sz w:val="20"/>
                <w:szCs w:val="20"/>
                <w:color w:val="auto"/>
              </w:rPr>
            </w:pPr>
            <w:r>
              <w:rPr>
                <w:rFonts w:ascii="Arial" w:cs="Arial" w:eastAsia="Arial" w:hAnsi="Arial"/>
                <w:sz w:val="16"/>
                <w:szCs w:val="16"/>
                <w:color w:val="auto"/>
              </w:rPr>
              <w:t>183,854,526</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182,319,735</w:t>
            </w:r>
          </w:p>
        </w:tc>
        <w:tc>
          <w:tcPr>
            <w:tcW w:w="0" w:type="dxa"/>
            <w:vAlign w:val="bottom"/>
          </w:tcPr>
          <w:p>
            <w:pPr>
              <w:spacing w:after="0"/>
              <w:rPr>
                <w:sz w:val="1"/>
                <w:szCs w:val="1"/>
                <w:color w:val="auto"/>
              </w:rPr>
            </w:pPr>
          </w:p>
        </w:tc>
      </w:tr>
      <w:tr>
        <w:trPr>
          <w:trHeight w:val="185"/>
        </w:trPr>
        <w:tc>
          <w:tcPr>
            <w:tcW w:w="6000" w:type="dxa"/>
            <w:vAlign w:val="bottom"/>
          </w:tcPr>
          <w:p>
            <w:pPr>
              <w:ind w:left="220"/>
              <w:spacing w:after="0"/>
              <w:rPr>
                <w:sz w:val="20"/>
                <w:szCs w:val="20"/>
                <w:color w:val="auto"/>
              </w:rPr>
            </w:pPr>
            <w:r>
              <w:rPr>
                <w:rFonts w:ascii="Arial" w:cs="Arial" w:eastAsia="Arial" w:hAnsi="Arial"/>
                <w:sz w:val="16"/>
                <w:szCs w:val="16"/>
                <w:color w:val="auto"/>
              </w:rPr>
              <w:t>common stockholders, basic and diluted</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loss per share attributable to common stockholders because their effect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5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As of September 30,</w:t>
            </w:r>
          </w:p>
        </w:tc>
      </w:tr>
      <w:tr>
        <w:trPr>
          <w:trHeight w:val="26"/>
        </w:trPr>
        <w:tc>
          <w:tcPr>
            <w:tcW w:w="8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87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issued and outstanding</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1,778,852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2,488,072</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Unvested restricted stock units issued and outstanding</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20,263,588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14,970,869</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of Class A common stock reserved for Twilio.org</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464,143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552,551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Shares of Class A common stock committed under ESPP</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350,270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191,558</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of Class A common stock in escrow</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31,503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31,503</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of Class A common stock in escrow and restricted stock awards subject to future vesting</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3,771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56,237</w:t>
            </w:r>
          </w:p>
        </w:tc>
      </w:tr>
      <w:tr>
        <w:trPr>
          <w:trHeight w:val="238"/>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22,892,127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18,290,790</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29" w:lineRule="exact"/>
        <w:rPr>
          <w:sz w:val="20"/>
          <w:szCs w:val="20"/>
          <w:color w:val="auto"/>
        </w:rPr>
      </w:pPr>
    </w:p>
    <w:p>
      <w:pPr>
        <w:ind w:right="220" w:firstLine="486"/>
        <w:spacing w:after="0" w:line="273" w:lineRule="auto"/>
        <w:rPr>
          <w:sz w:val="20"/>
          <w:szCs w:val="20"/>
          <w:color w:val="auto"/>
        </w:rPr>
      </w:pPr>
      <w:r>
        <w:rPr>
          <w:rFonts w:ascii="Arial" w:cs="Arial" w:eastAsia="Arial" w:hAnsi="Arial"/>
          <w:sz w:val="17"/>
          <w:szCs w:val="17"/>
          <w:color w:val="auto"/>
        </w:rPr>
        <w:t>The Company computes its provision for income taxes for interim periods using an estimated annual effective tax rate based on anticipated annual pretax income or loss. The estimated annual effective tax rate is applied to the Company’s year to date income or loss, and is adjusted for discrete items recorded in the period. The primary difference between the Company’s effective tax rate and the federal statutory rate is the full valuation allowance the Company has established on its federal, state and certain foreign net operating losses and credits. The Company recorded an income tax provision of $1.7 million and $13.0 million for the three and nine months ended September 30, 2023, respectively, and an income tax provision of $3.6 million and $3.3 million for the three and nine months ended September 30, 2022, respectively.</w:t>
      </w:r>
    </w:p>
    <w:p>
      <w:pPr>
        <w:spacing w:after="0" w:line="178"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provision for income taxes recorded in the three and nine months ended September 30, 2023, consists primarily of income taxes and withholding taxes, partially offset by an income tax benefit from the release of tax liabilities related to uncertain tax positions for which the statute of limitation had lapsed. The provision for income taxes recorded in the three and nine months ended September 30, 2022 consists primarily of income taxes and withholding taxes in foreign jurisdictions in which the Company conducts business, partially offset by an income tax benefit from the reversal of U.S. deferred tax liabilities related to the acquired intangibles from business combinations.</w:t>
      </w:r>
    </w:p>
    <w:p>
      <w:pPr>
        <w:spacing w:after="0" w:line="188"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 Company is subject to taxation in the U.S. and various other state and foreign jurisdictions. Because the Company has net operating loss carryforwards for U.S. federal and state jurisdictions, the statute of limitations is open for all tax years.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216" w:lineRule="exact"/>
        <w:rPr>
          <w:sz w:val="20"/>
          <w:szCs w:val="20"/>
          <w:color w:val="auto"/>
        </w:rPr>
      </w:pPr>
    </w:p>
    <w:p>
      <w:pPr>
        <w:ind w:right="120" w:firstLine="486"/>
        <w:spacing w:after="0" w:line="276" w:lineRule="auto"/>
        <w:rPr>
          <w:sz w:val="20"/>
          <w:szCs w:val="20"/>
          <w:color w:val="auto"/>
        </w:rPr>
      </w:pPr>
      <w:r>
        <w:rPr>
          <w:rFonts w:ascii="Arial" w:cs="Arial" w:eastAsia="Arial" w:hAnsi="Arial"/>
          <w:sz w:val="16"/>
          <w:szCs w:val="16"/>
          <w:color w:val="auto"/>
        </w:rPr>
        <w:t>In May 2022, the Company and Syniverse Corporation (“Syniverse”), an equity method investee, entered into a wholesale agreement pursuant to which Syniverse would process, route and deliver application-to-person messages originating and/or terminating between the Company’s customers and mobile network operators. For the three and nine months ended September 30, 2023, the value of the transactions that occurred between the Company and Syniverse were $40.1 million and $110.2 million, respectively. The value of the transactions that occurred between the Company and Syniverse were $32.1 million for the three months ended September 30, 2022, and $54.1 million for the period from the investment closing date in May 2022 through September 30, 2022. These transactions were recorded as cost of revenue in the accompanying condensed consolidated statements of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77" w:lineRule="exact"/>
        <w:rPr>
          <w:sz w:val="20"/>
          <w:szCs w:val="20"/>
          <w:color w:val="auto"/>
        </w:rPr>
      </w:pPr>
    </w:p>
    <w:p>
      <w:pPr>
        <w:ind w:left="980" w:right="2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macroeconomic uncertainties and significant market volatility in the global economy on our customers, partners, employees and business;</w:t>
      </w:r>
    </w:p>
    <w:p>
      <w:pPr>
        <w:spacing w:after="0" w:line="170" w:lineRule="exact"/>
        <w:rPr>
          <w:rFonts w:ascii="Arial" w:cs="Arial" w:eastAsia="Arial" w:hAnsi="Arial"/>
          <w:sz w:val="18"/>
          <w:szCs w:val="18"/>
          <w:color w:val="auto"/>
        </w:rPr>
      </w:pPr>
    </w:p>
    <w:p>
      <w:pPr>
        <w:ind w:left="980" w:right="240" w:hanging="324"/>
        <w:spacing w:after="0" w:line="263"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financial performance, including expectations regarding our revenue, cost of revenue, gross profit, gross margin and operating expenses, our ability to generate positive cash flow and ability to achieve and sustain profitability on GAAP and non-GAAP bases, and the assumptions underlying such expectations;</w:t>
      </w:r>
    </w:p>
    <w:p>
      <w:pPr>
        <w:spacing w:after="0" w:line="183"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benefits and efficiencies we expect to derive from recent workforce reductions and other cost-saving initiatives, including reducing our global office footprint and stock-based compensation expense;</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unit reorganization, including its expected costs and benefits, related accounting determinations and the shift in our segment reporting structure, and changes to our leadership structure;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regarding our Data &amp; Applications business, including new product releases, increased investment and go-to-market focus to capture market share, and increased revenue growth;</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regarding our Communications business, including anticipated efficiencies and strategy for streamlining the customer experience, including increased focus on self-service capabilities;</w:t>
      </w:r>
    </w:p>
    <w:p>
      <w:pPr>
        <w:spacing w:after="0" w:line="170" w:lineRule="exact"/>
        <w:rPr>
          <w:rFonts w:ascii="Arial" w:cs="Arial" w:eastAsia="Arial" w:hAnsi="Arial"/>
          <w:sz w:val="18"/>
          <w:szCs w:val="18"/>
          <w:color w:val="auto"/>
        </w:rPr>
      </w:pPr>
    </w:p>
    <w:p>
      <w:pPr>
        <w:ind w:left="980" w:right="76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and increase revenue from existing customers and attract new customers, including enterprises and international organizations;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reliable service levels for our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anticipated investments in sales and marketing, research and development and additional systems and processes to support our growth;</w:t>
      </w:r>
    </w:p>
    <w:p>
      <w:pPr>
        <w:spacing w:after="0" w:line="248" w:lineRule="exact"/>
        <w:rPr>
          <w:rFonts w:ascii="Arial" w:cs="Arial" w:eastAsia="Arial" w:hAnsi="Arial"/>
          <w:sz w:val="16"/>
          <w:szCs w:val="16"/>
          <w:color w:val="auto"/>
        </w:rPr>
      </w:pPr>
    </w:p>
    <w:p>
      <w:pPr>
        <w:ind w:left="980" w:hanging="324"/>
        <w:spacing w:after="0" w:line="308" w:lineRule="auto"/>
        <w:tabs>
          <w:tab w:leader="none" w:pos="9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compete effectively in an intensely competitive market, including our ability to set optimal prices for our products and adapt and respond effectively to rising costs, rapidly changing technology and evolving customer needs, requirements, and preferences;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harm caused by compromises in security, data and infrastructure, including cybersecurity protections;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comply with modified or new industry standards, laws and regulations applying to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make progress on our environmental, social and governance (“ESG”) programs, goals and commitments;</w:t>
      </w:r>
    </w:p>
    <w:p>
      <w:pPr>
        <w:spacing w:after="0" w:line="225" w:lineRule="exact"/>
        <w:rPr>
          <w:rFonts w:ascii="Arial" w:cs="Arial" w:eastAsia="Arial" w:hAnsi="Arial"/>
          <w:sz w:val="18"/>
          <w:szCs w:val="18"/>
          <w:color w:val="auto"/>
        </w:rPr>
      </w:pPr>
    </w:p>
    <w:p>
      <w:pPr>
        <w:ind w:left="980" w:right="62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manage changes in network service provider fees that we pay in connection with the delivery of communications on our platform;</w:t>
      </w:r>
    </w:p>
    <w:p>
      <w:pPr>
        <w:spacing w:after="0" w:line="170"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investments and costs required to prevent, detect and remediate potential cybersecurity threats, incidents and breaches of ours or our customers’ systems or information;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optimize our network service provider coverage and connectivity;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work closely with email inbox service providers to maintain deliverability rates;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and expected results from changes in our relationships with our larger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form and expand partnerships with technology partners and consulting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anticipated technology trends, such as the use of and demand for cloud communications and customer engagement tools;</w:t>
      </w:r>
    </w:p>
    <w:p>
      <w:pPr>
        <w:spacing w:after="0" w:line="211" w:lineRule="exact"/>
        <w:rPr>
          <w:rFonts w:ascii="Arial" w:cs="Arial" w:eastAsia="Arial" w:hAnsi="Arial"/>
          <w:sz w:val="18"/>
          <w:szCs w:val="18"/>
          <w:color w:val="auto"/>
        </w:rPr>
      </w:pPr>
    </w:p>
    <w:p>
      <w:pPr>
        <w:ind w:left="980" w:right="20" w:hanging="324"/>
        <w:spacing w:after="0" w:line="261"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leverage generative artificial intelligence (“AI”) and machine learning (“ML”) and develop and deliver products that incorporate generative AI and ML;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enter into new markets and manage our international expansion;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expectations regarding our share repurchase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service the interest on our 3.625% senior notes due 2029 (“2029 Notes”) and on our 3.875% notes due 2031 (“2031 Notes,” and together with the 2029 Notes, the “Notes”), and repay such Notes;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customers’ and other platform users’ violation of our policies or other misuse of our platform; and</w:t>
      </w:r>
    </w:p>
    <w:p>
      <w:pPr>
        <w:spacing w:after="0" w:line="225" w:lineRule="exact"/>
        <w:rPr>
          <w:rFonts w:ascii="Arial" w:cs="Arial" w:eastAsia="Arial" w:hAnsi="Arial"/>
          <w:sz w:val="18"/>
          <w:szCs w:val="18"/>
          <w:color w:val="auto"/>
        </w:rPr>
      </w:pPr>
    </w:p>
    <w:p>
      <w:pPr>
        <w:ind w:left="980" w:right="320" w:hanging="324"/>
        <w:spacing w:after="0" w:line="308"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successfully integrate and realize the benefits of our past or future strategic acquisitions, divestitures or investments, and our expectations regarding the impact of the recent divestitures of our Internet of Things (“IoT”) and ValueFirst businesses.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23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8"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included in our Annual Report on Form 10-K for the year ended December 31, 2022.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enable businesses of all sizes and across numerous industries to revolutionize how they engage their customers. Our leading customer engagement platform is comprised of a suite of flexible software and communications solutions that allow businesses to deliver seamless, trusted and engaging customer experiences at scale. In order to deliver the personalized experiences through digital communication channels that their customers have come to expect, businesses seek a comprehensive view of their customers across multiple digital touchpoints that reveals what their needs are and which communications methods they prefer. Our platform, which combines our highly customizable communications Application Programming Interfaces (“APIs”) with leading customer data management capabilities, allows businesses to break down data silos and build a comprehensive view of customers to create the exact solutions they need to engage their customers at every step of the customer journey through real-time, relevant, personalized communications over the customers’ preferred communication channels.</w:t>
      </w:r>
    </w:p>
    <w:p>
      <w:pPr>
        <w:spacing w:after="0" w:line="178"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With our platform, businesses can personalize every transaction with real-time data, build lasting loyalty, reduce customer acquisition costs and increase customer lifetime value. Our customized software products are designed to address specific use cases, including our customer data platform, virtual contact centers, personalized yet scalable marketing campaigns and advanced account security systems. Our leading communications solutions, including our APIs, are highly customizable and enable developers to embed numerous forms of voice, messaging and email interactions into their customer-facing applications. Our platform is designed to support all of the most important ways people communicate through technology and our global infrastructure is capable of supporting virtually any business at scale.</w:t>
      </w:r>
    </w:p>
    <w:p>
      <w:pPr>
        <w:spacing w:after="0" w:line="178"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In the three months ended September 30, 2023 and 2022, our revenue was $1.0 billion and $983.0 million, respectively, and our net loss was $141.7 million and $482.3 million, respectively. In the three months ended September 30, 2023 and 2022, our 10 largest Active Customer Accounts generated an aggregate of 10% and 13% of our total revenue,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b w:val="1"/>
          <w:bCs w:val="1"/>
          <w:i w:val="1"/>
          <w:iCs w:val="1"/>
          <w:color w:val="auto"/>
        </w:rPr>
        <w:t xml:space="preserve">Business Unit Reorganization. </w:t>
      </w:r>
      <w:r>
        <w:rPr>
          <w:rFonts w:ascii="Arial" w:cs="Arial" w:eastAsia="Arial" w:hAnsi="Arial"/>
          <w:sz w:val="16"/>
          <w:szCs w:val="16"/>
          <w:color w:val="auto"/>
        </w:rPr>
        <w:t>In February 2023, we announced the reorganization (the “Reorganization”) of our business into two business units: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Twilio Communications (“Communications”) and Twilio Data &amp; Applications (“Data &amp; Applications”). We believe that this strategic realignment will enable us to better execute on the key priorities for each business unit—accelerating growth for Data &amp; Applications and driving efficiencies for Communications—while accounting for each business unit’s unique economic, customer and product needs. These two business units can execute against their respective financial goals with more focus and independence—but they are also highly complementary. Our Data &amp; Applications business benefits from our underlying communications platform and our substantial active customer base. Our success in Data &amp; Applications also drives more intelligence for our Communications products. Together, they address adjacent needs and related problems for our customers.</w:t>
      </w:r>
    </w:p>
    <w:p>
      <w:pPr>
        <w:spacing w:after="0" w:line="16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connection with the Reorganization, we changed the organizational structure of our business, including the way we operate the business now and in the future. As such, in February 2023, we began making significant realignments to our internal processes and controls to build a financial reporting process within our enterprise reporting system that will enable consistent, comparable and reliable internal reporting on a business unit level. Concurrently, we were also in the process of determining the measure of profitability to be used by management to assess performance of its newly formed business units.</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second quarter of 2023, we completed certain of the realignment efforts and began presenting non-GAAP gross profit by business unit to the Chief Operating Decision Maker (“CODM”) to be used to assess performance and make resource allocation decisions. As such, in the second quarter of 2023, our Chief Executive Officer, who is also our CODM, began regularly reviewing discrete financial information for each business unit. This shift in the way management started operating the business required us to reevaluate our operating segment structure under the applicable accounting guidance. We determined that as of the end of the second quarter we had two operating and reportable segments: Twilio Communications and Twilio Data &amp; Applications.</w:t>
      </w:r>
    </w:p>
    <w:p>
      <w:pPr>
        <w:spacing w:after="0" w:line="21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u w:val="single" w:color="auto"/>
          <w:color w:val="auto"/>
        </w:rPr>
        <w:t>Twilio Communications</w:t>
      </w:r>
      <w:r>
        <w:rPr>
          <w:rFonts w:ascii="Arial" w:cs="Arial" w:eastAsia="Arial" w:hAnsi="Arial"/>
          <w:sz w:val="18"/>
          <w:szCs w:val="18"/>
          <w:color w:val="auto"/>
        </w:rPr>
        <w:t>: The Communications segment consists of a variety of application programming interfaces (“APIs”) and software solutions to optimize communications between our customers and their end users. The key products from which the segment derives its revenue are Messaging, Voice and Email.</w:t>
      </w:r>
    </w:p>
    <w:p>
      <w:pPr>
        <w:spacing w:after="0" w:line="21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u w:val="single" w:color="auto"/>
          <w:color w:val="auto"/>
        </w:rPr>
        <w:t>Twilio Data &amp; Applications</w:t>
      </w:r>
      <w:r>
        <w:rPr>
          <w:rFonts w:ascii="Arial" w:cs="Arial" w:eastAsia="Arial" w:hAnsi="Arial"/>
          <w:sz w:val="18"/>
          <w:szCs w:val="18"/>
          <w:color w:val="auto"/>
        </w:rPr>
        <w:t>: The Data &amp; Applications segment consists of software products that enable businesses to achieve more effective customer engagement by providing the tools necessary for customers to build direct, personalized relationships with their end users. The key products from which the segment derives its revenue are Segment, Engage, Flex and Marketing Campaigns.</w:t>
      </w:r>
    </w:p>
    <w:p>
      <w:pPr>
        <w:spacing w:after="0" w:line="211"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Refer to Note 8 to our unaudited condensed consolidated financial statements included elsewhere in this Quarterly Report on Form 10-Q for additional information on segment reporting.</w:t>
      </w:r>
    </w:p>
    <w:p>
      <w:pPr>
        <w:spacing w:after="0" w:line="170"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b w:val="1"/>
          <w:bCs w:val="1"/>
          <w:i w:val="1"/>
          <w:iCs w:val="1"/>
          <w:color w:val="auto"/>
        </w:rPr>
        <w:t xml:space="preserve">Share Repurchase Program. </w:t>
      </w:r>
      <w:r>
        <w:rPr>
          <w:rFonts w:ascii="Arial" w:cs="Arial" w:eastAsia="Arial" w:hAnsi="Arial"/>
          <w:sz w:val="16"/>
          <w:szCs w:val="16"/>
          <w:color w:val="auto"/>
        </w:rPr>
        <w:t>In February 2023, our Board of Directors authorized a share repurchase program pursuant to which we may repurchase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 to $1.0 billion in aggregate value of our Class A common stock until the program expires on December 31, 2024. Repurchases under this program can be made through open market, private transactions or other means in compliance with applicable federal securities laws and could include repurchases pursuant to Rule 10b5-1 trading plans. We have discretion in determining the conditions under which shares may be repurchased from time to time.</w:t>
      </w:r>
    </w:p>
    <w:p>
      <w:pPr>
        <w:spacing w:after="0" w:line="157"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color w:val="auto"/>
        </w:rPr>
        <w:t>In the nine months ended September 30, 2023, we repurchased $551.0 million in aggregate value, or 9.2 million shares, of our Class A common stock under this program. As of September 30, 2023, approximately $449.0 million of the originally authorized amount remained available for future repurchases.</w:t>
      </w:r>
    </w:p>
    <w:p>
      <w:pPr>
        <w:spacing w:after="0" w:line="184"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b w:val="1"/>
          <w:bCs w:val="1"/>
          <w:i w:val="1"/>
          <w:iCs w:val="1"/>
          <w:color w:val="auto"/>
        </w:rPr>
        <w:t xml:space="preserve">Workforce Reduction Plan. </w:t>
      </w:r>
      <w:r>
        <w:rPr>
          <w:rFonts w:ascii="Arial" w:cs="Arial" w:eastAsia="Arial" w:hAnsi="Arial"/>
          <w:sz w:val="16"/>
          <w:szCs w:val="16"/>
          <w:color w:val="auto"/>
        </w:rPr>
        <w:t>In February 2023, we announced a workforce restructuring plan (the “February 2023 Plan”) to eliminate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17% of our workforce. The execution of the February 2023 Plan was substantially complete in the first quarter of 2023. In the three months ended September 30, 2023, the restructuring expenses were not significant. In the nine months ended September 30, 2023, the cumulative restructuring expenses incurred under the February 2023 Plan were $140.3 million and were related to employee severance, benefits, vesting of equity awards and facilitation costs. The estimated remaining expenses related to the February 2023 Plan are not expected to be significant. For additional details refer to Note 7 to our unaudited condensed consolidated financial statements included elsewhere in this Quarterly Report on Form 10-Q.</w:t>
      </w:r>
    </w:p>
    <w:p>
      <w:pPr>
        <w:spacing w:after="0" w:line="16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b w:val="1"/>
          <w:bCs w:val="1"/>
          <w:i w:val="1"/>
          <w:iCs w:val="1"/>
          <w:color w:val="auto"/>
        </w:rPr>
        <w:t xml:space="preserve">Sabbatical Program. </w:t>
      </w:r>
      <w:r>
        <w:rPr>
          <w:rFonts w:ascii="Arial" w:cs="Arial" w:eastAsia="Arial" w:hAnsi="Arial"/>
          <w:sz w:val="18"/>
          <w:szCs w:val="18"/>
          <w:color w:val="auto"/>
        </w:rPr>
        <w:t>In February 2023, we announced that we will be sunsetting our employee sabbatical program that we introduced effective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 2022. The sabbatical program was intended to provide our tenured employees with a paid leave of four consecutive weeks after every three years of service. Employees who had accumulated more than three years of service as of the program’s effective date became eligible for their benefit immediately. The discontinuation of this program and the reduction in force under our February 2023 Plan resulted in a $12.0 million cumulative one-time decrease to our accrued sabbatical liability in the first quarter of 2023. As of September 30, 2023, the remaining liability of $8.3 million relates to the accumulated benefits for employees who remain eligible under this program until its expiration. As of December 31, 2022, the accrued sabbatical liability was $30.7 million.</w:t>
      </w:r>
    </w:p>
    <w:p>
      <w:pPr>
        <w:spacing w:after="0" w:line="19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b w:val="1"/>
          <w:bCs w:val="1"/>
          <w:i w:val="1"/>
          <w:iCs w:val="1"/>
          <w:color w:val="auto"/>
        </w:rPr>
        <w:t xml:space="preserve">Remote-First Company. </w:t>
      </w:r>
      <w:r>
        <w:rPr>
          <w:rFonts w:ascii="Arial" w:cs="Arial" w:eastAsia="Arial" w:hAnsi="Arial"/>
          <w:sz w:val="18"/>
          <w:szCs w:val="18"/>
          <w:color w:val="auto"/>
        </w:rPr>
        <w:t>In 2022, we announced our decision to become a remote-first company allowing our employees the flexibility to 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remotely on a permanent basis. As part of our new operating strategy, we permanently closed several of our offices in 2022 and 2023. These office closures resulted in an impairment of several long-lived assets, including our operating lease assets, leasehold improvements and property and equipment. In the three and nine months ended September 30, 2023, we recorded a total impairment loss of $3.2 million and $34.3 million, respectively, related to our permanent office closures.</w:t>
      </w:r>
    </w:p>
    <w:p>
      <w:pPr>
        <w:spacing w:after="0" w:line="188"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Impairment of Strategic Investment. </w:t>
      </w:r>
      <w:r>
        <w:rPr>
          <w:rFonts w:ascii="Arial" w:cs="Arial" w:eastAsia="Arial" w:hAnsi="Arial"/>
          <w:sz w:val="18"/>
          <w:szCs w:val="18"/>
          <w:color w:val="auto"/>
        </w:rPr>
        <w:t>In the first quarter of 2023, we recorded a $46.2 million impairment loss associated with one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from 2021 to reduce its carrying amount to fair value.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Divestiture of IoT Assets. </w:t>
      </w:r>
      <w:r>
        <w:rPr>
          <w:rFonts w:ascii="Arial" w:cs="Arial" w:eastAsia="Arial" w:hAnsi="Arial"/>
          <w:sz w:val="18"/>
          <w:szCs w:val="18"/>
          <w:color w:val="auto"/>
        </w:rPr>
        <w:t>In the second quarter of 2023, we completed the sale of our IoT net assets for a stock consideration of $15.8 million.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on divestiture and related expenses recorded in the nine months ended September 30, 2023 were not significant.</w:t>
      </w:r>
    </w:p>
    <w:p>
      <w:pPr>
        <w:spacing w:after="0" w:line="166" w:lineRule="exact"/>
        <w:rPr>
          <w:sz w:val="20"/>
          <w:szCs w:val="20"/>
          <w:color w:val="auto"/>
        </w:rPr>
      </w:pPr>
    </w:p>
    <w:p>
      <w:pPr>
        <w:ind w:right="20" w:firstLine="486"/>
        <w:spacing w:after="0" w:line="281" w:lineRule="auto"/>
        <w:rPr>
          <w:sz w:val="20"/>
          <w:szCs w:val="20"/>
          <w:color w:val="auto"/>
        </w:rPr>
      </w:pPr>
      <w:r>
        <w:rPr>
          <w:rFonts w:ascii="Arial" w:cs="Arial" w:eastAsia="Arial" w:hAnsi="Arial"/>
          <w:sz w:val="17"/>
          <w:szCs w:val="17"/>
          <w:b w:val="1"/>
          <w:bCs w:val="1"/>
          <w:i w:val="1"/>
          <w:iCs w:val="1"/>
          <w:color w:val="auto"/>
        </w:rPr>
        <w:t>Divestiture of ValueFirst Business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third quarter of 2023, we completed the sale of our ValueFirst business for a total cash sales price of $45.5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$38.2 million in proceeds, net of cash divested. ValueFirst was our enterprise communications platform in India. In the nine months ended September 30, 2023, we recorded a $28.8 million loss on divestiture and an additional $3.3 million in related expenses. For additional details refer to Note 5 to our unaudited condensed consolidated financial statements included elsewhere in this Quarterly Report on Form 10-Q.</w:t>
      </w:r>
    </w:p>
    <w:p>
      <w:pPr>
        <w:spacing w:after="0" w:line="169"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Macroeconomic and Geopolitical Factors. </w:t>
      </w:r>
      <w:r>
        <w:rPr>
          <w:rFonts w:ascii="Arial" w:cs="Arial" w:eastAsia="Arial" w:hAnsi="Arial"/>
          <w:sz w:val="18"/>
          <w:szCs w:val="18"/>
          <w:color w:val="auto"/>
        </w:rPr>
        <w:t>Our results of operations may be significantly affected by several macroeconomic and geopolitical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factors, such as changes in global economic conditions, customer demand and spending, inflation, labor market constraints, uncertainty regarding the impacts of fluctuations in foreign exchange rates, world events, and existing and new domestic and foreign laws and regulations, as well as those factors outlined in Part II,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We review a number of operational and financial metrics, including Active Customer Accounts and Dollar-Based Net Expansion Rate, to evaluate our business, measure our performance, identify trends affecting our business, formulate business plans and make strategic decisions.</w:t>
      </w:r>
    </w:p>
    <w:p>
      <w:pPr>
        <w:spacing w:after="0" w:line="14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summarizes our year-over-year revenue growth and Dollar-Based Net Expansion Rate for the three months ended September 30, 2023 and 2022, and the number of Active Customer Accounts as of September 30, 2023 and 2022.</w:t>
      </w:r>
    </w:p>
    <w:p>
      <w:pPr>
        <w:spacing w:after="0" w:line="202" w:lineRule="exact"/>
        <w:rPr>
          <w:sz w:val="20"/>
          <w:szCs w:val="20"/>
          <w:color w:val="auto"/>
        </w:rPr>
      </w:pPr>
    </w:p>
    <w:tbl>
      <w:tblPr>
        <w:tblLayout w:type="fixed"/>
        <w:tblInd w:w="122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center"/>
              <w:ind w:left="483"/>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6"/>
                <w:szCs w:val="16"/>
                <w:color w:val="auto"/>
              </w:rPr>
            </w:pPr>
          </w:p>
        </w:tc>
      </w:tr>
      <w:tr>
        <w:trPr>
          <w:trHeight w:val="203"/>
        </w:trPr>
        <w:tc>
          <w:tcPr>
            <w:tcW w:w="6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gridSpan w:val="3"/>
          </w:tcPr>
          <w:p>
            <w:pPr>
              <w:jc w:val="center"/>
              <w:ind w:left="483"/>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Pr>
          <w:p>
            <w:pPr>
              <w:spacing w:after="0"/>
              <w:rPr>
                <w:sz w:val="17"/>
                <w:szCs w:val="17"/>
                <w:color w:val="auto"/>
              </w:rPr>
            </w:pPr>
          </w:p>
        </w:tc>
      </w:tr>
      <w:tr>
        <w:trPr>
          <w:trHeight w:val="26"/>
        </w:trPr>
        <w:tc>
          <w:tcPr>
            <w:tcW w:w="6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6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w w:val="89"/>
              </w:rPr>
              <w:t>2022</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Active Customer Accounts (as of end date of period)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306,000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280,000</w:t>
            </w: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Total Revenue (in thousands)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3"/>
              <w:spacing w:after="0"/>
              <w:rPr>
                <w:sz w:val="20"/>
                <w:szCs w:val="20"/>
                <w:color w:val="auto"/>
              </w:rPr>
            </w:pPr>
            <w:r>
              <w:rPr>
                <w:rFonts w:ascii="Arial" w:cs="Arial" w:eastAsia="Arial" w:hAnsi="Arial"/>
                <w:sz w:val="16"/>
                <w:szCs w:val="16"/>
                <w:color w:val="auto"/>
              </w:rPr>
              <w:t>1,033,670</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41"/>
              <w:spacing w:after="0"/>
              <w:rPr>
                <w:sz w:val="20"/>
                <w:szCs w:val="20"/>
                <w:color w:val="auto"/>
              </w:rPr>
            </w:pPr>
            <w:r>
              <w:rPr>
                <w:rFonts w:ascii="Arial" w:cs="Arial" w:eastAsia="Arial" w:hAnsi="Arial"/>
                <w:sz w:val="16"/>
                <w:szCs w:val="16"/>
                <w:color w:val="auto"/>
              </w:rPr>
              <w:t>983,030</w:t>
            </w:r>
          </w:p>
        </w:tc>
      </w:tr>
      <w:tr>
        <w:trPr>
          <w:trHeight w:val="219"/>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Total Revenue Growth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0"/>
        </w:trPr>
        <w:tc>
          <w:tcPr>
            <w:tcW w:w="6140" w:type="dxa"/>
            <w:vAlign w:val="bottom"/>
          </w:tcPr>
          <w:p>
            <w:pPr>
              <w:ind w:left="20"/>
              <w:spacing w:after="0"/>
              <w:rPr>
                <w:sz w:val="20"/>
                <w:szCs w:val="20"/>
                <w:color w:val="auto"/>
              </w:rPr>
            </w:pPr>
            <w:r>
              <w:rPr>
                <w:rFonts w:ascii="Arial" w:cs="Arial" w:eastAsia="Arial" w:hAnsi="Arial"/>
                <w:sz w:val="16"/>
                <w:szCs w:val="16"/>
                <w:color w:val="auto"/>
              </w:rPr>
              <w:t>Dollar-Based Net Expansion Rate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122 %</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 Accounts</w:t>
      </w:r>
    </w:p>
    <w:p>
      <w:pPr>
        <w:spacing w:after="0" w:line="25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define an Active Customer Account at the end of any period as an individual account, as identified by a unique account identifier, for which we have recognized at least $5 of revenue in the last month of the period. A single organization may constitute multiple unique Active Customer Accounts if it has multiple account identifiers, each of which is treated as a separate Active Customer Account. Active Customer Accounts excludes customer accounts from Zipwhip, Inc. Communications Active Customer Accounts and Data &amp; Applications Active Customer Accounts are calculated using the same methodology, but using only revenue recognized from accounts in the respective segment. Because an individual Active Customer Account may be counted as both a Communications Active Customer Account and a Data &amp; Applications Active Customer Account, the sum of the segment-level Active Customer Accounts may exceed our total company Active Customer Accounts.</w:t>
      </w:r>
    </w:p>
    <w:p>
      <w:pPr>
        <w:spacing w:after="0" w:line="204"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believe that the number of Active Customer Accounts, on an aggregate basis and at the segment level, is an important indicator of the growth of our business, the market acceptance of our platform and future revenue trends. We believe that use of our platform by customers at or above the $5 per month threshold is a stronger indicator of potential future engagement than trial usage of our platform or usage at levels below $5 per month. The number of Active Customer Accounts is rounded down to the nearest thousand</w:t>
      </w:r>
      <w:r>
        <w:rPr>
          <w:rFonts w:ascii="Arial" w:cs="Arial" w:eastAsia="Arial" w:hAnsi="Arial"/>
          <w:sz w:val="15"/>
          <w:szCs w:val="15"/>
          <w:color w:val="auto"/>
        </w:rPr>
        <w:t>.</w:t>
      </w:r>
      <w:r>
        <w:rPr>
          <w:rFonts w:ascii="Arial" w:cs="Arial" w:eastAsia="Arial" w:hAnsi="Arial"/>
          <w:sz w:val="17"/>
          <w:szCs w:val="17"/>
          <w:color w:val="auto"/>
        </w:rPr>
        <w:t xml:space="preserve"> In the three months ended September 30, 2023 and 2022, revenue from Active Customer Accounts represented over 99% of total revenue in each period.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Dollar</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Net Expansion Rate</w:t>
      </w:r>
    </w:p>
    <w:p>
      <w:pPr>
        <w:spacing w:after="0" w:line="225"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Dollar-Based Net Expansion Rate compares the total revenue from all Active Customer Accounts and customer accounts from Zipwhip, Inc. in a quarter to the same quarter in the prior year. To calculate the Dollar-Based Net Expansion Rate, we first identify the cohort of Active Customer Accounts and customer accounts from Zipwhip, Inc. that were Active Customer Accounts or customer accounts from Zipwhip, Inc.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 As a result, for the quarter ended September 30, 2023, our Dollar-Based Net Expansion Rate excludes the contributions from acquisitions made after July 1, 2022. Revenue from divestitures does not impact the Dollar-Based Net Expansion Rate calculation beginning in the quarter the divestiture closed, unless the divestiture closing date is the last day of a quarter. As a result, for the quarter ended September 30, 2023, our Dollar-Based Net Expansion Rate excludes the contributions from divestitures made after September 30, 2022. Communications Dollar-Based Net Expansion Rate and Data &amp; Applications Dollar-Based Net Expansion Rate are calculated using the same methodology, but using only revenue attributable to the respective segment and Active Customer Accounts and customer accounts from Zipwhip, Inc. for that respective segment. Revenue from customer accounts from Zipwhip, Inc., which we acquired on July 14, 2021, has been included in our Dollar-Based Net Expansion Rate beginning in the quarter ended December 31, 2022.</w:t>
      </w:r>
    </w:p>
    <w:p>
      <w:pPr>
        <w:spacing w:after="0" w:line="16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believe that measuring Dollar-Based Net Expansion Rate, on an aggregate basis and at the segment level, provides a more meaningful indication of the performance of our efforts to increase revenue from existing customers. Our ability to drive growth and generate incremental revenue depends, in part, on our ability to maintain and grow our relationships with existing Active Customer 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Statements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recognize revenue from our products on either a usage basis or a subscription basis, depending on the nature of the product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customer contract. Our reportable segments contain products that may follow either revenue recognition model.</w:t>
      </w:r>
    </w:p>
    <w:p>
      <w:pPr>
        <w:spacing w:after="0" w:line="170" w:lineRule="exact"/>
        <w:rPr>
          <w:sz w:val="20"/>
          <w:szCs w:val="20"/>
          <w:color w:val="auto"/>
        </w:rPr>
      </w:pPr>
    </w:p>
    <w:p>
      <w:pPr>
        <w:ind w:right="40" w:firstLine="486"/>
        <w:spacing w:after="0" w:line="220" w:lineRule="exact"/>
        <w:rPr>
          <w:sz w:val="20"/>
          <w:szCs w:val="20"/>
          <w:color w:val="auto"/>
        </w:rPr>
      </w:pPr>
      <w:r>
        <w:rPr>
          <w:rFonts w:ascii="Arial" w:cs="Arial" w:eastAsia="Arial" w:hAnsi="Arial"/>
          <w:sz w:val="17"/>
          <w:szCs w:val="17"/>
          <w:color w:val="auto"/>
        </w:rPr>
        <w:t>The majority of the revenue in our Communications segment is derived from usage</w:t>
      </w:r>
      <w:r>
        <w:rPr>
          <w:rFonts w:ascii="MS PGothic" w:cs="MS PGothic" w:eastAsia="MS PGothic" w:hAnsi="MS PGothic"/>
          <w:sz w:val="17"/>
          <w:szCs w:val="17"/>
          <w:color w:val="auto"/>
        </w:rPr>
        <w:t>‑</w:t>
      </w:r>
      <w:r>
        <w:rPr>
          <w:rFonts w:ascii="Arial" w:cs="Arial" w:eastAsia="Arial" w:hAnsi="Arial"/>
          <w:sz w:val="17"/>
          <w:szCs w:val="17"/>
          <w:color w:val="auto"/>
        </w:rPr>
        <w:t>based fees. These fees are earned when customers access our cloud-based platform. Some examples of our usage-based products are Messaging and Voice. For our Messaging products, we primarily charge fees related to the number of text messages sent or received. For our Voice products, we primarily charge fees for minutes of call duration. In the three months ended September 30, 2023 and 2022, we generated 71% and 73% of our revenue, respectively, from usage</w:t>
      </w:r>
      <w:r>
        <w:rPr>
          <w:rFonts w:ascii="MS PGothic" w:cs="MS PGothic" w:eastAsia="MS PGothic" w:hAnsi="MS PGothic"/>
          <w:sz w:val="17"/>
          <w:szCs w:val="17"/>
          <w:color w:val="auto"/>
        </w:rPr>
        <w:t>‑</w:t>
      </w:r>
      <w:r>
        <w:rPr>
          <w:rFonts w:ascii="Arial" w:cs="Arial" w:eastAsia="Arial" w:hAnsi="Arial"/>
          <w:sz w:val="17"/>
          <w:szCs w:val="17"/>
          <w:color w:val="auto"/>
        </w:rPr>
        <w:t>based fees.</w:t>
      </w:r>
    </w:p>
    <w:p>
      <w:pPr>
        <w:spacing w:after="0" w:line="204"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We earn monthly subscription-based fees from various products in both Communications and Data &amp; Applications segments. Some examples of our primarily subscription-based products are Segment, Engage, Flex and Email. For our subscription-based products we recognize revenue evenly over the contract term. When our usage-based Communications products are embedded into our subscription-based products, such as into Flex, we charge for those separately on a usage basis and record the revenue into the reportable segment in which the usage-based product resides.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color w:val="auto"/>
        </w:rPr>
        <w:t>Customers gain access to our products and solutions either through an e-commerce self-service sign-up format which requires an upfront prepayment via credit card that is drawn down as they use our products or for our larger customers, including enterprise customers, through a negotiated contract established for at least 12 months that typically contains minimum revenue commitments and may contain more favorable pricing. Customers on such contracts are typically either invoiced monthly in arrears for products used or invoiced in advance at the start of the term.</w:t>
      </w:r>
    </w:p>
    <w:p>
      <w:pPr>
        <w:spacing w:after="0" w:line="15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87"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25" w:lineRule="exact"/>
        <w:rPr>
          <w:sz w:val="20"/>
          <w:szCs w:val="20"/>
          <w:color w:val="auto"/>
        </w:rPr>
      </w:pPr>
    </w:p>
    <w:p>
      <w:pPr>
        <w:ind w:right="160" w:firstLine="486"/>
        <w:spacing w:after="0" w:line="219" w:lineRule="exact"/>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Cost of revenue consists primarily of fees paid to network service providers. Cost of revenue also includes cloud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fees, direct costs of personnel, such as salaries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our customer support employees, and other non</w:t>
      </w:r>
      <w:r>
        <w:rPr>
          <w:rFonts w:ascii="MS PGothic" w:cs="MS PGothic" w:eastAsia="MS PGothic" w:hAnsi="MS PGothic"/>
          <w:sz w:val="17"/>
          <w:szCs w:val="17"/>
          <w:color w:val="auto"/>
        </w:rPr>
        <w:t>‑</w:t>
      </w:r>
      <w:r>
        <w:rPr>
          <w:rFonts w:ascii="Arial" w:cs="Arial" w:eastAsia="Arial" w:hAnsi="Arial"/>
          <w:sz w:val="17"/>
          <w:szCs w:val="17"/>
          <w:color w:val="auto"/>
        </w:rPr>
        <w:t>personnel costs, such as depreciation and amortization expense related to data centers and hosting equipment, amortization of capitalized internal-use software development costs and acquired intangible assets. Costs of revenue are generally directly attributable to each segment. Certain costs of revenue are allocated to segments based on methodologies that best reflect the patterns of consumptions of these costs.</w:t>
      </w:r>
    </w:p>
    <w:p>
      <w:pPr>
        <w:spacing w:after="0" w:line="205"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Our arrangements with network service providers require us to pay fees based on the volume of phone calls initiated or text messages sent, as well as the number of telephone numbers acquired by us to service our customers. Our arrangements with our cloud infrastructure provider require us to pay fees based on our server capacity consumption.</w:t>
      </w:r>
    </w:p>
    <w:p>
      <w:pPr>
        <w:spacing w:after="0" w:line="184" w:lineRule="exact"/>
        <w:rPr>
          <w:sz w:val="20"/>
          <w:szCs w:val="20"/>
          <w:color w:val="auto"/>
        </w:rPr>
      </w:pPr>
    </w:p>
    <w:p>
      <w:pPr>
        <w:ind w:right="260" w:firstLine="486"/>
        <w:spacing w:after="0" w:line="219" w:lineRule="exact"/>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is gross profit expressed as a percentage of revenue. Our gross margin has been and will continue to be affected by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factors, including the timing and extent of our investments in our operations; our product mix; our ability to manage our network service provider and cloud infrastructure</w:t>
      </w:r>
      <w:r>
        <w:rPr>
          <w:rFonts w:ascii="MS PGothic" w:cs="MS PGothic" w:eastAsia="MS PGothic" w:hAnsi="MS PGothic"/>
          <w:sz w:val="18"/>
          <w:szCs w:val="18"/>
          <w:color w:val="auto"/>
        </w:rPr>
        <w:t>‑</w:t>
      </w:r>
      <w:r>
        <w:rPr>
          <w:rFonts w:ascii="Arial" w:cs="Arial" w:eastAsia="Arial" w:hAnsi="Arial"/>
          <w:sz w:val="18"/>
          <w:szCs w:val="18"/>
          <w:color w:val="auto"/>
        </w:rPr>
        <w:t>related fees, including A2P SMS fees; the mix of U.S. revenue compared to international revenue; changes in foreign exchange rates; the timing of amortization of capitalized software development costs and acquired intangibles; and the extent to which we periodically choose to adjust prices of our products.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60" w:firstLine="486"/>
        <w:spacing w:after="0" w:line="223" w:lineRule="exact"/>
        <w:rPr>
          <w:sz w:val="20"/>
          <w:szCs w:val="20"/>
          <w:color w:val="auto"/>
        </w:rPr>
      </w:pPr>
      <w:r>
        <w:rPr>
          <w:rFonts w:ascii="Arial" w:cs="Arial" w:eastAsia="Arial" w:hAnsi="Arial"/>
          <w:sz w:val="18"/>
          <w:szCs w:val="18"/>
          <w:color w:val="auto"/>
        </w:rPr>
        <w:t>The most significant components of operating expenses are personnel costs, which consist of salaries, benefits, sales commissions and bonuses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We also incur other non</w:t>
      </w:r>
      <w:r>
        <w:rPr>
          <w:rFonts w:ascii="MS PGothic" w:cs="MS PGothic" w:eastAsia="MS PGothic" w:hAnsi="MS PGothic"/>
          <w:sz w:val="18"/>
          <w:szCs w:val="18"/>
          <w:color w:val="auto"/>
        </w:rPr>
        <w:t>‑</w:t>
      </w:r>
      <w:r>
        <w:rPr>
          <w:rFonts w:ascii="Arial" w:cs="Arial" w:eastAsia="Arial" w:hAnsi="Arial"/>
          <w:sz w:val="18"/>
          <w:szCs w:val="18"/>
          <w:color w:val="auto"/>
        </w:rPr>
        <w:t>personnel costs related to our general overhead expenses.</w:t>
      </w:r>
    </w:p>
    <w:p>
      <w:pPr>
        <w:spacing w:after="0" w:line="203" w:lineRule="exact"/>
        <w:rPr>
          <w:sz w:val="20"/>
          <w:szCs w:val="20"/>
          <w:color w:val="auto"/>
        </w:rPr>
      </w:pPr>
    </w:p>
    <w:p>
      <w:pPr>
        <w:ind w:right="240" w:firstLine="486"/>
        <w:spacing w:after="0" w:line="311"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consist primarily of personnel costs, outsourced engineering services, cloud</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w:t>
      </w:r>
    </w:p>
    <w:p>
      <w:pPr>
        <w:spacing w:after="0" w:line="149"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We are focusing our research and development investment in the highest impact product areas for our future. We are investing strategically in alignment with our focus on building a trusted, leading customer engagement platform.</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personnel costs, including commissions and bonuses to our sales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expenses also include expenditures related to advertising, marketing, brand awareness activities, costs related to our SIGNAL customer and developer conferences, credit card processing fees, professional services fees, depreciation, amortization of acquired intangible assets and an allocation of our general overhead expenses.</w:t>
      </w:r>
    </w:p>
    <w:p>
      <w:pPr>
        <w:spacing w:after="0" w:line="173" w:lineRule="exact"/>
        <w:rPr>
          <w:sz w:val="20"/>
          <w:szCs w:val="20"/>
          <w:color w:val="auto"/>
        </w:rPr>
      </w:pPr>
    </w:p>
    <w:p>
      <w:pPr>
        <w:ind w:right="140" w:firstLine="486"/>
        <w:spacing w:after="0" w:line="261" w:lineRule="auto"/>
        <w:rPr>
          <w:sz w:val="20"/>
          <w:szCs w:val="20"/>
          <w:color w:val="auto"/>
        </w:rPr>
      </w:pPr>
      <w:r>
        <w:rPr>
          <w:rFonts w:ascii="Arial" w:cs="Arial" w:eastAsia="Arial" w:hAnsi="Arial"/>
          <w:sz w:val="18"/>
          <w:szCs w:val="18"/>
          <w:color w:val="auto"/>
        </w:rPr>
        <w:t>We focus our sales and marketing efforts on generating awareness of our company, platform and products, creating sales leads and establishing and promoting our brand, both domestically and internationally.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firstLine="486"/>
        <w:spacing w:after="0" w:line="24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personnel costs for our accounting, finance, legal,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w:t>
      </w:r>
    </w:p>
    <w:p>
      <w:pPr>
        <w:spacing w:after="0" w:line="20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We expect that we will incur costs associated with supporting the growth of our business. We may also incur higher than usual losses related to deterioration of quality of certain financial assets caused by macroeconomic conditions.</w:t>
      </w:r>
    </w:p>
    <w:p>
      <w:pPr>
        <w:spacing w:after="0" w:line="17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consist primarily of personnel costs, such as employee severance payments, benefits and certain facilitation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our workforce reductions, which are described in Note 7 to our unaudited condensed consolidated financial statements included elsewhere in this Quarterly Report on Form 10-Q. Restructuring costs also include stock-based compensation expense related to vesting of stock-based awards of the impacted employees.</w:t>
      </w:r>
    </w:p>
    <w:p>
      <w:pPr>
        <w:spacing w:after="0" w:line="187"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Impairment of long-lived assets consists primarily of impairment charges allocated to the carrying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operating right-of-use assets and the associated leasehold improvements and property and equipment when the carrying amounts exceed their respective fair values.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Net</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Our other expenses, net consist primarily of our share of losses from our equity method investment; impairment charges and gains and losses related to our strategic investments and marketable securities; and debt-related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Our provision for income taxes consists primarily of income taxes and withholding taxes in foreign jurisdictions in which the Company conducts business.</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primary difference between our effective tax rate and the federal statutory rate relates to the valuation allowance the Company established on the federal, state and certain foreign net operating losses and credits.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100" w:firstLine="486"/>
        <w:spacing w:after="0" w:line="217" w:lineRule="exact"/>
        <w:rPr>
          <w:sz w:val="20"/>
          <w:szCs w:val="20"/>
          <w:color w:val="auto"/>
        </w:rPr>
      </w:pPr>
      <w:r>
        <w:rPr>
          <w:rFonts w:ascii="Arial" w:cs="Arial" w:eastAsia="Arial" w:hAnsi="Arial"/>
          <w:sz w:val="16"/>
          <w:szCs w:val="16"/>
          <w:color w:val="auto"/>
        </w:rPr>
        <w:t>We use the following non</w:t>
      </w:r>
      <w:r>
        <w:rPr>
          <w:rFonts w:ascii="MS PGothic" w:cs="MS PGothic" w:eastAsia="MS PGothic" w:hAnsi="MS PGothic"/>
          <w:sz w:val="16"/>
          <w:szCs w:val="16"/>
          <w:color w:val="auto"/>
        </w:rPr>
        <w:t>‑</w:t>
      </w:r>
      <w:r>
        <w:rPr>
          <w:rFonts w:ascii="Arial" w:cs="Arial" w:eastAsia="Arial" w:hAnsi="Arial"/>
          <w:sz w:val="16"/>
          <w:szCs w:val="16"/>
          <w:color w:val="auto"/>
        </w:rPr>
        <w:t>GAAP financial information, collectively, to evaluate our ongoing operations and for internal planning and forecasting purposes. We believe that non</w:t>
      </w:r>
      <w:r>
        <w:rPr>
          <w:rFonts w:ascii="MS PGothic" w:cs="MS PGothic" w:eastAsia="MS PGothic" w:hAnsi="MS PGothic"/>
          <w:sz w:val="16"/>
          <w:szCs w:val="16"/>
          <w:color w:val="auto"/>
        </w:rPr>
        <w:t>‑</w:t>
      </w:r>
      <w:r>
        <w:rPr>
          <w:rFonts w:ascii="Arial" w:cs="Arial" w:eastAsia="Arial" w:hAnsi="Arial"/>
          <w:sz w:val="16"/>
          <w:szCs w:val="16"/>
          <w:color w:val="auto"/>
        </w:rPr>
        <w:t>GAAP financial information, when taken collectively, may be helpful to investors because it provides consistency and comparability with past financial performance, facilitates period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period comparisons of results of operations and assists in comparisons with other companies, many of which use similar non</w:t>
      </w:r>
      <w:r>
        <w:rPr>
          <w:rFonts w:ascii="MS PGothic" w:cs="MS PGothic" w:eastAsia="MS PGothic" w:hAnsi="MS PGothic"/>
          <w:sz w:val="16"/>
          <w:szCs w:val="16"/>
          <w:color w:val="auto"/>
        </w:rPr>
        <w:t>‑</w:t>
      </w:r>
      <w:r>
        <w:rPr>
          <w:rFonts w:ascii="Arial" w:cs="Arial" w:eastAsia="Arial" w:hAnsi="Arial"/>
          <w:sz w:val="16"/>
          <w:szCs w:val="16"/>
          <w:color w:val="auto"/>
        </w:rPr>
        <w:t>GAAP financial information to supplement their results of operations reported in accordance with generally accepted accounting principles (“GAAP”). Non</w:t>
      </w:r>
      <w:r>
        <w:rPr>
          <w:rFonts w:ascii="MS PGothic" w:cs="MS PGothic" w:eastAsia="MS PGothic" w:hAnsi="MS PGothic"/>
          <w:sz w:val="16"/>
          <w:szCs w:val="16"/>
          <w:color w:val="auto"/>
        </w:rPr>
        <w:t>‑</w:t>
      </w:r>
      <w:r>
        <w:rPr>
          <w:rFonts w:ascii="Arial" w:cs="Arial" w:eastAsia="Arial" w:hAnsi="Arial"/>
          <w:sz w:val="16"/>
          <w:szCs w:val="16"/>
          <w:color w:val="auto"/>
        </w:rPr>
        <w:t>GAAP financial information is presented for supplemental informational purposes only, should not be considered a substitute for financial information presented in accordance with GAAP and may be different from similarly</w:t>
      </w:r>
      <w:r>
        <w:rPr>
          <w:rFonts w:ascii="MS PGothic" w:cs="MS PGothic" w:eastAsia="MS PGothic" w:hAnsi="MS PGothic"/>
          <w:sz w:val="16"/>
          <w:szCs w:val="16"/>
          <w:color w:val="auto"/>
        </w:rPr>
        <w:t>‑</w:t>
      </w:r>
      <w:r>
        <w:rPr>
          <w:rFonts w:ascii="Arial" w:cs="Arial" w:eastAsia="Arial" w:hAnsi="Arial"/>
          <w:sz w:val="16"/>
          <w:szCs w:val="16"/>
          <w:color w:val="auto"/>
        </w:rPr>
        <w:t>titled non</w:t>
      </w:r>
      <w:r>
        <w:rPr>
          <w:rFonts w:ascii="MS PGothic" w:cs="MS PGothic" w:eastAsia="MS PGothic" w:hAnsi="MS PGothic"/>
          <w:sz w:val="16"/>
          <w:szCs w:val="16"/>
          <w:color w:val="auto"/>
        </w:rPr>
        <w:t>‑</w:t>
      </w:r>
      <w:r>
        <w:rPr>
          <w:rFonts w:ascii="Arial" w:cs="Arial" w:eastAsia="Arial" w:hAnsi="Arial"/>
          <w:sz w:val="16"/>
          <w:szCs w:val="16"/>
          <w:color w:val="auto"/>
        </w:rPr>
        <w:t>GAAP measures used by other companies. Whenever we use a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to their most directly comparable GAAP financial measures.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b w:val="1"/>
          <w:bCs w:val="1"/>
          <w:i w:val="1"/>
          <w:iCs w:val="1"/>
          <w:color w:val="auto"/>
        </w:rPr>
        <w:t>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GAAP Gross Profit and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GAAP Gross Margin</w:t>
      </w:r>
    </w:p>
    <w:p>
      <w:pPr>
        <w:spacing w:after="0" w:line="225" w:lineRule="exact"/>
        <w:rPr>
          <w:sz w:val="20"/>
          <w:szCs w:val="20"/>
          <w:color w:val="auto"/>
        </w:rPr>
      </w:pPr>
    </w:p>
    <w:p>
      <w:pPr>
        <w:ind w:right="680" w:firstLine="486"/>
        <w:spacing w:after="0" w:line="223" w:lineRule="exact"/>
        <w:rPr>
          <w:sz w:val="20"/>
          <w:szCs w:val="20"/>
          <w:color w:val="auto"/>
        </w:rPr>
      </w:pPr>
      <w:r>
        <w:rPr>
          <w:rFonts w:ascii="Arial" w:cs="Arial" w:eastAsia="Arial" w:hAnsi="Arial"/>
          <w:sz w:val="18"/>
          <w:szCs w:val="18"/>
          <w:color w:val="auto"/>
        </w:rPr>
        <w:t>For the periods presented, we define non</w:t>
      </w:r>
      <w:r>
        <w:rPr>
          <w:rFonts w:ascii="MS PGothic" w:cs="MS PGothic" w:eastAsia="MS PGothic" w:hAnsi="MS PGothic"/>
          <w:sz w:val="18"/>
          <w:szCs w:val="18"/>
          <w:color w:val="auto"/>
        </w:rPr>
        <w:t>‑</w:t>
      </w:r>
      <w:r>
        <w:rPr>
          <w:rFonts w:ascii="Arial" w:cs="Arial" w:eastAsia="Arial" w:hAnsi="Arial"/>
          <w:sz w:val="18"/>
          <w:szCs w:val="18"/>
          <w:color w:val="auto"/>
        </w:rPr>
        <w:t>GAAP gross profit and non</w:t>
      </w:r>
      <w:r>
        <w:rPr>
          <w:rFonts w:ascii="MS PGothic" w:cs="MS PGothic" w:eastAsia="MS PGothic" w:hAnsi="MS PGothic"/>
          <w:sz w:val="18"/>
          <w:szCs w:val="18"/>
          <w:color w:val="auto"/>
        </w:rPr>
        <w:t>‑</w:t>
      </w:r>
      <w:r>
        <w:rPr>
          <w:rFonts w:ascii="Arial" w:cs="Arial" w:eastAsia="Arial" w:hAnsi="Arial"/>
          <w:sz w:val="18"/>
          <w:szCs w:val="18"/>
          <w:color w:val="auto"/>
        </w:rPr>
        <w:t>GAAP gross margin as GAAP gross profit and GAAP gross margin, respectively, adjusted to exclude, as applicable, certain expenses as presented in the table below:</w:t>
      </w:r>
    </w:p>
    <w:p>
      <w:pPr>
        <w:spacing w:after="0" w:line="330" w:lineRule="exact"/>
        <w:rPr>
          <w:sz w:val="20"/>
          <w:szCs w:val="20"/>
          <w:color w:val="auto"/>
        </w:rPr>
      </w:pPr>
    </w:p>
    <w:tbl>
      <w:tblPr>
        <w:tblLayout w:type="fixed"/>
        <w:tblInd w:w="216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0"/>
        </w:trPr>
        <w:tc>
          <w:tcPr>
            <w:tcW w:w="4240" w:type="dxa"/>
            <w:vAlign w:val="bottom"/>
          </w:tcPr>
          <w:p>
            <w:pPr>
              <w:spacing w:after="0"/>
              <w:rPr>
                <w:sz w:val="20"/>
                <w:szCs w:val="20"/>
                <w:color w:val="auto"/>
              </w:rPr>
            </w:pPr>
            <w:r>
              <w:rPr>
                <w:rFonts w:ascii="Arial" w:cs="Arial" w:eastAsia="Arial" w:hAnsi="Arial"/>
                <w:sz w:val="16"/>
                <w:szCs w:val="16"/>
                <w:b w:val="1"/>
                <w:bCs w:val="1"/>
                <w:color w:val="auto"/>
              </w:rPr>
              <w:t>Reconciliation:</w:t>
            </w:r>
          </w:p>
        </w:tc>
        <w:tc>
          <w:tcPr>
            <w:tcW w:w="340" w:type="dxa"/>
            <w:vAlign w:val="bottom"/>
          </w:tcPr>
          <w:p>
            <w:pPr>
              <w:spacing w:after="0"/>
              <w:rPr>
                <w:sz w:val="17"/>
                <w:szCs w:val="17"/>
                <w:color w:val="auto"/>
              </w:rPr>
            </w:pPr>
          </w:p>
        </w:tc>
        <w:tc>
          <w:tcPr>
            <w:tcW w:w="1920" w:type="dxa"/>
            <w:vAlign w:val="bottom"/>
            <w:gridSpan w:val="3"/>
          </w:tcPr>
          <w:p>
            <w:pPr>
              <w:jc w:val="center"/>
              <w:ind w:left="502"/>
              <w:spacing w:after="0"/>
              <w:rPr>
                <w:sz w:val="20"/>
                <w:szCs w:val="20"/>
                <w:color w:val="auto"/>
              </w:rPr>
            </w:pPr>
            <w:r>
              <w:rPr>
                <w:rFonts w:ascii="Arial" w:cs="Arial" w:eastAsia="Arial" w:hAnsi="Arial"/>
                <w:sz w:val="14"/>
                <w:szCs w:val="14"/>
                <w:color w:val="auto"/>
                <w:w w:val="91"/>
              </w:rPr>
              <w:t>(In thousands)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GAAP gross profit</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516,319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462,075</w:t>
            </w:r>
          </w:p>
        </w:tc>
        <w:tc>
          <w:tcPr>
            <w:tcW w:w="0" w:type="dxa"/>
            <w:vAlign w:val="bottom"/>
          </w:tcPr>
          <w:p>
            <w:pPr>
              <w:spacing w:after="0"/>
              <w:rPr>
                <w:sz w:val="1"/>
                <w:szCs w:val="1"/>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GAAP gross margin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Non-GAAP adjustments: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8"/>
                <w:szCs w:val="18"/>
                <w:color w:val="auto"/>
              </w:rPr>
            </w:pPr>
          </w:p>
        </w:tc>
        <w:tc>
          <w:tcPr>
            <w:tcW w:w="1200" w:type="dxa"/>
            <w:vAlign w:val="bottom"/>
          </w:tcPr>
          <w:p>
            <w:pPr>
              <w:jc w:val="right"/>
              <w:ind w:right="142"/>
              <w:spacing w:after="0"/>
              <w:rPr>
                <w:sz w:val="20"/>
                <w:szCs w:val="20"/>
                <w:color w:val="auto"/>
              </w:rPr>
            </w:pPr>
            <w:r>
              <w:rPr>
                <w:rFonts w:ascii="Arial" w:cs="Arial" w:eastAsia="Arial" w:hAnsi="Arial"/>
                <w:sz w:val="16"/>
                <w:szCs w:val="16"/>
                <w:color w:val="auto"/>
              </w:rPr>
              <w:t>7,053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6,114</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acquired intangibles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29,045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30,729</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Payroll taxes related to stock-based compensation</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38"/>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Non-GAAP gross profit</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552,598</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499,133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Non-GAAP gross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b w:val="1"/>
          <w:bCs w:val="1"/>
          <w:i w:val="1"/>
          <w:iCs w:val="1"/>
          <w:color w:val="auto"/>
        </w:rPr>
        <w:t>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GAAP Operating Expenses</w:t>
      </w:r>
    </w:p>
    <w:p>
      <w:pPr>
        <w:spacing w:after="0" w:line="225" w:lineRule="exact"/>
        <w:rPr>
          <w:sz w:val="20"/>
          <w:szCs w:val="20"/>
          <w:color w:val="auto"/>
        </w:rPr>
      </w:pPr>
    </w:p>
    <w:p>
      <w:pPr>
        <w:ind w:firstLine="486"/>
        <w:spacing w:after="0" w:line="223" w:lineRule="exact"/>
        <w:rPr>
          <w:sz w:val="20"/>
          <w:szCs w:val="20"/>
          <w:color w:val="auto"/>
        </w:rPr>
      </w:pPr>
      <w:r>
        <w:rPr>
          <w:rFonts w:ascii="Arial" w:cs="Arial" w:eastAsia="Arial" w:hAnsi="Arial"/>
          <w:sz w:val="18"/>
          <w:szCs w:val="18"/>
          <w:color w:val="auto"/>
        </w:rPr>
        <w:t>For the periods presented, we define non</w:t>
      </w:r>
      <w:r>
        <w:rPr>
          <w:rFonts w:ascii="MS PGothic" w:cs="MS PGothic" w:eastAsia="MS PGothic" w:hAnsi="MS PGothic"/>
          <w:sz w:val="18"/>
          <w:szCs w:val="18"/>
          <w:color w:val="auto"/>
        </w:rPr>
        <w:t>‑</w:t>
      </w:r>
      <w:r>
        <w:rPr>
          <w:rFonts w:ascii="Arial" w:cs="Arial" w:eastAsia="Arial" w:hAnsi="Arial"/>
          <w:sz w:val="18"/>
          <w:szCs w:val="18"/>
          <w:color w:val="auto"/>
        </w:rPr>
        <w:t>GAAP operating expenses (including categories of operating expenses) as GAAP operating expenses (and categories of operating expenses) adjusted to exclude, as applicable, certain expenses as presented in the table below:</w:t>
      </w:r>
    </w:p>
    <w:p>
      <w:pPr>
        <w:spacing w:after="0" w:line="330" w:lineRule="exact"/>
        <w:rPr>
          <w:sz w:val="20"/>
          <w:szCs w:val="20"/>
          <w:color w:val="auto"/>
        </w:rPr>
      </w:pPr>
    </w:p>
    <w:tbl>
      <w:tblPr>
        <w:tblLayout w:type="fixed"/>
        <w:tblInd w:w="220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4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center"/>
              <w:ind w:left="542"/>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Pr>
          <w:p>
            <w:pPr>
              <w:spacing w:after="0"/>
              <w:rPr>
                <w:sz w:val="17"/>
                <w:szCs w:val="17"/>
                <w:color w:val="auto"/>
              </w:rPr>
            </w:pPr>
          </w:p>
        </w:tc>
      </w:tr>
      <w:tr>
        <w:trPr>
          <w:trHeight w:val="25"/>
        </w:trPr>
        <w:tc>
          <w:tcPr>
            <w:tcW w:w="4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r>
      <w:tr>
        <w:trPr>
          <w:trHeight w:val="200"/>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Reconciliation:</w:t>
            </w:r>
          </w:p>
        </w:tc>
        <w:tc>
          <w:tcPr>
            <w:tcW w:w="340" w:type="dxa"/>
            <w:vAlign w:val="bottom"/>
          </w:tcPr>
          <w:p>
            <w:pPr>
              <w:spacing w:after="0"/>
              <w:rPr>
                <w:sz w:val="17"/>
                <w:szCs w:val="17"/>
                <w:color w:val="auto"/>
              </w:rPr>
            </w:pPr>
          </w:p>
        </w:tc>
        <w:tc>
          <w:tcPr>
            <w:tcW w:w="1700" w:type="dxa"/>
            <w:vAlign w:val="bottom"/>
            <w:gridSpan w:val="3"/>
          </w:tcPr>
          <w:p>
            <w:pPr>
              <w:jc w:val="center"/>
              <w:ind w:left="542"/>
              <w:spacing w:after="0"/>
              <w:rPr>
                <w:sz w:val="20"/>
                <w:szCs w:val="20"/>
                <w:color w:val="auto"/>
              </w:rPr>
            </w:pPr>
            <w:r>
              <w:rPr>
                <w:rFonts w:ascii="Arial" w:cs="Arial" w:eastAsia="Arial" w:hAnsi="Arial"/>
                <w:sz w:val="14"/>
                <w:szCs w:val="14"/>
                <w:color w:val="auto"/>
                <w:w w:val="93"/>
              </w:rPr>
              <w:t>(In thousands)</w:t>
            </w:r>
          </w:p>
        </w:tc>
        <w:tc>
          <w:tcPr>
            <w:tcW w:w="980" w:type="dxa"/>
            <w:vAlign w:val="bottom"/>
          </w:tcPr>
          <w:p>
            <w:pPr>
              <w:spacing w:after="0"/>
              <w:rPr>
                <w:sz w:val="17"/>
                <w:szCs w:val="17"/>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expenses</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625,222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919,072</w:t>
            </w: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(187,507)</w:t>
            </w:r>
          </w:p>
        </w:tc>
      </w:tr>
      <w:tr>
        <w:trPr>
          <w:trHeight w:val="213"/>
        </w:trPr>
        <w:tc>
          <w:tcPr>
            <w:tcW w:w="4320" w:type="dxa"/>
            <w:vAlign w:val="bottom"/>
          </w:tcPr>
          <w:p>
            <w:pPr>
              <w:ind w:left="220"/>
              <w:spacing w:after="0"/>
              <w:rPr>
                <w:sz w:val="20"/>
                <w:szCs w:val="20"/>
                <w:color w:val="auto"/>
              </w:rPr>
            </w:pPr>
            <w:r>
              <w:rPr>
                <w:rFonts w:ascii="Arial" w:cs="Arial" w:eastAsia="Arial" w:hAnsi="Arial"/>
                <w:sz w:val="16"/>
                <w:szCs w:val="16"/>
                <w:color w:val="auto"/>
              </w:rPr>
              <w:t>Amortization of acquired intangibles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(20,920)</w:t>
            </w:r>
          </w:p>
        </w:tc>
      </w:tr>
      <w:tr>
        <w:trPr>
          <w:trHeight w:val="219"/>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and divestiture related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4320" w:type="dxa"/>
            <w:vAlign w:val="bottom"/>
          </w:tcPr>
          <w:p>
            <w:pPr>
              <w:ind w:left="220"/>
              <w:spacing w:after="0"/>
              <w:rPr>
                <w:sz w:val="20"/>
                <w:szCs w:val="20"/>
                <w:color w:val="auto"/>
              </w:rPr>
            </w:pPr>
            <w:r>
              <w:rPr>
                <w:rFonts w:ascii="Arial" w:cs="Arial" w:eastAsia="Arial" w:hAnsi="Arial"/>
                <w:sz w:val="16"/>
                <w:szCs w:val="16"/>
                <w:color w:val="auto"/>
              </w:rPr>
              <w:t>Payroll taxes related to stock-based compensation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(3,156)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(4,210)</w:t>
            </w:r>
          </w:p>
        </w:tc>
      </w:tr>
      <w:tr>
        <w:trPr>
          <w:trHeight w:val="219"/>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Charitable contribution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w:t>
            </w:r>
          </w:p>
        </w:tc>
      </w:tr>
      <w:tr>
        <w:trPr>
          <w:trHeight w:val="213"/>
        </w:trPr>
        <w:tc>
          <w:tcPr>
            <w:tcW w:w="432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(72,451)</w:t>
            </w: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(97,722)</w:t>
            </w:r>
          </w:p>
        </w:tc>
      </w:tr>
      <w:tr>
        <w:trPr>
          <w:trHeight w:val="213"/>
        </w:trPr>
        <w:tc>
          <w:tcPr>
            <w:tcW w:w="4320" w:type="dxa"/>
            <w:vAlign w:val="bottom"/>
          </w:tcPr>
          <w:p>
            <w:pPr>
              <w:ind w:left="340"/>
              <w:spacing w:after="0"/>
              <w:rPr>
                <w:sz w:val="20"/>
                <w:szCs w:val="20"/>
                <w:color w:val="auto"/>
              </w:rPr>
            </w:pPr>
            <w:r>
              <w:rPr>
                <w:rFonts w:ascii="Arial" w:cs="Arial" w:eastAsia="Arial" w:hAnsi="Arial"/>
                <w:sz w:val="16"/>
                <w:szCs w:val="16"/>
                <w:color w:val="auto"/>
              </w:rPr>
              <w:t>Non-GAAP operating expenses</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416,164</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534,230</w:t>
            </w:r>
          </w:p>
        </w:tc>
      </w:tr>
      <w:tr>
        <w:trPr>
          <w:trHeight w:val="20"/>
        </w:trPr>
        <w:tc>
          <w:tcPr>
            <w:tcW w:w="4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b w:val="1"/>
          <w:bCs w:val="1"/>
          <w:i w:val="1"/>
          <w:iCs w:val="1"/>
          <w:color w:val="auto"/>
        </w:rPr>
        <w:t>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GAAP Income (Loss) from Operations and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GAAP Operating Margin</w:t>
      </w:r>
    </w:p>
    <w:p>
      <w:pPr>
        <w:spacing w:after="0" w:line="212"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For the periods presented, we define non</w:t>
      </w:r>
      <w:r>
        <w:rPr>
          <w:rFonts w:ascii="MS PGothic" w:cs="MS PGothic" w:eastAsia="MS PGothic" w:hAnsi="MS PGothic"/>
          <w:sz w:val="16"/>
          <w:szCs w:val="16"/>
          <w:color w:val="auto"/>
        </w:rPr>
        <w:t>‑</w:t>
      </w:r>
      <w:r>
        <w:rPr>
          <w:rFonts w:ascii="Arial" w:cs="Arial" w:eastAsia="Arial" w:hAnsi="Arial"/>
          <w:sz w:val="16"/>
          <w:szCs w:val="16"/>
          <w:color w:val="auto"/>
        </w:rPr>
        <w:t>GAAP income (loss) from operations and non</w:t>
      </w:r>
      <w:r>
        <w:rPr>
          <w:rFonts w:ascii="MS PGothic" w:cs="MS PGothic" w:eastAsia="MS PGothic" w:hAnsi="MS PGothic"/>
          <w:sz w:val="16"/>
          <w:szCs w:val="16"/>
          <w:color w:val="auto"/>
        </w:rPr>
        <w:t>‑</w:t>
      </w:r>
      <w:r>
        <w:rPr>
          <w:rFonts w:ascii="Arial" w:cs="Arial" w:eastAsia="Arial" w:hAnsi="Arial"/>
          <w:sz w:val="16"/>
          <w:szCs w:val="16"/>
          <w:color w:val="auto"/>
        </w:rPr>
        <w:t>GAAP operating margin as GAAP income (loss) from operations and GAAP operating margin, respectively, adjusted to exclude, as applicable, certain expenses as presented in the table below:</w:t>
      </w:r>
    </w:p>
    <w:p>
      <w:pPr>
        <w:spacing w:after="0" w:line="329" w:lineRule="exact"/>
        <w:rPr>
          <w:sz w:val="20"/>
          <w:szCs w:val="20"/>
          <w:color w:val="auto"/>
        </w:rPr>
      </w:pPr>
    </w:p>
    <w:tbl>
      <w:tblPr>
        <w:tblLayout w:type="fixed"/>
        <w:tblInd w:w="158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0"/>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Reconciliation:</w:t>
            </w:r>
          </w:p>
        </w:tc>
        <w:tc>
          <w:tcPr>
            <w:tcW w:w="360" w:type="dxa"/>
            <w:vAlign w:val="bottom"/>
          </w:tcPr>
          <w:p>
            <w:pPr>
              <w:spacing w:after="0"/>
              <w:rPr>
                <w:sz w:val="17"/>
                <w:szCs w:val="17"/>
                <w:color w:val="auto"/>
              </w:rPr>
            </w:pPr>
          </w:p>
        </w:tc>
        <w:tc>
          <w:tcPr>
            <w:tcW w:w="1920" w:type="dxa"/>
            <w:vAlign w:val="bottom"/>
            <w:gridSpan w:val="3"/>
          </w:tcPr>
          <w:p>
            <w:pPr>
              <w:jc w:val="center"/>
              <w:ind w:left="481"/>
              <w:spacing w:after="0"/>
              <w:rPr>
                <w:sz w:val="20"/>
                <w:szCs w:val="20"/>
                <w:color w:val="auto"/>
              </w:rPr>
            </w:pPr>
            <w:r>
              <w:rPr>
                <w:rFonts w:ascii="Arial" w:cs="Arial" w:eastAsia="Arial" w:hAnsi="Arial"/>
                <w:sz w:val="14"/>
                <w:szCs w:val="14"/>
                <w:color w:val="auto"/>
                <w:w w:val="93"/>
              </w:rPr>
              <w:t>(In thousands)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loss from operations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(108,903)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(456,997)</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GAAP operating margin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adjustments: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185,007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193,621</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acquired intangibles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48,872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51,649</w:t>
            </w:r>
          </w:p>
        </w:tc>
        <w:tc>
          <w:tcPr>
            <w:tcW w:w="0" w:type="dxa"/>
            <w:vAlign w:val="bottom"/>
          </w:tcPr>
          <w:p>
            <w:pPr>
              <w:spacing w:after="0"/>
              <w:rPr>
                <w:sz w:val="1"/>
                <w:szCs w:val="1"/>
                <w:color w:val="auto"/>
              </w:rPr>
            </w:pPr>
          </w:p>
        </w:tc>
      </w:tr>
      <w:tr>
        <w:trPr>
          <w:trHeight w:val="213"/>
        </w:trPr>
        <w:tc>
          <w:tcPr>
            <w:tcW w:w="5040" w:type="dxa"/>
            <w:vAlign w:val="bottom"/>
          </w:tcPr>
          <w:p>
            <w:pPr>
              <w:ind w:left="220"/>
              <w:spacing w:after="0"/>
              <w:rPr>
                <w:sz w:val="20"/>
                <w:szCs w:val="20"/>
                <w:color w:val="auto"/>
              </w:rPr>
            </w:pPr>
            <w:r>
              <w:rPr>
                <w:rFonts w:ascii="Arial" w:cs="Arial" w:eastAsia="Arial" w:hAnsi="Arial"/>
                <w:sz w:val="16"/>
                <w:szCs w:val="16"/>
                <w:color w:val="auto"/>
              </w:rPr>
              <w:t>Acquisition and divestiture related expenses</w:t>
            </w:r>
          </w:p>
        </w:tc>
        <w:tc>
          <w:tcPr>
            <w:tcW w:w="360" w:type="dxa"/>
            <w:vAlign w:val="bottom"/>
          </w:tcPr>
          <w:p>
            <w:pPr>
              <w:spacing w:after="0"/>
              <w:rPr>
                <w:sz w:val="18"/>
                <w:szCs w:val="18"/>
                <w:color w:val="auto"/>
              </w:rPr>
            </w:pP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Payroll taxes related to 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3,337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4,425</w:t>
            </w:r>
          </w:p>
        </w:tc>
        <w:tc>
          <w:tcPr>
            <w:tcW w:w="0" w:type="dxa"/>
            <w:vAlign w:val="bottom"/>
          </w:tcPr>
          <w:p>
            <w:pPr>
              <w:spacing w:after="0"/>
              <w:rPr>
                <w:sz w:val="1"/>
                <w:szCs w:val="1"/>
                <w:color w:val="auto"/>
              </w:rPr>
            </w:pPr>
          </w:p>
        </w:tc>
      </w:tr>
      <w:tr>
        <w:trPr>
          <w:trHeight w:val="213"/>
        </w:trPr>
        <w:tc>
          <w:tcPr>
            <w:tcW w:w="5040" w:type="dxa"/>
            <w:vAlign w:val="bottom"/>
          </w:tcPr>
          <w:p>
            <w:pPr>
              <w:ind w:left="220"/>
              <w:spacing w:after="0"/>
              <w:rPr>
                <w:sz w:val="20"/>
                <w:szCs w:val="20"/>
                <w:color w:val="auto"/>
              </w:rPr>
            </w:pPr>
            <w:r>
              <w:rPr>
                <w:rFonts w:ascii="Arial" w:cs="Arial" w:eastAsia="Arial" w:hAnsi="Arial"/>
                <w:sz w:val="16"/>
                <w:szCs w:val="16"/>
                <w:color w:val="auto"/>
              </w:rPr>
              <w:t>Charitable contribution</w:t>
            </w:r>
          </w:p>
        </w:tc>
        <w:tc>
          <w:tcPr>
            <w:tcW w:w="360" w:type="dxa"/>
            <w:vAlign w:val="bottom"/>
          </w:tcPr>
          <w:p>
            <w:pPr>
              <w:spacing w:after="0"/>
              <w:rPr>
                <w:sz w:val="18"/>
                <w:szCs w:val="18"/>
                <w:color w:val="auto"/>
              </w:rPr>
            </w:pP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1,339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1,911</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Restructuring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3,437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72,451</w:t>
            </w: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Impairment of long-lived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3,162</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97,722</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income (loss) from operations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136,434</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(35,097)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Non-GAAP operating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0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5" w:right="7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periods presented. The period-to-period comparisons of our historical results are not indicative of the results that may be expected in the future.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Pr>
          <w:p>
            <w:pPr>
              <w:spacing w:after="0"/>
              <w:rPr>
                <w:sz w:val="17"/>
                <w:szCs w:val="17"/>
                <w:color w:val="auto"/>
              </w:rPr>
            </w:pPr>
          </w:p>
        </w:tc>
        <w:tc>
          <w:tcPr>
            <w:tcW w:w="18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00"/>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5"/>
          </w:tcPr>
          <w:p>
            <w:pPr>
              <w:ind w:left="20"/>
              <w:spacing w:after="0"/>
              <w:rPr>
                <w:sz w:val="20"/>
                <w:szCs w:val="20"/>
                <w:color w:val="auto"/>
              </w:rPr>
            </w:pPr>
            <w:r>
              <w:rPr>
                <w:rFonts w:ascii="Arial" w:cs="Arial" w:eastAsia="Arial" w:hAnsi="Arial"/>
                <w:sz w:val="14"/>
                <w:szCs w:val="14"/>
                <w:color w:val="auto"/>
                <w:w w:val="94"/>
              </w:rPr>
              <w:t>(In thousands, except share and per share amounts)</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1,033,670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983,030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3,077,995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2,801,747</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(1) (2)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517,351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520,955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1,565,231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1,469,312</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516,319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462,075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1,512,764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1,332,435</w:t>
            </w:r>
          </w:p>
        </w:tc>
        <w:tc>
          <w:tcPr>
            <w:tcW w:w="0" w:type="dxa"/>
            <w:vAlign w:val="bottom"/>
          </w:tcPr>
          <w:p>
            <w:pPr>
              <w:spacing w:after="0"/>
              <w:rPr>
                <w:sz w:val="1"/>
                <w:szCs w:val="1"/>
                <w:color w:val="auto"/>
              </w:rPr>
            </w:pPr>
          </w:p>
        </w:tc>
      </w:tr>
      <w:tr>
        <w:trPr>
          <w:trHeight w:val="193"/>
        </w:trPr>
        <w:tc>
          <w:tcPr>
            <w:tcW w:w="49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 (2)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804,987</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 (2)</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262,898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328,833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784,383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951,697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 (2)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392,319</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Restructuring costs </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72,451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140,281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72,451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34,278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97,722</w:t>
            </w:r>
          </w:p>
        </w:tc>
        <w:tc>
          <w:tcPr>
            <w:tcW w:w="0" w:type="dxa"/>
            <w:vAlign w:val="bottom"/>
          </w:tcPr>
          <w:p>
            <w:pPr>
              <w:spacing w:after="0"/>
              <w:rPr>
                <w:sz w:val="1"/>
                <w:szCs w:val="1"/>
                <w:color w:val="auto"/>
              </w:rPr>
            </w:pPr>
          </w:p>
        </w:tc>
      </w:tr>
      <w:tr>
        <w:trPr>
          <w:trHeight w:val="207"/>
        </w:trPr>
        <w:tc>
          <w:tcPr>
            <w:tcW w:w="49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625,222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919,072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2,027,578</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2,319,176</w:t>
            </w: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(108,903)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(456,997)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(514,814)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(986,741)</w:t>
            </w:r>
          </w:p>
        </w:tc>
        <w:tc>
          <w:tcPr>
            <w:tcW w:w="0" w:type="dxa"/>
            <w:vAlign w:val="bottom"/>
          </w:tcPr>
          <w:p>
            <w:pPr>
              <w:spacing w:after="0"/>
              <w:rPr>
                <w:sz w:val="1"/>
                <w:szCs w:val="1"/>
                <w:color w:val="auto"/>
              </w:rPr>
            </w:pPr>
          </w:p>
        </w:tc>
      </w:tr>
      <w:tr>
        <w:trPr>
          <w:trHeight w:val="193"/>
        </w:trPr>
        <w:tc>
          <w:tcPr>
            <w:tcW w:w="4920" w:type="dxa"/>
            <w:vAlign w:val="bottom"/>
          </w:tcPr>
          <w:p>
            <w:pPr>
              <w:ind w:left="20"/>
              <w:spacing w:after="0"/>
              <w:rPr>
                <w:sz w:val="20"/>
                <w:szCs w:val="20"/>
                <w:color w:val="auto"/>
              </w:rPr>
            </w:pPr>
            <w:r>
              <w:rPr>
                <w:rFonts w:ascii="Arial" w:cs="Arial" w:eastAsia="Arial" w:hAnsi="Arial"/>
                <w:sz w:val="16"/>
                <w:szCs w:val="16"/>
                <w:color w:val="auto"/>
              </w:rPr>
              <w:t>Other expenses, net:</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 of losses from equity method investment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(13,376)</w:t>
            </w:r>
          </w:p>
        </w:tc>
        <w:tc>
          <w:tcPr>
            <w:tcW w:w="0" w:type="dxa"/>
            <w:vAlign w:val="bottom"/>
          </w:tcPr>
          <w:p>
            <w:pPr>
              <w:spacing w:after="0"/>
              <w:rPr>
                <w:sz w:val="1"/>
                <w:szCs w:val="1"/>
                <w:color w:val="auto"/>
              </w:rPr>
            </w:pPr>
          </w:p>
        </w:tc>
      </w:tr>
      <w:tr>
        <w:trPr>
          <w:trHeight w:val="213"/>
        </w:trPr>
        <w:tc>
          <w:tcPr>
            <w:tcW w:w="4920" w:type="dxa"/>
            <w:vAlign w:val="bottom"/>
          </w:tcPr>
          <w:p>
            <w:pPr>
              <w:ind w:left="220"/>
              <w:spacing w:after="0"/>
              <w:rPr>
                <w:sz w:val="20"/>
                <w:szCs w:val="20"/>
                <w:color w:val="auto"/>
              </w:rPr>
            </w:pPr>
            <w:r>
              <w:rPr>
                <w:rFonts w:ascii="Arial" w:cs="Arial" w:eastAsia="Arial" w:hAnsi="Arial"/>
                <w:sz w:val="16"/>
                <w:szCs w:val="16"/>
                <w:color w:val="auto"/>
              </w:rPr>
              <w:t>Impairment of strategic investments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(46,154)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(23,290)</w:t>
            </w:r>
          </w:p>
        </w:tc>
        <w:tc>
          <w:tcPr>
            <w:tcW w:w="0" w:type="dxa"/>
            <w:vAlign w:val="bottom"/>
          </w:tcPr>
          <w:p>
            <w:pPr>
              <w:spacing w:after="0"/>
              <w:rPr>
                <w:sz w:val="1"/>
                <w:szCs w:val="1"/>
                <w:color w:val="auto"/>
              </w:rPr>
            </w:pPr>
          </w:p>
        </w:tc>
      </w:tr>
      <w:tr>
        <w:trPr>
          <w:trHeight w:val="206"/>
        </w:trPr>
        <w:tc>
          <w:tcPr>
            <w:tcW w:w="49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expenses, net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(122,261)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(36,666)</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before provision for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(1,023,407)</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(12,958)</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(3,316)</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loss attributable to common stockholders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(650,033)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(1,026,723)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60"/>
              <w:spacing w:after="0" w:line="153" w:lineRule="exact"/>
              <w:rPr>
                <w:sz w:val="20"/>
                <w:szCs w:val="20"/>
                <w:color w:val="auto"/>
              </w:rPr>
            </w:pPr>
            <w:r>
              <w:rPr>
                <w:rFonts w:ascii="Arial" w:cs="Arial" w:eastAsia="Arial" w:hAnsi="Arial"/>
                <w:sz w:val="16"/>
                <w:szCs w:val="16"/>
                <w:color w:val="auto"/>
              </w:rPr>
              <w:t>Net loss per share attributable to common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920" w:type="dxa"/>
            <w:vAlign w:val="bottom"/>
            <w:vMerge w:val="continue"/>
          </w:tcPr>
          <w:p>
            <w:pPr>
              <w:spacing w:after="0"/>
              <w:rPr>
                <w:sz w:val="9"/>
                <w:szCs w:val="9"/>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9"/>
                <w:szCs w:val="9"/>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9"/>
                <w:szCs w:val="9"/>
                <w:color w:val="auto"/>
              </w:rPr>
            </w:pPr>
          </w:p>
        </w:tc>
        <w:tc>
          <w:tcPr>
            <w:tcW w:w="580" w:type="dxa"/>
            <w:vAlign w:val="bottom"/>
            <w:vMerge w:val="restart"/>
          </w:tcPr>
          <w:p>
            <w:pPr>
              <w:jc w:val="right"/>
              <w:ind w:right="399"/>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190"/>
        </w:trPr>
        <w:tc>
          <w:tcPr>
            <w:tcW w:w="4920" w:type="dxa"/>
            <w:vAlign w:val="bottom"/>
          </w:tcPr>
          <w:p>
            <w:pPr>
              <w:ind w:left="560"/>
              <w:spacing w:after="0"/>
              <w:rPr>
                <w:sz w:val="20"/>
                <w:szCs w:val="20"/>
                <w:color w:val="auto"/>
              </w:rPr>
            </w:pPr>
            <w:r>
              <w:rPr>
                <w:rFonts w:ascii="Arial" w:cs="Arial" w:eastAsia="Arial" w:hAnsi="Arial"/>
                <w:sz w:val="16"/>
                <w:szCs w:val="16"/>
                <w:color w:val="auto"/>
              </w:rPr>
              <w:t>stockholders, basic and diluted</w:t>
            </w: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920" w:type="dxa"/>
            <w:vAlign w:val="bottom"/>
            <w:shd w:val="clear" w:color="auto" w:fill="CCEEFF"/>
          </w:tcPr>
          <w:p>
            <w:pPr>
              <w:ind w:left="360"/>
              <w:spacing w:after="0" w:line="133" w:lineRule="exact"/>
              <w:rPr>
                <w:sz w:val="20"/>
                <w:szCs w:val="20"/>
                <w:color w:val="auto"/>
              </w:rPr>
            </w:pPr>
            <w:r>
              <w:rPr>
                <w:rFonts w:ascii="Arial" w:cs="Arial" w:eastAsia="Arial" w:hAnsi="Arial"/>
                <w:sz w:val="15"/>
                <w:szCs w:val="15"/>
                <w:color w:val="auto"/>
              </w:rPr>
              <w:t>Weighted-average shares used in computing net</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ind w:left="560"/>
              <w:spacing w:after="0" w:line="162" w:lineRule="exact"/>
              <w:rPr>
                <w:sz w:val="20"/>
                <w:szCs w:val="20"/>
                <w:color w:val="auto"/>
              </w:rPr>
            </w:pPr>
            <w:r>
              <w:rPr>
                <w:rFonts w:ascii="Arial" w:cs="Arial" w:eastAsia="Arial" w:hAnsi="Arial"/>
                <w:sz w:val="16"/>
                <w:szCs w:val="16"/>
                <w:color w:val="auto"/>
              </w:rPr>
              <w:t>loss per share attributable to common</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181,749,309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183,692,564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183,854,526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182,319,735</w:t>
            </w:r>
          </w:p>
        </w:tc>
        <w:tc>
          <w:tcPr>
            <w:tcW w:w="0" w:type="dxa"/>
            <w:vAlign w:val="bottom"/>
          </w:tcPr>
          <w:p>
            <w:pPr>
              <w:spacing w:after="0"/>
              <w:rPr>
                <w:sz w:val="1"/>
                <w:szCs w:val="1"/>
                <w:color w:val="auto"/>
              </w:rPr>
            </w:pPr>
          </w:p>
        </w:tc>
      </w:tr>
      <w:tr>
        <w:trPr>
          <w:trHeight w:val="205"/>
        </w:trPr>
        <w:tc>
          <w:tcPr>
            <w:tcW w:w="4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stockholders, basic and diluted</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Includes stock-based compensation expense as follows:</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03"/>
        </w:trPr>
        <w:tc>
          <w:tcPr>
            <w:tcW w:w="4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3"/>
          </w:tcPr>
          <w:p>
            <w:pPr>
              <w:jc w:val="right"/>
              <w:ind w:right="124"/>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7"/>
                <w:szCs w:val="17"/>
                <w:color w:val="auto"/>
              </w:rPr>
            </w:pPr>
          </w:p>
        </w:tc>
      </w:tr>
      <w:tr>
        <w:trPr>
          <w:trHeight w:val="25"/>
        </w:trPr>
        <w:tc>
          <w:tcPr>
            <w:tcW w:w="4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w w:val="89"/>
              </w:rPr>
              <w:t>2022</w:t>
            </w:r>
          </w:p>
        </w:tc>
      </w:tr>
      <w:tr>
        <w:trPr>
          <w:trHeight w:val="182"/>
        </w:trPr>
        <w:tc>
          <w:tcPr>
            <w:tcW w:w="4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gridSpan w:val="3"/>
          </w:tcPr>
          <w:p>
            <w:pPr>
              <w:jc w:val="right"/>
              <w:ind w:right="44"/>
              <w:spacing w:after="0"/>
              <w:rPr>
                <w:sz w:val="20"/>
                <w:szCs w:val="20"/>
                <w:color w:val="auto"/>
              </w:rPr>
            </w:pPr>
            <w:r>
              <w:rPr>
                <w:rFonts w:ascii="Arial" w:cs="Arial" w:eastAsia="Arial" w:hAnsi="Arial"/>
                <w:sz w:val="14"/>
                <w:szCs w:val="14"/>
                <w:color w:val="auto"/>
              </w:rPr>
              <w:t>(In thousands)</w:t>
            </w: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4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18,677</w:t>
            </w:r>
          </w:p>
        </w:tc>
        <w:tc>
          <w:tcPr>
            <w:tcW w:w="6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14,631</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94,085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90,787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246,754</w:t>
            </w: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279,680</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58,747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142,343</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184,825</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32,524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37,973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90,497</w:t>
            </w: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111,850</w:t>
            </w: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15,274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11,096</w:t>
            </w:r>
          </w:p>
        </w:tc>
        <w:tc>
          <w:tcPr>
            <w:tcW w:w="6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15,274</w:t>
            </w:r>
          </w:p>
        </w:tc>
      </w:tr>
      <w:tr>
        <w:trPr>
          <w:trHeight w:val="213"/>
        </w:trPr>
        <w:tc>
          <w:tcPr>
            <w:tcW w:w="4500" w:type="dxa"/>
            <w:vAlign w:val="bottom"/>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185,474</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208,895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509,367</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606,260</w:t>
            </w:r>
          </w:p>
        </w:tc>
      </w:tr>
      <w:tr>
        <w:trPr>
          <w:trHeight w:val="20"/>
        </w:trPr>
        <w:tc>
          <w:tcPr>
            <w:tcW w:w="4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Includes amortization of acquired intangibles as follows:</w:t>
      </w:r>
    </w:p>
    <w:p>
      <w:pPr>
        <w:spacing w:after="0" w:line="181"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203"/>
        </w:trPr>
        <w:tc>
          <w:tcPr>
            <w:tcW w:w="4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7"/>
                <w:szCs w:val="17"/>
                <w:color w:val="auto"/>
              </w:rPr>
            </w:pPr>
          </w:p>
        </w:tc>
      </w:tr>
      <w:tr>
        <w:trPr>
          <w:trHeight w:val="26"/>
        </w:trPr>
        <w:tc>
          <w:tcPr>
            <w:tcW w:w="4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9"/>
        </w:trPr>
        <w:tc>
          <w:tcPr>
            <w:tcW w:w="45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w w:val="89"/>
              </w:rPr>
              <w:t>2022</w:t>
            </w:r>
          </w:p>
        </w:tc>
      </w:tr>
      <w:tr>
        <w:trPr>
          <w:trHeight w:val="182"/>
        </w:trPr>
        <w:tc>
          <w:tcPr>
            <w:tcW w:w="4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gridSpan w:val="3"/>
          </w:tcPr>
          <w:p>
            <w:pPr>
              <w:jc w:val="right"/>
              <w:ind w:right="39"/>
              <w:spacing w:after="0"/>
              <w:rPr>
                <w:sz w:val="20"/>
                <w:szCs w:val="20"/>
                <w:color w:val="auto"/>
              </w:rPr>
            </w:pPr>
            <w:r>
              <w:rPr>
                <w:rFonts w:ascii="Arial" w:cs="Arial" w:eastAsia="Arial" w:hAnsi="Arial"/>
                <w:sz w:val="14"/>
                <w:szCs w:val="14"/>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4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30,729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92,601</w:t>
            </w:r>
          </w:p>
        </w:tc>
      </w:tr>
      <w:tr>
        <w:trPr>
          <w:trHeight w:val="213"/>
        </w:trPr>
        <w:tc>
          <w:tcPr>
            <w:tcW w:w="45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1,260</w:t>
            </w:r>
          </w:p>
        </w:tc>
      </w:tr>
      <w:tr>
        <w:trPr>
          <w:trHeight w:val="219"/>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61,412</w:t>
            </w:r>
          </w:p>
        </w:tc>
      </w:tr>
      <w:tr>
        <w:trPr>
          <w:trHeight w:val="213"/>
        </w:trPr>
        <w:tc>
          <w:tcPr>
            <w:tcW w:w="45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8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w:t>
            </w:r>
          </w:p>
        </w:tc>
      </w:tr>
      <w:tr>
        <w:trPr>
          <w:trHeight w:val="238"/>
        </w:trPr>
        <w:tc>
          <w:tcPr>
            <w:tcW w:w="4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51,649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155,280</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each of the periods presented as a percentage of our total 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3"/>
          </w:tcPr>
          <w:p>
            <w:pPr>
              <w:jc w:val="center"/>
              <w:ind w:left="880"/>
              <w:spacing w:after="0"/>
              <w:rPr>
                <w:sz w:val="20"/>
                <w:szCs w:val="20"/>
                <w:color w:val="auto"/>
              </w:rPr>
            </w:pPr>
            <w:r>
              <w:rPr>
                <w:rFonts w:ascii="Arial" w:cs="Arial" w:eastAsia="Arial" w:hAnsi="Arial"/>
                <w:sz w:val="14"/>
                <w:szCs w:val="14"/>
                <w:b w:val="1"/>
                <w:bCs w:val="1"/>
                <w:color w:val="auto"/>
                <w:w w:val="94"/>
              </w:rPr>
              <w:t>Nine Months Ended</w:t>
            </w:r>
          </w:p>
        </w:tc>
        <w:tc>
          <w:tcPr>
            <w:tcW w:w="960" w:type="dxa"/>
            <w:vAlign w:val="bottom"/>
          </w:tcPr>
          <w:p>
            <w:pPr>
              <w:spacing w:after="0"/>
              <w:rPr>
                <w:sz w:val="16"/>
                <w:szCs w:val="16"/>
                <w:color w:val="auto"/>
              </w:rPr>
            </w:pPr>
          </w:p>
        </w:tc>
      </w:tr>
      <w:tr>
        <w:trPr>
          <w:trHeight w:val="203"/>
        </w:trPr>
        <w:tc>
          <w:tcPr>
            <w:tcW w:w="4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3"/>
          </w:tcPr>
          <w:p>
            <w:pPr>
              <w:jc w:val="center"/>
              <w:ind w:left="88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Pr>
          <w:p>
            <w:pPr>
              <w:spacing w:after="0"/>
              <w:rPr>
                <w:sz w:val="17"/>
                <w:szCs w:val="17"/>
                <w:color w:val="auto"/>
              </w:rPr>
            </w:pPr>
          </w:p>
        </w:tc>
      </w:tr>
      <w:tr>
        <w:trPr>
          <w:trHeight w:val="26"/>
        </w:trPr>
        <w:tc>
          <w:tcPr>
            <w:tcW w:w="56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474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w w:val="96"/>
              </w:rPr>
              <w:t>2022</w:t>
            </w:r>
          </w:p>
        </w:tc>
      </w:tr>
      <w:tr>
        <w:trPr>
          <w:trHeight w:val="148"/>
        </w:trPr>
        <w:tc>
          <w:tcPr>
            <w:tcW w:w="474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Condensed Consolidated Statements of Operations, as a</w:t>
            </w: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3"/>
        </w:trPr>
        <w:tc>
          <w:tcPr>
            <w:tcW w:w="5660" w:type="dxa"/>
            <w:vAlign w:val="bottom"/>
            <w:gridSpan w:val="2"/>
          </w:tcPr>
          <w:p>
            <w:pPr>
              <w:ind w:left="20"/>
              <w:spacing w:after="0"/>
              <w:rPr>
                <w:sz w:val="20"/>
                <w:szCs w:val="20"/>
                <w:color w:val="auto"/>
              </w:rPr>
            </w:pPr>
            <w:r>
              <w:rPr>
                <w:rFonts w:ascii="Arial" w:cs="Arial" w:eastAsia="Arial" w:hAnsi="Arial"/>
                <w:sz w:val="16"/>
                <w:szCs w:val="16"/>
                <w:b w:val="1"/>
                <w:bCs w:val="1"/>
                <w:color w:val="auto"/>
              </w:rPr>
              <w:t>percentage of revenue: **</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52</w:t>
            </w:r>
          </w:p>
        </w:tc>
      </w:tr>
      <w:tr>
        <w:trPr>
          <w:trHeight w:val="212"/>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Gross profit</w:t>
            </w:r>
          </w:p>
        </w:tc>
        <w:tc>
          <w:tcPr>
            <w:tcW w:w="6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48</w:t>
            </w:r>
          </w:p>
        </w:tc>
      </w:tr>
      <w:tr>
        <w:trPr>
          <w:trHeight w:val="193"/>
        </w:trPr>
        <w:tc>
          <w:tcPr>
            <w:tcW w:w="4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19"/>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6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29</w:t>
            </w:r>
          </w:p>
        </w:tc>
      </w:tr>
      <w:tr>
        <w:trPr>
          <w:trHeight w:val="213"/>
        </w:trPr>
        <w:tc>
          <w:tcPr>
            <w:tcW w:w="5660" w:type="dxa"/>
            <w:vAlign w:val="bottom"/>
            <w:gridSpan w:val="2"/>
          </w:tcPr>
          <w:p>
            <w:pPr>
              <w:ind w:left="220"/>
              <w:spacing w:after="0"/>
              <w:rPr>
                <w:sz w:val="20"/>
                <w:szCs w:val="20"/>
                <w:color w:val="auto"/>
              </w:rPr>
            </w:pPr>
            <w:r>
              <w:rPr>
                <w:rFonts w:ascii="Arial" w:cs="Arial" w:eastAsia="Arial" w:hAnsi="Arial"/>
                <w:sz w:val="16"/>
                <w:szCs w:val="16"/>
                <w:color w:val="auto"/>
              </w:rPr>
              <w:t>Sales and marketing</w:t>
            </w:r>
          </w:p>
        </w:tc>
        <w:tc>
          <w:tcPr>
            <w:tcW w:w="620" w:type="dxa"/>
            <w:vAlign w:val="bottom"/>
          </w:tcPr>
          <w:p>
            <w:pPr>
              <w:jc w:val="right"/>
              <w:ind w:right="18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560" w:type="dxa"/>
            <w:vAlign w:val="bottom"/>
          </w:tcPr>
          <w:p>
            <w:pPr>
              <w:jc w:val="right"/>
              <w:ind w:right="18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34</w:t>
            </w:r>
          </w:p>
        </w:tc>
      </w:tr>
      <w:tr>
        <w:trPr>
          <w:trHeight w:val="219"/>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6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14</w:t>
            </w:r>
          </w:p>
        </w:tc>
      </w:tr>
      <w:tr>
        <w:trPr>
          <w:trHeight w:val="213"/>
        </w:trPr>
        <w:tc>
          <w:tcPr>
            <w:tcW w:w="5660" w:type="dxa"/>
            <w:vAlign w:val="bottom"/>
            <w:gridSpan w:val="2"/>
          </w:tcPr>
          <w:p>
            <w:pPr>
              <w:ind w:left="220"/>
              <w:spacing w:after="0"/>
              <w:rPr>
                <w:sz w:val="20"/>
                <w:szCs w:val="20"/>
                <w:color w:val="auto"/>
              </w:rPr>
            </w:pPr>
            <w:r>
              <w:rPr>
                <w:rFonts w:ascii="Arial" w:cs="Arial" w:eastAsia="Arial" w:hAnsi="Arial"/>
                <w:sz w:val="16"/>
                <w:szCs w:val="16"/>
                <w:color w:val="auto"/>
              </w:rPr>
              <w:t>Restructuring costs</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560" w:type="dxa"/>
            <w:vAlign w:val="bottom"/>
          </w:tcPr>
          <w:p>
            <w:pPr>
              <w:jc w:val="right"/>
              <w:ind w:right="18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3</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9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r>
      <w:tr>
        <w:trPr>
          <w:trHeight w:val="210"/>
        </w:trPr>
        <w:tc>
          <w:tcPr>
            <w:tcW w:w="47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83</w:t>
            </w:r>
          </w:p>
        </w:tc>
      </w:tr>
      <w:tr>
        <w:trPr>
          <w:trHeight w:val="213"/>
        </w:trPr>
        <w:tc>
          <w:tcPr>
            <w:tcW w:w="5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Loss from operations</w:t>
            </w:r>
          </w:p>
        </w:tc>
        <w:tc>
          <w:tcPr>
            <w:tcW w:w="6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(35)</w:t>
            </w:r>
          </w:p>
        </w:tc>
      </w:tr>
      <w:tr>
        <w:trPr>
          <w:trHeight w:val="193"/>
        </w:trPr>
        <w:tc>
          <w:tcPr>
            <w:tcW w:w="4740" w:type="dxa"/>
            <w:vAlign w:val="bottom"/>
          </w:tcPr>
          <w:p>
            <w:pPr>
              <w:ind w:left="20"/>
              <w:spacing w:after="0"/>
              <w:rPr>
                <w:sz w:val="20"/>
                <w:szCs w:val="20"/>
                <w:color w:val="auto"/>
              </w:rPr>
            </w:pPr>
            <w:r>
              <w:rPr>
                <w:rFonts w:ascii="Arial" w:cs="Arial" w:eastAsia="Arial" w:hAnsi="Arial"/>
                <w:sz w:val="16"/>
                <w:szCs w:val="16"/>
                <w:color w:val="auto"/>
              </w:rPr>
              <w:t>Other expenses, net</w:t>
            </w:r>
          </w:p>
        </w:tc>
        <w:tc>
          <w:tcPr>
            <w:tcW w:w="9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19"/>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 of losses from equity method investment</w:t>
            </w:r>
          </w:p>
        </w:tc>
        <w:tc>
          <w:tcPr>
            <w:tcW w:w="6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660" w:type="dxa"/>
            <w:vAlign w:val="bottom"/>
            <w:gridSpan w:val="2"/>
          </w:tcPr>
          <w:p>
            <w:pPr>
              <w:ind w:left="220"/>
              <w:spacing w:after="0"/>
              <w:rPr>
                <w:sz w:val="20"/>
                <w:szCs w:val="20"/>
                <w:color w:val="auto"/>
              </w:rPr>
            </w:pPr>
            <w:r>
              <w:rPr>
                <w:rFonts w:ascii="Arial" w:cs="Arial" w:eastAsia="Arial" w:hAnsi="Arial"/>
                <w:sz w:val="16"/>
                <w:szCs w:val="16"/>
                <w:color w:val="auto"/>
              </w:rPr>
              <w:t>Impairment of strategic investments</w:t>
            </w:r>
          </w:p>
        </w:tc>
        <w:tc>
          <w:tcPr>
            <w:tcW w:w="134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(expenses), net</w:t>
            </w:r>
          </w:p>
        </w:tc>
        <w:tc>
          <w:tcPr>
            <w:tcW w:w="9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r>
      <w:tr>
        <w:trPr>
          <w:trHeight w:val="210"/>
        </w:trPr>
        <w:tc>
          <w:tcPr>
            <w:tcW w:w="47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expenses, net</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r>
      <w:tr>
        <w:trPr>
          <w:trHeight w:val="213"/>
        </w:trPr>
        <w:tc>
          <w:tcPr>
            <w:tcW w:w="5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Loss before provision for income taxes</w:t>
            </w:r>
          </w:p>
        </w:tc>
        <w:tc>
          <w:tcPr>
            <w:tcW w:w="6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(37)</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loss attributable to common stockholders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Less than 0.5% of revenue.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Columns may not add up to 100% due to rounding.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52" w:lineRule="exact"/>
        <w:rPr>
          <w:sz w:val="20"/>
          <w:szCs w:val="20"/>
          <w:color w:val="auto"/>
        </w:rPr>
      </w:pPr>
    </w:p>
    <w:tbl>
      <w:tblPr>
        <w:tblLayout w:type="fixed"/>
        <w:tblInd w:w="156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gridSpan w:val="3"/>
          </w:tcPr>
          <w:p>
            <w:pPr>
              <w:jc w:val="right"/>
              <w:ind w:right="139"/>
              <w:spacing w:after="0"/>
              <w:rPr>
                <w:sz w:val="20"/>
                <w:szCs w:val="20"/>
                <w:color w:val="auto"/>
              </w:rPr>
            </w:pPr>
            <w:r>
              <w:rPr>
                <w:rFonts w:ascii="Arial" w:cs="Arial" w:eastAsia="Arial" w:hAnsi="Arial"/>
                <w:sz w:val="14"/>
                <w:szCs w:val="14"/>
                <w:color w:val="auto"/>
                <w:w w:val="93"/>
              </w:rPr>
              <w:t>(Dollars in thousands)</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Twilio Communications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906,714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866,193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40,521</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Twilio Data &amp; Applications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126,956</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116,837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10,119</w:t>
            </w:r>
          </w:p>
        </w:tc>
        <w:tc>
          <w:tcPr>
            <w:tcW w:w="4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38"/>
        </w:trPr>
        <w:tc>
          <w:tcPr>
            <w:tcW w:w="3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Consolidated total revenue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1,033,670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983,030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50,640</w:t>
            </w:r>
          </w:p>
        </w:tc>
        <w:tc>
          <w:tcPr>
            <w:tcW w:w="4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86"/>
        <w:spacing w:after="0" w:line="219" w:lineRule="exact"/>
        <w:rPr>
          <w:sz w:val="20"/>
          <w:szCs w:val="20"/>
          <w:color w:val="auto"/>
        </w:rPr>
      </w:pPr>
      <w:r>
        <w:rPr>
          <w:rFonts w:ascii="Arial" w:cs="Arial" w:eastAsia="Arial" w:hAnsi="Arial"/>
          <w:sz w:val="18"/>
          <w:szCs w:val="18"/>
          <w:color w:val="auto"/>
        </w:rPr>
        <w:t>In the three months ended September 30, 2023, Communications revenue increased by $40.5 million, or 5%, compared to the same period last year. This increase was primarily attributable to a 10% increase in the number of Communications Active Customer Accounts from over 264,000 as of September 30, 2022 to over 291,000 as of September 30, 2023, as well as the increased usage of our products by our existing customers, as reflected in our Communications Dollar</w:t>
      </w:r>
      <w:r>
        <w:rPr>
          <w:rFonts w:ascii="MS PGothic" w:cs="MS PGothic" w:eastAsia="MS PGothic" w:hAnsi="MS PGothic"/>
          <w:sz w:val="18"/>
          <w:szCs w:val="18"/>
          <w:color w:val="auto"/>
        </w:rPr>
        <w:t>‑</w:t>
      </w:r>
      <w:r>
        <w:rPr>
          <w:rFonts w:ascii="Arial" w:cs="Arial" w:eastAsia="Arial" w:hAnsi="Arial"/>
          <w:sz w:val="18"/>
          <w:szCs w:val="18"/>
          <w:color w:val="auto"/>
        </w:rPr>
        <w:t>Based Net Expansion Rate of 101%. These increases were offset by a decrease of $28.5 million related to revenue from our ValueFirst and IoT businesses, which we divested during 2023.</w:t>
      </w:r>
    </w:p>
    <w:p>
      <w:pPr>
        <w:spacing w:after="0" w:line="205" w:lineRule="exact"/>
        <w:rPr>
          <w:sz w:val="20"/>
          <w:szCs w:val="20"/>
          <w:color w:val="auto"/>
        </w:rPr>
      </w:pPr>
    </w:p>
    <w:p>
      <w:pPr>
        <w:ind w:right="120" w:firstLine="486"/>
        <w:spacing w:after="0" w:line="220" w:lineRule="exact"/>
        <w:rPr>
          <w:sz w:val="20"/>
          <w:szCs w:val="20"/>
          <w:color w:val="auto"/>
        </w:rPr>
      </w:pPr>
      <w:r>
        <w:rPr>
          <w:rFonts w:ascii="Arial" w:cs="Arial" w:eastAsia="Arial" w:hAnsi="Arial"/>
          <w:sz w:val="17"/>
          <w:szCs w:val="17"/>
          <w:color w:val="auto"/>
        </w:rPr>
        <w:t>In the three months ended September 30, 2023, Data &amp; Applications revenue increased by $10.1 million, or 9%, compared to the same period last year. This increase was primarily attributable to a 6% increase in the number of Data &amp; Applications Active Customer Accounts from over 31,000 as of September 30, 2022 to over 33,000 as of September 30, 2023</w:t>
      </w:r>
      <w:r>
        <w:rPr>
          <w:rFonts w:ascii="Arial" w:cs="Arial" w:eastAsia="Arial" w:hAnsi="Arial"/>
          <w:sz w:val="22"/>
          <w:szCs w:val="22"/>
          <w:color w:val="auto"/>
          <w:vertAlign w:val="superscript"/>
        </w:rPr>
        <w:t>1</w:t>
      </w:r>
      <w:r>
        <w:rPr>
          <w:rFonts w:ascii="Arial" w:cs="Arial" w:eastAsia="Arial" w:hAnsi="Arial"/>
          <w:sz w:val="17"/>
          <w:szCs w:val="17"/>
          <w:color w:val="auto"/>
        </w:rPr>
        <w:t>. Our Data &amp; Applications Dollar</w:t>
      </w:r>
      <w:r>
        <w:rPr>
          <w:rFonts w:ascii="MS PGothic" w:cs="MS PGothic" w:eastAsia="MS PGothic" w:hAnsi="MS PGothic"/>
          <w:sz w:val="17"/>
          <w:szCs w:val="17"/>
          <w:color w:val="auto"/>
        </w:rPr>
        <w:t>‑</w:t>
      </w:r>
      <w:r>
        <w:rPr>
          <w:rFonts w:ascii="Arial" w:cs="Arial" w:eastAsia="Arial" w:hAnsi="Arial"/>
          <w:sz w:val="17"/>
          <w:szCs w:val="17"/>
          <w:color w:val="auto"/>
        </w:rPr>
        <w:t>Based Net Expansion Rate was 96% for the three months ended September 30, 2023 due to higher contraction and customer churn compared to the same period last year.</w:t>
      </w:r>
    </w:p>
    <w:p>
      <w:pPr>
        <w:spacing w:after="0" w:line="202" w:lineRule="exact"/>
        <w:rPr>
          <w:sz w:val="20"/>
          <w:szCs w:val="20"/>
          <w:color w:val="auto"/>
        </w:rPr>
      </w:pPr>
    </w:p>
    <w:p>
      <w:pPr>
        <w:ind w:firstLine="486"/>
        <w:spacing w:after="0" w:line="220" w:lineRule="exact"/>
        <w:rPr>
          <w:sz w:val="20"/>
          <w:szCs w:val="20"/>
          <w:color w:val="auto"/>
        </w:rPr>
      </w:pPr>
      <w:r>
        <w:rPr>
          <w:rFonts w:ascii="Arial" w:cs="Arial" w:eastAsia="Arial" w:hAnsi="Arial"/>
          <w:sz w:val="18"/>
          <w:szCs w:val="18"/>
          <w:color w:val="auto"/>
        </w:rPr>
        <w:t>In the three months ended September 30, 2023, consolidated total revenue increased by $50.6 million, or 5%, compared to the same period last year. This increase was primarily attributable to a 9% increase in the number of Active Customer Accounts from over 280,000 as of September 30, 2022 to over 306,000 as of September 30, 2023, as well as the increased usage of our products by our existing customers, as reflected in our Dollar</w:t>
      </w:r>
      <w:r>
        <w:rPr>
          <w:rFonts w:ascii="MS PGothic" w:cs="MS PGothic" w:eastAsia="MS PGothic" w:hAnsi="MS PGothic"/>
          <w:sz w:val="18"/>
          <w:szCs w:val="18"/>
          <w:color w:val="auto"/>
        </w:rPr>
        <w:t>‑</w:t>
      </w:r>
      <w:r>
        <w:rPr>
          <w:rFonts w:ascii="Arial" w:cs="Arial" w:eastAsia="Arial" w:hAnsi="Arial"/>
          <w:sz w:val="18"/>
          <w:szCs w:val="18"/>
          <w:color w:val="auto"/>
        </w:rPr>
        <w:t>Based Net Expansion Rate of 101%.</w:t>
      </w:r>
    </w:p>
    <w:p>
      <w:pPr>
        <w:spacing w:after="0" w:line="204"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In the three months ended September 30, 2023, U.S. revenue and international revenue represented $688.1 million, or 67%, and $345.5 million, or 33%, respectively, of total revenue. In the three months ended September 30, 2022, U.S. revenue and international revenue represented $650.5 million, or 66%, and $332.5 million, or 34%, respectively,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1" w:lineRule="exact"/>
        <w:rPr>
          <w:sz w:val="20"/>
          <w:szCs w:val="20"/>
          <w:color w:val="auto"/>
        </w:rPr>
      </w:pPr>
    </w:p>
    <w:p>
      <w:pPr>
        <w:ind w:right="40" w:firstLine="8"/>
        <w:spacing w:after="0" w:line="242" w:lineRule="auto"/>
        <w:tabs>
          <w:tab w:leader="none" w:pos="103"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In our Quarterly Report on Form 10-Q for the three months ended June 30, 2023 (the “Q2’23 10-Q”), we disclosed that we had over 27,000 Data &amp; Applications Active Customer Accounts as of June 30, 2023, an increase of 4% compared to over 26,000 Data &amp; Applications Active Customer Accounts as of June 30, 2022. Due to an inadvertent exclusion of certain accounts, the number of Data &amp; Applications Active Customer Accounts as of June 30, 2023 and June 30, 2022 was understated. Including the inadvertently excluded accounts, we had over 33,000 Data &amp; Applications Active Customer Accounts as of June 30, 2023, an increase of 6% compared to over 31,000 Data &amp; Applications Active Customer Accounts as of June 30, 2022.</w:t>
      </w:r>
    </w:p>
    <w:p>
      <w:pPr>
        <w:spacing w:after="0" w:line="236" w:lineRule="exact"/>
        <w:rPr>
          <w:sz w:val="20"/>
          <w:szCs w:val="20"/>
          <w:color w:val="auto"/>
        </w:rPr>
      </w:pPr>
    </w:p>
    <w:p>
      <w:pPr>
        <w:ind w:right="100"/>
        <w:spacing w:after="0" w:line="293" w:lineRule="auto"/>
        <w:rPr>
          <w:sz w:val="20"/>
          <w:szCs w:val="20"/>
          <w:color w:val="auto"/>
        </w:rPr>
      </w:pPr>
      <w:r>
        <w:rPr>
          <w:rFonts w:ascii="Arial" w:cs="Arial" w:eastAsia="Arial" w:hAnsi="Arial"/>
          <w:sz w:val="14"/>
          <w:szCs w:val="14"/>
          <w:color w:val="auto"/>
        </w:rPr>
        <w:t>Our consolidated Active Customer Accounts as of June 30, 2023 and June 30, 2022, and our Data &amp; Applications Dollar-Based Net Expansion Rate for the three and six months ended June 30, 2023, in each case as disclosed in our Q2’23 10-Q, were not affected by the above understatement.</w:t>
      </w: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52" w:lineRule="exact"/>
        <w:rPr>
          <w:sz w:val="20"/>
          <w:szCs w:val="20"/>
          <w:color w:val="auto"/>
        </w:rPr>
      </w:pPr>
    </w:p>
    <w:tbl>
      <w:tblPr>
        <w:tblLayout w:type="fixed"/>
        <w:tblInd w:w="23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3"/>
          </w:tcPr>
          <w:p>
            <w:pPr>
              <w:jc w:val="right"/>
              <w:ind w:right="921"/>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right"/>
              <w:ind w:right="119"/>
              <w:spacing w:after="0"/>
              <w:rPr>
                <w:sz w:val="20"/>
                <w:szCs w:val="20"/>
                <w:color w:val="auto"/>
              </w:rPr>
            </w:pPr>
            <w:r>
              <w:rPr>
                <w:rFonts w:ascii="Arial" w:cs="Arial" w:eastAsia="Arial" w:hAnsi="Arial"/>
                <w:sz w:val="14"/>
                <w:szCs w:val="14"/>
                <w:color w:val="auto"/>
              </w:rPr>
              <w:t>(Dollars in thousands)</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color w:val="auto"/>
                <w:w w:val="94"/>
              </w:rPr>
              <w:t>Twilio Communications</w:t>
            </w:r>
          </w:p>
        </w:tc>
        <w:tc>
          <w:tcPr>
            <w:tcW w:w="74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gridSpan w:val="4"/>
          </w:tcPr>
          <w:p>
            <w:pPr>
              <w:ind w:left="220"/>
              <w:spacing w:after="0"/>
              <w:rPr>
                <w:sz w:val="20"/>
                <w:szCs w:val="20"/>
                <w:color w:val="auto"/>
              </w:rPr>
            </w:pPr>
            <w:r>
              <w:rPr>
                <w:rFonts w:ascii="Arial" w:cs="Arial" w:eastAsia="Arial" w:hAnsi="Arial"/>
                <w:sz w:val="16"/>
                <w:szCs w:val="16"/>
                <w:color w:val="auto"/>
              </w:rPr>
              <w:t>Cost of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473,683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485,067</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1"/>
              <w:spacing w:after="0"/>
              <w:rPr>
                <w:sz w:val="20"/>
                <w:szCs w:val="20"/>
                <w:color w:val="auto"/>
              </w:rPr>
            </w:pPr>
            <w:r>
              <w:rPr>
                <w:rFonts w:ascii="Arial" w:cs="Arial" w:eastAsia="Arial" w:hAnsi="Arial"/>
                <w:sz w:val="16"/>
                <w:szCs w:val="16"/>
                <w:color w:val="auto"/>
              </w:rPr>
              <w:t>(11,384)</w:t>
            </w: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2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48 %</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20" w:type="dxa"/>
            <w:vAlign w:val="bottom"/>
            <w:gridSpan w:val="4"/>
          </w:tcPr>
          <w:p>
            <w:pPr>
              <w:spacing w:after="0" w:line="175" w:lineRule="exact"/>
              <w:rPr>
                <w:sz w:val="20"/>
                <w:szCs w:val="20"/>
                <w:color w:val="auto"/>
              </w:rPr>
            </w:pPr>
            <w:r>
              <w:rPr>
                <w:rFonts w:ascii="Arial" w:cs="Arial" w:eastAsia="Arial" w:hAnsi="Arial"/>
                <w:sz w:val="16"/>
                <w:szCs w:val="16"/>
                <w:color w:val="auto"/>
              </w:rPr>
              <w:t>Twilio Data &amp; Applications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2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43,668</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35,888</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7,780</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gridSpan w:val="4"/>
          </w:tcPr>
          <w:p>
            <w:pPr>
              <w:ind w:left="220"/>
              <w:spacing w:after="0"/>
              <w:rPr>
                <w:sz w:val="20"/>
                <w:szCs w:val="20"/>
                <w:color w:val="auto"/>
              </w:rPr>
            </w:pPr>
            <w:r>
              <w:rPr>
                <w:rFonts w:ascii="Arial" w:cs="Arial" w:eastAsia="Arial" w:hAnsi="Arial"/>
                <w:sz w:val="16"/>
                <w:szCs w:val="16"/>
                <w:color w:val="auto"/>
              </w:rPr>
              <w:t>Gross margin</w:t>
            </w: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66 %</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69 %</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w w:val="92"/>
              </w:rPr>
              <w:t>Consolidated total</w:t>
            </w:r>
          </w:p>
        </w:tc>
        <w:tc>
          <w:tcPr>
            <w:tcW w:w="1120" w:type="dxa"/>
            <w:vAlign w:val="bottom"/>
            <w:tcBorders>
              <w:bottom w:val="single" w:sz="8" w:color="CCEEFF"/>
            </w:tcBorders>
            <w:gridSpan w:val="3"/>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gridSpan w:val="4"/>
          </w:tcPr>
          <w:p>
            <w:pPr>
              <w:ind w:left="220"/>
              <w:spacing w:after="0"/>
              <w:rPr>
                <w:sz w:val="20"/>
                <w:szCs w:val="20"/>
                <w:color w:val="auto"/>
              </w:rPr>
            </w:pPr>
            <w:r>
              <w:rPr>
                <w:rFonts w:ascii="Arial" w:cs="Arial" w:eastAsia="Arial" w:hAnsi="Arial"/>
                <w:sz w:val="16"/>
                <w:szCs w:val="16"/>
                <w:color w:val="auto"/>
              </w:rPr>
              <w:t>Cost of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517,351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520,955</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1"/>
              <w:spacing w:after="0"/>
              <w:rPr>
                <w:sz w:val="20"/>
                <w:szCs w:val="20"/>
                <w:color w:val="auto"/>
              </w:rPr>
            </w:pPr>
            <w:r>
              <w:rPr>
                <w:rFonts w:ascii="Arial" w:cs="Arial" w:eastAsia="Arial" w:hAnsi="Arial"/>
                <w:sz w:val="16"/>
                <w:szCs w:val="16"/>
                <w:color w:val="auto"/>
              </w:rPr>
              <w:t>(3,604)</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2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50 %</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In the three months ended September 30, 2023, Communications cost of revenue decreased by $11.4 million, or 2%, compared to the same period last year. Fluctuations in cost of revenue categories were not significant either individually or in the aggregate.</w:t>
      </w:r>
    </w:p>
    <w:p>
      <w:pPr>
        <w:spacing w:after="0" w:line="17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 the three months ended September 30, 2023, Data &amp; Applications cost of revenue increased by $7.8 million, or 22%, compared to the same period last year. The increase was primarily attributable to a $4.5 million increase in hosting fees, a $1.3 million increase in stock-based compensation, and a $1.2 million increase in amortization of capitalized internal-use software development costs.</w:t>
      </w:r>
    </w:p>
    <w:p>
      <w:pPr>
        <w:spacing w:after="0" w:line="184"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the three months ended September 30, 2023, Communications gross margin percentage increased compared to the same period last year. This increase was primarily driven by a 300 basis point increase due to the network service providers’ costs increasing at a lower rate relative to revenue, net of the impact of hedging instruments, as a result of a higher proportion of revenue being derived from the United States, where margins are higher. The increase was also partially driven by a 70 basis point increase due to the divestiture of our ValueFirst and IoT businesses during the first half of 2023, which historically had lower gross margins than Communications as a whole.</w:t>
      </w:r>
    </w:p>
    <w:p>
      <w:pPr>
        <w:spacing w:after="0" w:line="188"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In the three months ended September 30, 2023, Data &amp; Applications gross margin percentage decreased compared to the same period last year. This decrease was primarily driven by a 350 basis point decrease due to an increase in hosting costs, a 110 basis point decrease due to an increase in stock-based compensation, and a 100 basis point decrease due to an increase in amortization of capitalized internal-use software development costs, partially offset by a 9% increase in total revenue, as discussed in the Revenue section above.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52" w:lineRule="exact"/>
        <w:rPr>
          <w:sz w:val="20"/>
          <w:szCs w:val="20"/>
          <w:color w:val="auto"/>
        </w:rPr>
      </w:pPr>
    </w:p>
    <w:tbl>
      <w:tblPr>
        <w:tblLayout w:type="fixed"/>
        <w:tblInd w:w="186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tcPr>
          <w:p>
            <w:pPr>
              <w:jc w:val="right"/>
              <w:ind w:right="39"/>
              <w:spacing w:after="0"/>
              <w:rPr>
                <w:sz w:val="20"/>
                <w:szCs w:val="20"/>
                <w:color w:val="auto"/>
              </w:rPr>
            </w:pPr>
            <w:r>
              <w:rPr>
                <w:rFonts w:ascii="Arial" w:cs="Arial" w:eastAsia="Arial" w:hAnsi="Arial"/>
                <w:sz w:val="14"/>
                <w:szCs w:val="14"/>
                <w:color w:val="auto"/>
              </w:rPr>
              <w:t>(Dollars in thousands)</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(43,081)</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262,898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328,833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(65,935)</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(21,260)</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72,451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(69,014)</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97,722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(94,560)</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336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625,222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919,072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(293,850)</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In the three months ended September 30, 2023, research and development expenses decreased by $43.1 million, or 15%, compared to the same period last year. The decrease was primarily attributable to a $46.5 million decrease in total personnel costs compared to the prior period, which was primarily attributable to the restructuring of our workforce in September 2022 and February 2023, which contributed to a 25% decrease in average research and development headcount during the period, and to the sunsetting of our employee sabbatical program in the three months ended March 31, 2023. This decrease was partially offset by increases in other operating expense categories that were not significant either individually or in the aggregate.</w:t>
      </w:r>
    </w:p>
    <w:p>
      <w:pPr>
        <w:spacing w:after="0" w:line="161"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In the three months ended September 30, 2023, sales and marketing expenses decreased by $65.9 million, or 20%, compared to the same period last year. The decrease was primarily attributable to a $63.1 million decrease in total personnel costs compared to the prior period, which was primarily attributable to the restructuring of our workforce in September 2022 and February 2023, which contributed to a 31% decrease in average sales and marketing headcount during the period, and to the sunsetting of our employee sabbatical program in the three months ended March 31, 2023. The impacts of other operating expense categories were not significant either individually or in the aggregate.</w:t>
      </w:r>
    </w:p>
    <w:p>
      <w:pPr>
        <w:spacing w:after="0" w:line="176"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In the three months ended September 30, 2023, general and administrative expenses decreased by $21.3 million, or 16%, compared to the same period last year. The decrease was primarily attributable to a $21.2 million decrease in total personnel costs compared to the prior period, which was primarily attributable to the restructuring of our workforce in September 2022 and February 2023, which contributed to a 39% decrease in average general and administrative headcount during the period, and to the sunsetting of our employee sabbatical program in the three months ended March 31, 2023. The impacts of other operating expense categories were not significant either individually or in the aggregate.</w:t>
      </w:r>
    </w:p>
    <w:p>
      <w:pPr>
        <w:spacing w:after="0" w:line="176"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color w:val="auto"/>
        </w:rPr>
        <w:t>In the three months ended September 30, 2023, restructuring costs decreased by $69.0 million, or 95%, compared to the same period last year. The decrease is due to costs incurred in the prior period related to the workforce reduction effected during September 2022. For further detail refer to Note 7 to our unaudited condensed consolidated financial statements included elsewhere in this Quarterly Report on Form 10-Q.</w:t>
      </w:r>
    </w:p>
    <w:p>
      <w:pPr>
        <w:spacing w:after="0" w:line="16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the three months ended September 30, 2023, impairment of long-lived assets decreased $94.6 million, or 97%, compared to the same period last year. The decrease is due to a larger number of office closures that occurred in the three months ended September 30, 2022, which was the first period in which we incurred such charges. For further detail refer to Note 6 to our unaudited condensed consolidated financial statements included elsewhere in this Quarterly Report on Form 10-Q.</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225"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Our CODM evaluates the performance of our Communications and Data &amp; Applications segments based on several factors, of which the primary financial measures are total revenue and non-GAAP gross profit, our segment profitability measure. The following table presents the non-GAAP gross profit measure for each segment, as presented to our CODM for the three months ended September 30, 2023:</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3"/>
        </w:trPr>
        <w:tc>
          <w:tcPr>
            <w:tcW w:w="3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5"/>
          </w:tcPr>
          <w:p>
            <w:pPr>
              <w:ind w:left="5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6"/>
        </w:trPr>
        <w:tc>
          <w:tcPr>
            <w:tcW w:w="3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r>
      <w:tr>
        <w:trPr>
          <w:trHeight w:val="216"/>
        </w:trPr>
        <w:tc>
          <w:tcPr>
            <w:tcW w:w="3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18"/>
                <w:szCs w:val="18"/>
                <w:color w:val="auto"/>
              </w:rPr>
            </w:pPr>
          </w:p>
        </w:tc>
      </w:tr>
      <w:tr>
        <w:trPr>
          <w:trHeight w:val="191"/>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right"/>
              <w:ind w:right="19"/>
              <w:spacing w:after="0"/>
              <w:rPr>
                <w:sz w:val="20"/>
                <w:szCs w:val="20"/>
                <w:color w:val="auto"/>
              </w:rPr>
            </w:pPr>
            <w:r>
              <w:rPr>
                <w:rFonts w:ascii="Arial" w:cs="Arial" w:eastAsia="Arial" w:hAnsi="Arial"/>
                <w:sz w:val="14"/>
                <w:szCs w:val="14"/>
                <w:color w:val="auto"/>
              </w:rPr>
              <w:t>(Dollars in thousands)</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6"/>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Twilio Communications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451,330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401,236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50,094</w:t>
            </w: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27"/>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Twilio Data &amp; Applications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101,268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97,897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3,371</w:t>
            </w:r>
          </w:p>
        </w:tc>
        <w:tc>
          <w:tcPr>
            <w:tcW w:w="3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3 %</w:t>
            </w:r>
          </w:p>
        </w:tc>
      </w:tr>
      <w:tr>
        <w:trPr>
          <w:trHeight w:val="251"/>
        </w:trPr>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Consolidated total non-GAAP gross profit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552,598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499,133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53,465</w:t>
            </w: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In the three months ended September 30, 2023, Communications non-GAAP gross profit increased by $50.1 million, or 12%, compared to the same period last year. The increase in Communications non-GAAP gross profit was primarily driven by the same factors impacting Communications revenue and Communications cost of revenue, as described in the Revenue and Cost of Revenue and Gross Margin sections above, adjusted for a $1.8 million net decrease, in aggregate, in stock-based compensation, payroll taxes related to stock-based compensation and amortization of acquired intangibles.</w:t>
      </w:r>
    </w:p>
    <w:p>
      <w:pPr>
        <w:spacing w:after="0" w:line="157"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In the three months ended September 30, 2023, Data &amp; Applications non-GAAP gross profit increased by $3.4 million, or 3%, compared to the same period last year. The increase in Data &amp; Applications non-GAAP gross profit was primarily driven by the same factors impacting Data &amp; Applications revenue and Data &amp; Applications cost of revenue, as described in the Revenue and Cost of Revenue and Gross Margin sections above, adjusted for a $1.0 million net increase, in aggregate, in stock-based compensation, payroll taxes related to stock-based compensation and amortization of acquired intangibles.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w w:val="97"/>
              </w:rPr>
              <w:t>Change</w:t>
            </w: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3"/>
          </w:tcPr>
          <w:p>
            <w:pPr>
              <w:jc w:val="right"/>
              <w:ind w:right="119"/>
              <w:spacing w:after="0"/>
              <w:rPr>
                <w:sz w:val="20"/>
                <w:szCs w:val="20"/>
                <w:color w:val="auto"/>
              </w:rPr>
            </w:pPr>
            <w:r>
              <w:rPr>
                <w:rFonts w:ascii="Arial" w:cs="Arial" w:eastAsia="Arial" w:hAnsi="Arial"/>
                <w:sz w:val="14"/>
                <w:szCs w:val="14"/>
                <w:color w:val="auto"/>
                <w:w w:val="96"/>
              </w:rPr>
              <w:t>(Dollars in thousands)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Twilio Communications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2,703,079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2,470,350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232,729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Twilio Data &amp; Applications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374,916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331,397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43,519</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8"/>
        </w:trPr>
        <w:tc>
          <w:tcPr>
            <w:tcW w:w="3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Consolidated total revenue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3,077,995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2,801,747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276,248</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firstLine="486"/>
        <w:spacing w:after="0" w:line="219" w:lineRule="exact"/>
        <w:rPr>
          <w:sz w:val="20"/>
          <w:szCs w:val="20"/>
          <w:color w:val="auto"/>
        </w:rPr>
      </w:pPr>
      <w:r>
        <w:rPr>
          <w:rFonts w:ascii="Arial" w:cs="Arial" w:eastAsia="Arial" w:hAnsi="Arial"/>
          <w:sz w:val="18"/>
          <w:szCs w:val="18"/>
          <w:color w:val="auto"/>
        </w:rPr>
        <w:t>In the nine months ended September 30, 2023, Communications revenue increased by $232.7 million, or 9%, compared to the same period last year. This increase was primarily attributable to a 10% increase in the number of Communications Active Customer Accounts from over 264,000 as of September 30, 2022 to over 291,000 as of September 30, 2023, as well as the increased usage of our products by our existing customers, as reflected in our Communications Dollar</w:t>
      </w:r>
      <w:r>
        <w:rPr>
          <w:rFonts w:ascii="MS PGothic" w:cs="MS PGothic" w:eastAsia="MS PGothic" w:hAnsi="MS PGothic"/>
          <w:sz w:val="18"/>
          <w:szCs w:val="18"/>
          <w:color w:val="auto"/>
        </w:rPr>
        <w:t>‑</w:t>
      </w:r>
      <w:r>
        <w:rPr>
          <w:rFonts w:ascii="Arial" w:cs="Arial" w:eastAsia="Arial" w:hAnsi="Arial"/>
          <w:sz w:val="18"/>
          <w:szCs w:val="18"/>
          <w:color w:val="auto"/>
        </w:rPr>
        <w:t>Based Net Expansion Rate of 103%. These increases were partially offset by a decrease of $29.9 million related to revenue from our ValueFirst and IoT businesses, which we divested during 2023.</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the nine months ended September 30, 2023, Data &amp; Applications revenue increased by $43.5 million, or 13%, compared to the same period last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 This increase was attributable to a 6% increase in the number of Data &amp; Applications Active Customer Accounts from over 31,000 as of</w:t>
      </w:r>
    </w:p>
    <w:p>
      <w:pPr>
        <w:spacing w:after="0" w:line="227" w:lineRule="exact"/>
        <w:rPr>
          <w:sz w:val="20"/>
          <w:szCs w:val="20"/>
          <w:color w:val="auto"/>
        </w:rPr>
      </w:pPr>
      <w:r>
        <w:rPr>
          <w:rFonts w:ascii="Arial" w:cs="Arial" w:eastAsia="Arial" w:hAnsi="Arial"/>
          <w:sz w:val="16"/>
          <w:szCs w:val="16"/>
          <w:color w:val="auto"/>
        </w:rPr>
        <w:t>September 30, 2022 to over 33,000 as of September 30, 2023</w:t>
      </w:r>
      <w:r>
        <w:rPr>
          <w:rFonts w:ascii="Arial" w:cs="Arial" w:eastAsia="Arial" w:hAnsi="Arial"/>
          <w:sz w:val="20"/>
          <w:szCs w:val="20"/>
          <w:color w:val="auto"/>
          <w:vertAlign w:val="superscript"/>
        </w:rPr>
        <w:t>2</w:t>
      </w:r>
      <w:r>
        <w:rPr>
          <w:rFonts w:ascii="Arial" w:cs="Arial" w:eastAsia="Arial" w:hAnsi="Arial"/>
          <w:sz w:val="16"/>
          <w:szCs w:val="16"/>
          <w:color w:val="auto"/>
        </w:rPr>
        <w:t>. Our Data &amp; Applications Dollar</w:t>
      </w:r>
      <w:r>
        <w:rPr>
          <w:rFonts w:ascii="MS PGothic" w:cs="MS PGothic" w:eastAsia="MS PGothic" w:hAnsi="MS PGothic"/>
          <w:sz w:val="16"/>
          <w:szCs w:val="16"/>
          <w:color w:val="auto"/>
        </w:rPr>
        <w:t>‑</w:t>
      </w:r>
      <w:r>
        <w:rPr>
          <w:rFonts w:ascii="Arial" w:cs="Arial" w:eastAsia="Arial" w:hAnsi="Arial"/>
          <w:sz w:val="16"/>
          <w:szCs w:val="16"/>
          <w:color w:val="auto"/>
        </w:rPr>
        <w:t>Based Net Expansion Rate was 100% for the nine months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14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06" w:lineRule="exact"/>
        <w:rPr>
          <w:sz w:val="20"/>
          <w:szCs w:val="20"/>
          <w:color w:val="auto"/>
        </w:rPr>
      </w:pPr>
    </w:p>
    <w:p>
      <w:pPr>
        <w:ind w:right="20" w:firstLine="8"/>
        <w:spacing w:after="0" w:line="223" w:lineRule="auto"/>
        <w:tabs>
          <w:tab w:leader="none" w:pos="103"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In our Q2’23 10-Q, we disclosed that we had over 27,000 Data &amp; Applications Active Customer Accounts as of June 30, 2023, an increase of 4% compared to over 26,000 Data &amp; Applications Active Customer Accounts as of June 30, 2022. Due to an inadvertent exclusion of certain accounts, the number of Data &amp; Applications Active Customer Accounts as of June 30, 2023 and June 30, 2022 was understated. Including the inadvertently excluded accounts, we had over 33,000 Data &amp; Applications Active Customer Accounts as of June 30, 2023, an increase of 6% compared to over 31,000 Data &amp; Applications Active Customer Accounts as of June 30, 2022.</w:t>
      </w:r>
    </w:p>
    <w:p>
      <w:pPr>
        <w:spacing w:after="0" w:line="237" w:lineRule="exact"/>
        <w:rPr>
          <w:sz w:val="20"/>
          <w:szCs w:val="20"/>
          <w:color w:val="auto"/>
        </w:rPr>
      </w:pPr>
    </w:p>
    <w:p>
      <w:pPr>
        <w:ind w:right="160"/>
        <w:spacing w:after="0" w:line="293" w:lineRule="auto"/>
        <w:rPr>
          <w:sz w:val="20"/>
          <w:szCs w:val="20"/>
          <w:color w:val="auto"/>
        </w:rPr>
      </w:pPr>
      <w:r>
        <w:rPr>
          <w:rFonts w:ascii="Arial" w:cs="Arial" w:eastAsia="Arial" w:hAnsi="Arial"/>
          <w:sz w:val="14"/>
          <w:szCs w:val="14"/>
          <w:color w:val="auto"/>
        </w:rPr>
        <w:t>Our consolidated Active Customer Accounts as of June 30, 2023 and June 30, 2022, and our Data &amp; Applications Dollar-Based Net Expansion Rate for the three and six months ended June 30, 2023, in each case as disclosed in our Q2’23 10-Q, were not affected by the above understatement.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486"/>
        <w:spacing w:after="0" w:line="220" w:lineRule="exact"/>
        <w:rPr>
          <w:sz w:val="20"/>
          <w:szCs w:val="20"/>
          <w:color w:val="auto"/>
        </w:rPr>
      </w:pPr>
      <w:r>
        <w:rPr>
          <w:rFonts w:ascii="Arial" w:cs="Arial" w:eastAsia="Arial" w:hAnsi="Arial"/>
          <w:sz w:val="18"/>
          <w:szCs w:val="18"/>
          <w:color w:val="auto"/>
        </w:rPr>
        <w:t>In the nine months ended September 30, 2023, consolidated total revenue increased by $276.2 million, or 10%, compared to the same period last year. This increase was primarily attributable to a 9% increase in the number of Active Customer Accounts from over 280,000 as of September 30, 2022 to over 306,000 as of September 30, 2023, as well as the increased usage of our products by our existing customers, as reflected in our Dollar</w:t>
      </w:r>
      <w:r>
        <w:rPr>
          <w:rFonts w:ascii="MS PGothic" w:cs="MS PGothic" w:eastAsia="MS PGothic" w:hAnsi="MS PGothic"/>
          <w:sz w:val="18"/>
          <w:szCs w:val="18"/>
          <w:color w:val="auto"/>
        </w:rPr>
        <w:t>‑</w:t>
      </w:r>
      <w:r>
        <w:rPr>
          <w:rFonts w:ascii="Arial" w:cs="Arial" w:eastAsia="Arial" w:hAnsi="Arial"/>
          <w:sz w:val="18"/>
          <w:szCs w:val="18"/>
          <w:color w:val="auto"/>
        </w:rPr>
        <w:t>Based Net Expansion Rate of 103%.</w:t>
      </w:r>
    </w:p>
    <w:p>
      <w:pPr>
        <w:spacing w:after="0" w:line="20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In the nine months ended September 30, 2023, U.S. revenue and international revenue represented $2.0 billion, or 66%, and $1.0 billion, or 34%, respectively, of total revenue. In the nine months ended September 30, 2022, U.S. revenue and international revenue represented $1.8 billion, or 66%, and $964.4 million, or 34%, respectively, of total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57" w:lineRule="exact"/>
        <w:rPr>
          <w:sz w:val="20"/>
          <w:szCs w:val="20"/>
          <w:color w:val="auto"/>
        </w:rPr>
      </w:pPr>
    </w:p>
    <w:tbl>
      <w:tblPr>
        <w:tblLayout w:type="fixed"/>
        <w:tblInd w:w="23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3"/>
          </w:tcPr>
          <w:p>
            <w:pPr>
              <w:jc w:val="right"/>
              <w:ind w:right="761"/>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3"/>
          </w:tcPr>
          <w:p>
            <w:pPr>
              <w:jc w:val="right"/>
              <w:ind w:right="941"/>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right"/>
              <w:ind w:right="179"/>
              <w:spacing w:after="0"/>
              <w:rPr>
                <w:sz w:val="20"/>
                <w:szCs w:val="20"/>
                <w:color w:val="auto"/>
              </w:rPr>
            </w:pPr>
            <w:r>
              <w:rPr>
                <w:rFonts w:ascii="Arial" w:cs="Arial" w:eastAsia="Arial" w:hAnsi="Arial"/>
                <w:sz w:val="14"/>
                <w:szCs w:val="14"/>
                <w:color w:val="auto"/>
                <w:w w:val="99"/>
              </w:rPr>
              <w:t>(Dollars in thousands)</w:t>
            </w: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color w:val="auto"/>
                <w:w w:val="94"/>
              </w:rPr>
              <w:t>Twilio Communications</w:t>
            </w:r>
          </w:p>
        </w:tc>
        <w:tc>
          <w:tcPr>
            <w:tcW w:w="74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gridSpan w:val="4"/>
          </w:tcPr>
          <w:p>
            <w:pPr>
              <w:ind w:left="220"/>
              <w:spacing w:after="0"/>
              <w:rPr>
                <w:sz w:val="20"/>
                <w:szCs w:val="20"/>
                <w:color w:val="auto"/>
              </w:rPr>
            </w:pPr>
            <w:r>
              <w:rPr>
                <w:rFonts w:ascii="Arial" w:cs="Arial" w:eastAsia="Arial" w:hAnsi="Arial"/>
                <w:sz w:val="16"/>
                <w:szCs w:val="16"/>
                <w:color w:val="auto"/>
              </w:rPr>
              <w:t>Cost of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1,442,536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1,367,852</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1"/>
              <w:spacing w:after="0"/>
              <w:rPr>
                <w:sz w:val="20"/>
                <w:szCs w:val="20"/>
                <w:color w:val="auto"/>
              </w:rPr>
            </w:pPr>
            <w:r>
              <w:rPr>
                <w:rFonts w:ascii="Arial" w:cs="Arial" w:eastAsia="Arial" w:hAnsi="Arial"/>
                <w:sz w:val="16"/>
                <w:szCs w:val="16"/>
                <w:color w:val="auto"/>
              </w:rPr>
              <w:t>74,684</w:t>
            </w:r>
          </w:p>
        </w:tc>
        <w:tc>
          <w:tcPr>
            <w:tcW w:w="520" w:type="dxa"/>
            <w:vAlign w:val="bottom"/>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2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47 %</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20" w:type="dxa"/>
            <w:vAlign w:val="bottom"/>
            <w:gridSpan w:val="4"/>
          </w:tcPr>
          <w:p>
            <w:pPr>
              <w:spacing w:after="0" w:line="175" w:lineRule="exact"/>
              <w:rPr>
                <w:sz w:val="20"/>
                <w:szCs w:val="20"/>
                <w:color w:val="auto"/>
              </w:rPr>
            </w:pPr>
            <w:r>
              <w:rPr>
                <w:rFonts w:ascii="Arial" w:cs="Arial" w:eastAsia="Arial" w:hAnsi="Arial"/>
                <w:sz w:val="16"/>
                <w:szCs w:val="16"/>
                <w:color w:val="auto"/>
              </w:rPr>
              <w:t>Twilio Data &amp; Applications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2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122,695</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101,460</w:t>
            </w:r>
          </w:p>
        </w:tc>
        <w:tc>
          <w:tcPr>
            <w:tcW w:w="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21,235</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gridSpan w:val="4"/>
          </w:tcPr>
          <w:p>
            <w:pPr>
              <w:ind w:left="220"/>
              <w:spacing w:after="0"/>
              <w:rPr>
                <w:sz w:val="20"/>
                <w:szCs w:val="20"/>
                <w:color w:val="auto"/>
              </w:rPr>
            </w:pPr>
            <w:r>
              <w:rPr>
                <w:rFonts w:ascii="Arial" w:cs="Arial" w:eastAsia="Arial" w:hAnsi="Arial"/>
                <w:sz w:val="16"/>
                <w:szCs w:val="16"/>
                <w:color w:val="auto"/>
              </w:rPr>
              <w:t>Gross margin</w:t>
            </w: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67 %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69 %</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w w:val="92"/>
              </w:rPr>
              <w:t>Consolidated total</w:t>
            </w:r>
          </w:p>
        </w:tc>
        <w:tc>
          <w:tcPr>
            <w:tcW w:w="1120" w:type="dxa"/>
            <w:vAlign w:val="bottom"/>
            <w:tcBorders>
              <w:bottom w:val="single" w:sz="8" w:color="CCEEFF"/>
            </w:tcBorders>
            <w:gridSpan w:val="3"/>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gridSpan w:val="4"/>
          </w:tcPr>
          <w:p>
            <w:pPr>
              <w:ind w:left="220"/>
              <w:spacing w:after="0"/>
              <w:rPr>
                <w:sz w:val="20"/>
                <w:szCs w:val="20"/>
                <w:color w:val="auto"/>
              </w:rPr>
            </w:pPr>
            <w:r>
              <w:rPr>
                <w:rFonts w:ascii="Arial" w:cs="Arial" w:eastAsia="Arial" w:hAnsi="Arial"/>
                <w:sz w:val="16"/>
                <w:szCs w:val="16"/>
                <w:color w:val="auto"/>
              </w:rPr>
              <w:t>Cost of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1,565,231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1,469,312</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01"/>
              <w:spacing w:after="0"/>
              <w:rPr>
                <w:sz w:val="20"/>
                <w:szCs w:val="20"/>
                <w:color w:val="auto"/>
              </w:rPr>
            </w:pPr>
            <w:r>
              <w:rPr>
                <w:rFonts w:ascii="Arial" w:cs="Arial" w:eastAsia="Arial" w:hAnsi="Arial"/>
                <w:sz w:val="16"/>
                <w:szCs w:val="16"/>
                <w:color w:val="auto"/>
              </w:rPr>
              <w:t>95,919</w:t>
            </w:r>
          </w:p>
        </w:tc>
        <w:tc>
          <w:tcPr>
            <w:tcW w:w="520" w:type="dxa"/>
            <w:vAlign w:val="bottom"/>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2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49 %</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the nine months ended September 30, 2023, Communications cost of revenue increased by $74.7 million, or 5%, compared to the same period last year. This increase was primarily attributable to a $62.3 million increase in network service providers’ costs, net of the impact of hedging instruments, which support the growth in usage of our products driven by the growth of Communications Active Customer Accounts and the increased usage of our products by our existing customers.</w:t>
      </w:r>
    </w:p>
    <w:p>
      <w:pPr>
        <w:spacing w:after="0" w:line="187"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In the nine months ended September 30, 2023, Data &amp; Applications cost of revenue increased by $21.2 million, or 21%, compared to the same period last year. The increase was primarily driven by an $8.1 million increase in hosting fees, a $5.4 million increase in support and professional service fees, and a $4.9 million increase in amortization of capitalized internal-use software development costs.</w:t>
      </w:r>
    </w:p>
    <w:p>
      <w:pPr>
        <w:spacing w:after="0" w:line="184"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the nine months ended September 30, 2023, Communications gross margin percentage increased compared to the same period last year. This increase was primarily driven by a 170 basis point increase due to the network service providers’ costs increasing at a lower rate relative to revenue, net of the impact of hedging instruments. This is due to a higher proportion of revenue being derived from the United States, where margins are higher. The increase was also partially driven by a 30 basis point increase due to the divestiture of our ValueFirst and IoT businesses during the first half of 2023, which historically had lower gross margins than Communications as a whole.</w:t>
      </w:r>
    </w:p>
    <w:p>
      <w:pPr>
        <w:spacing w:after="0" w:line="188" w:lineRule="exact"/>
        <w:rPr>
          <w:sz w:val="20"/>
          <w:szCs w:val="20"/>
          <w:color w:val="auto"/>
        </w:rPr>
      </w:pPr>
    </w:p>
    <w:p>
      <w:pPr>
        <w:jc w:val="both"/>
        <w:ind w:right="40" w:firstLine="486"/>
        <w:spacing w:after="0" w:line="279" w:lineRule="auto"/>
        <w:rPr>
          <w:sz w:val="20"/>
          <w:szCs w:val="20"/>
          <w:color w:val="auto"/>
        </w:rPr>
      </w:pPr>
      <w:r>
        <w:rPr>
          <w:rFonts w:ascii="Arial" w:cs="Arial" w:eastAsia="Arial" w:hAnsi="Arial"/>
          <w:sz w:val="17"/>
          <w:szCs w:val="17"/>
          <w:color w:val="auto"/>
        </w:rPr>
        <w:t>In the nine months ended September 30, 2023, Data &amp; Applications gross margin percentage decreased compared to the same period last year. This decrease was primarily driven by a 220 basis point decrease due to an increase in hosting fees, a 140 basis point decrease due to an increase in support and professional service fees, and a 130 basis point decrease due to an increase in amortization of capitalized internal-use software development costs, partially offset by a 13% increase in total revenue, as discussed in the Revenue section above.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160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3"/>
          </w:tcPr>
          <w:p>
            <w:pPr>
              <w:jc w:val="right"/>
              <w:ind w:right="59"/>
              <w:spacing w:after="0"/>
              <w:rPr>
                <w:sz w:val="20"/>
                <w:szCs w:val="20"/>
                <w:color w:val="auto"/>
              </w:rPr>
            </w:pPr>
            <w:r>
              <w:rPr>
                <w:rFonts w:ascii="Arial" w:cs="Arial" w:eastAsia="Arial" w:hAnsi="Arial"/>
                <w:sz w:val="14"/>
                <w:szCs w:val="14"/>
                <w:color w:val="auto"/>
              </w:rPr>
              <w:t>(Dollars in thousands)</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804,987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(97,842)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784,383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951,697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(167,314)</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392,319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(30,828)</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140,281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72,451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67,830</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34,278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97,722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(63,444)</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2"/>
        </w:trPr>
        <w:tc>
          <w:tcPr>
            <w:tcW w:w="3160" w:type="dxa"/>
            <w:vAlign w:val="bottom"/>
          </w:tcPr>
          <w:p>
            <w:pPr>
              <w:ind w:left="2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2,027,578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2,319,176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(291,598)</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In the nine months ended September 30, 2023, research and development expenses decreased by $97.8 million, or 12%, compared to the same period last year. The decrease was primarily attributable to a $99.5 million decrease in total personnel costs compared to the prior period, which was primarily attributable to the restructuring of our workforce in September 2022 and February 2023, which contributed to a 10% decrease in average research and development headcount during the period, and to the sunsetting of our employee sabbatical program in the three months ended March 31, 2023.</w:t>
      </w:r>
    </w:p>
    <w:p>
      <w:pPr>
        <w:spacing w:after="0" w:line="157"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In the nine months ended September 30, 2023, sales and marketing expenses decreased by $167.3 million, or 18%, compared to the same period last year. The decrease was primarily attributable a $142.6 million decrease in total personnel costs compared to the prior period, which was primarily attributable to the restructuring of our workforce in September 2022 and February 2023, which contributed to a 19% decrease in average sales and marketing headcount during the period, and to the sunsetting of our employee sabbatical program in the three months ended March 31, 2023. The lower sales and marketing expenses were also partially due to a $17.4 million decrease in advertising expenses.</w:t>
      </w:r>
    </w:p>
    <w:p>
      <w:pPr>
        <w:spacing w:after="0" w:line="17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the nine months ended September 30, 2023, general and administrative expenses decreased by $30.8 million, or 8%, compared to the same period last year. The decrease was primarily attributable to a $59.4 million decrease in total personnel costs compared to the prior period, which was primarily attributable to the restructuring of our workforce in September 2022 and February 2023, which contributed to a 27% decrease in average general and administrative headcount during the period, and to the sunsetting of our employee sabbatical program in the three months ended March 31, 2023. This decrease was partially offset by a $32.3 million loss on divestiture related to the sale of our ValueFirst business and our IoT assets and liabilities. For further detail on the divestitures, refer to Note 5 to our unaudited condensed consolidated financial statements included elsewhere in this Quarterly Report on Form 10-Q.</w:t>
      </w:r>
    </w:p>
    <w:p>
      <w:pPr>
        <w:spacing w:after="0" w:line="19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the nine months ended September 30, 2023, restructuring costs increased by $67.8 million, or 94%, as compared to the same period last year. The increase was primarily a result of our February 2023 Plan, which had a more substantial impact than our September 2022 restructuring plan in the comparable period. For further detail refer to Note 7 to our unaudited condensed consolidated financial statements included elsewhere in this Quarterly Report on Form 10-Q.</w:t>
      </w:r>
    </w:p>
    <w:p>
      <w:pPr>
        <w:spacing w:after="0" w:line="187" w:lineRule="exact"/>
        <w:rPr>
          <w:sz w:val="20"/>
          <w:szCs w:val="20"/>
          <w:color w:val="auto"/>
        </w:rPr>
      </w:pPr>
    </w:p>
    <w:p>
      <w:pPr>
        <w:jc w:val="both"/>
        <w:ind w:right="60" w:firstLine="486"/>
        <w:spacing w:after="0" w:line="311" w:lineRule="auto"/>
        <w:rPr>
          <w:sz w:val="20"/>
          <w:szCs w:val="20"/>
          <w:color w:val="auto"/>
        </w:rPr>
      </w:pPr>
      <w:r>
        <w:rPr>
          <w:rFonts w:ascii="Arial" w:cs="Arial" w:eastAsia="Arial" w:hAnsi="Arial"/>
          <w:sz w:val="16"/>
          <w:szCs w:val="16"/>
          <w:color w:val="auto"/>
        </w:rPr>
        <w:t>In the nine months ended September 30, 2023, impairment of long-lived assets decreased by $63.4 million, or 65%, as compared to the same period last year. The decrease was primarily driven by a larger number of office closures that occurred in 2022 when our remote-first policy was initially enacted. For further detail refer to Note 6 to our unaudited condensed consolidated financial statements included elsewhere in this Quarterly Report on Form 10-Q.</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net</w:t>
      </w:r>
    </w:p>
    <w:p>
      <w:pPr>
        <w:spacing w:after="0" w:line="25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3"/>
          </w:tcPr>
          <w:p>
            <w:pPr>
              <w:jc w:val="right"/>
              <w:ind w:right="104"/>
              <w:spacing w:after="0"/>
              <w:rPr>
                <w:sz w:val="20"/>
                <w:szCs w:val="20"/>
                <w:color w:val="auto"/>
              </w:rPr>
            </w:pPr>
            <w:r>
              <w:rPr>
                <w:rFonts w:ascii="Arial" w:cs="Arial" w:eastAsia="Arial" w:hAnsi="Arial"/>
                <w:sz w:val="14"/>
                <w:szCs w:val="14"/>
                <w:color w:val="auto"/>
              </w:rPr>
              <w:t>(Dollars in thousands)</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of losses from equity method investment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93,838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center"/>
              <w:ind w:left="81"/>
              <w:spacing w:after="0"/>
              <w:rPr>
                <w:sz w:val="20"/>
                <w:szCs w:val="20"/>
                <w:color w:val="auto"/>
              </w:rPr>
            </w:pPr>
            <w:r>
              <w:rPr>
                <w:rFonts w:ascii="Arial" w:cs="Arial" w:eastAsia="Arial" w:hAnsi="Arial"/>
                <w:sz w:val="16"/>
                <w:szCs w:val="16"/>
                <w:color w:val="auto"/>
                <w:w w:val="89"/>
              </w:rPr>
              <w:t>80,462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602 %</w:t>
            </w:r>
          </w:p>
        </w:tc>
        <w:tc>
          <w:tcPr>
            <w:tcW w:w="0" w:type="dxa"/>
            <w:vAlign w:val="bottom"/>
          </w:tcPr>
          <w:p>
            <w:pPr>
              <w:spacing w:after="0"/>
              <w:rPr>
                <w:sz w:val="1"/>
                <w:szCs w:val="1"/>
                <w:color w:val="auto"/>
              </w:rPr>
            </w:pPr>
          </w:p>
        </w:tc>
      </w:tr>
      <w:tr>
        <w:trPr>
          <w:trHeight w:val="213"/>
        </w:trPr>
        <w:tc>
          <w:tcPr>
            <w:tcW w:w="3760" w:type="dxa"/>
            <w:vAlign w:val="bottom"/>
          </w:tcPr>
          <w:p>
            <w:pPr>
              <w:ind w:left="20"/>
              <w:spacing w:after="0"/>
              <w:rPr>
                <w:sz w:val="20"/>
                <w:szCs w:val="20"/>
                <w:color w:val="auto"/>
              </w:rPr>
            </w:pPr>
            <w:r>
              <w:rPr>
                <w:rFonts w:ascii="Arial" w:cs="Arial" w:eastAsia="Arial" w:hAnsi="Arial"/>
                <w:sz w:val="16"/>
                <w:szCs w:val="16"/>
                <w:color w:val="auto"/>
              </w:rPr>
              <w:t>Impairment of strategic investments</w:t>
            </w:r>
          </w:p>
        </w:tc>
        <w:tc>
          <w:tcPr>
            <w:tcW w:w="30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46,154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tcPr>
          <w:p>
            <w:pPr>
              <w:jc w:val="center"/>
              <w:ind w:left="81"/>
              <w:spacing w:after="0"/>
              <w:rPr>
                <w:sz w:val="20"/>
                <w:szCs w:val="20"/>
                <w:color w:val="auto"/>
              </w:rPr>
            </w:pPr>
            <w:r>
              <w:rPr>
                <w:rFonts w:ascii="Arial" w:cs="Arial" w:eastAsia="Arial" w:hAnsi="Arial"/>
                <w:sz w:val="16"/>
                <w:szCs w:val="16"/>
                <w:color w:val="auto"/>
                <w:w w:val="89"/>
              </w:rPr>
              <w:t>46,154</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expenses, net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23,290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center"/>
              <w:ind w:left="81"/>
              <w:spacing w:after="0"/>
              <w:rPr>
                <w:sz w:val="20"/>
                <w:szCs w:val="20"/>
                <w:color w:val="auto"/>
              </w:rPr>
            </w:pPr>
            <w:r>
              <w:rPr>
                <w:rFonts w:ascii="Arial" w:cs="Arial" w:eastAsia="Arial" w:hAnsi="Arial"/>
                <w:sz w:val="16"/>
                <w:szCs w:val="16"/>
                <w:color w:val="auto"/>
                <w:w w:val="93"/>
              </w:rPr>
              <w:t>(41,021)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Total other expenses, net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122,261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center"/>
              <w:ind w:left="81"/>
              <w:spacing w:after="0"/>
              <w:rPr>
                <w:sz w:val="20"/>
                <w:szCs w:val="20"/>
                <w:color w:val="auto"/>
              </w:rPr>
            </w:pPr>
            <w:r>
              <w:rPr>
                <w:rFonts w:ascii="Arial" w:cs="Arial" w:eastAsia="Arial" w:hAnsi="Arial"/>
                <w:sz w:val="16"/>
                <w:szCs w:val="16"/>
                <w:color w:val="auto"/>
                <w:w w:val="89"/>
              </w:rPr>
              <w:t>85,595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233 %</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In the nine months ended September 30, 2023, other expenses, net increased by $85.6 million, or 233%, compared to the same period last year. The increase is primarily related to an increase of $80.5 million in our share of losses from our equity method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following table presents the results for non-GAAP gross profit for each of our Communications and Data &amp; Applications segments for the nine months ended September 30, 2023:</w:t>
      </w:r>
    </w:p>
    <w:p>
      <w:pPr>
        <w:spacing w:after="0" w:line="202" w:lineRule="exact"/>
        <w:rPr>
          <w:sz w:val="20"/>
          <w:szCs w:val="20"/>
          <w:color w:val="auto"/>
        </w:rPr>
      </w:pPr>
    </w:p>
    <w:tbl>
      <w:tblPr>
        <w:tblLayout w:type="fixed"/>
        <w:tblInd w:w="150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3"/>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6"/>
        </w:trPr>
        <w:tc>
          <w:tcPr>
            <w:tcW w:w="3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18"/>
                <w:szCs w:val="18"/>
                <w:color w:val="auto"/>
              </w:rPr>
            </w:pPr>
          </w:p>
        </w:tc>
      </w:tr>
      <w:tr>
        <w:trPr>
          <w:trHeight w:val="190"/>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right"/>
              <w:ind w:right="4"/>
              <w:spacing w:after="0"/>
              <w:rPr>
                <w:sz w:val="20"/>
                <w:szCs w:val="20"/>
                <w:color w:val="auto"/>
              </w:rPr>
            </w:pPr>
            <w:r>
              <w:rPr>
                <w:rFonts w:ascii="Arial" w:cs="Arial" w:eastAsia="Arial" w:hAnsi="Arial"/>
                <w:sz w:val="14"/>
                <w:szCs w:val="14"/>
                <w:color w:val="auto"/>
              </w:rPr>
              <w:t>(Dollars in thousands)</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6"/>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Twilio Communications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1,316,541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1,160,683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155,858</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27"/>
        </w:trPr>
        <w:tc>
          <w:tcPr>
            <w:tcW w:w="3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Twilio Data &amp; Applications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304,074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279,441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24,633</w:t>
            </w:r>
          </w:p>
        </w:tc>
        <w:tc>
          <w:tcPr>
            <w:tcW w:w="3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9 %</w:t>
            </w:r>
          </w:p>
        </w:tc>
      </w:tr>
      <w:tr>
        <w:trPr>
          <w:trHeight w:val="251"/>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Consolidated total non-GAAP gross profit</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1,620,615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1,440,124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180,491</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In the nine months ended September 30, 2023, Communications non-GAAP gross profit increased by $155.9 million, or 13%, compared to the same period last year. The increase in Communications non-GAAP gross profit was primarily driven by the same factors impacting Communications revenue and cost of revenue in the nine months ending September 30, 2023, as described above, adjusted for a $2.2 million net decrease, in aggregate, in stock-based compensation, payroll taxes related to stock-based compensation and amortization of acquired intangibles.</w:t>
      </w:r>
    </w:p>
    <w:p>
      <w:pPr>
        <w:spacing w:after="0" w:line="171"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In the nine months ended September 30, 2023, Data &amp; Applications non-GAAP gross profit increased by $24.6 million, or 9%, compared to the same period last year. The increase in Data &amp; Applications non-GAAP gross profit was primarily driven by the same factors impacting Data &amp; Applications revenue and cost of revenue in the nine months ending September 30, 2023, as described above, adjusted for a $2.3 million net increase, in aggregate, in stock-based compensation, payroll taxes related to stock-based compensation and amortization of acquired intangibles.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As of September 30, 2023, we had cash and cash equivalents of $677.9 million and short-term marketable securities of $3.2 billion. In any given period, cash and cash equivalents may consist of money market funds, reverse repurchase agreements and commercial paper. Short-term marketable securities consist primarily of U.S. treasury securities, non-U.S. government securities, high credit quality corporate debt securities and commercial paper. The cash and cash equivalents and short-term marketable securities are held for working capital purposes.</w:t>
      </w:r>
    </w:p>
    <w:p>
      <w:pPr>
        <w:spacing w:after="0" w:line="171"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Our principal sources of liquidity have been (i) the net proceeds of $979.0 million, $1.4 billion and $1.8 billion, net of underwriting discounts and offering expenses paid by us, from our public equity offerings in June 2019, August 2020 and February 2021, respectively; (ii) the aggregate net proceeds of approximately $984.7 million, after deducting purchaser discounts and debt issuance costs paid by us, from the issuance of our 2029 Notes and 2031 Notes in March 2021 (each, as defined below); (iii) the net proceeds of $228.4 million, after deducting transaction costs paid by us, from settlement of our capped call arrangements in June 2021; and (iv) the payments received from customers using our products.</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primary uses of cash include operating costs, such as personnel-related costs, network service provider costs, cloud infrastructure costs, facility-related spending, as well as, from time to time, acquisitions, investments and share repurchases. Our principal contractual and other commitments consist of obligations under our 2029 Notes and 2031 Notes, our operating leases for office space that we occupy, sublease or hold to sublease, and contractual commitments to our cloud infrastructure and network service providers. Refer to Note 12 and Note 14(a) to our unaudited condensed consolidated financial statements included elsewhere in this Quarterly Report on Form 10-Q for discussions of our obligations and commitments related to leases, debt and other purchase obligations.</w:t>
      </w:r>
    </w:p>
    <w:p>
      <w:pPr>
        <w:spacing w:after="0" w:line="19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We may, from time to time, consider acquisitions of, or investments in, complementary businesses, products, services, capital infrastructure or technologies which might affect our liquidity requirements, cause us to secure additional financing or issue additional equity or debt securities. There can be no assurance that additional credit lines or financing instruments will be available in amounts or on terms acceptable to us, if at all.</w:t>
      </w:r>
    </w:p>
    <w:p>
      <w:pPr>
        <w:spacing w:after="0" w:line="165" w:lineRule="exact"/>
        <w:rPr>
          <w:sz w:val="20"/>
          <w:szCs w:val="20"/>
          <w:color w:val="auto"/>
        </w:rPr>
      </w:pPr>
    </w:p>
    <w:p>
      <w:pPr>
        <w:ind w:right="480" w:firstLine="486"/>
        <w:spacing w:after="0" w:line="291" w:lineRule="auto"/>
        <w:rPr>
          <w:sz w:val="20"/>
          <w:szCs w:val="20"/>
          <w:color w:val="auto"/>
        </w:rPr>
      </w:pPr>
      <w:r>
        <w:rPr>
          <w:rFonts w:ascii="Arial" w:cs="Arial" w:eastAsia="Arial" w:hAnsi="Arial"/>
          <w:sz w:val="16"/>
          <w:szCs w:val="16"/>
          <w:color w:val="auto"/>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w:t>
      </w:r>
    </w:p>
    <w:p>
      <w:pPr>
        <w:ind w:right="60"/>
        <w:spacing w:after="0" w:line="288" w:lineRule="auto"/>
        <w:rPr>
          <w:sz w:val="20"/>
          <w:szCs w:val="20"/>
          <w:color w:val="auto"/>
        </w:rPr>
      </w:pPr>
      <w:r>
        <w:rPr>
          <w:rFonts w:ascii="Arial" w:cs="Arial" w:eastAsia="Arial" w:hAnsi="Arial"/>
          <w:sz w:val="16"/>
          <w:szCs w:val="16"/>
          <w:color w:val="auto"/>
        </w:rPr>
        <w:t>12 months and beyond. However, our belief may prove to be incorrect, and we could utilize our available financial resources sooner than we currently expect. Our future capital requirements and the adequacy of available funds will depend on many factors, including those set forth in Part II, Item 1A,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Additionally, cash from operations could also be affected by various risks and uncertainties in connection with the impact of an economic downturn or recession, significant market volatility in the global economy, timing and ability to collect payments from our customers and other risks detailed in Part II, Item 1A, “Risk Factors.”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In February 2023, our Board of Directors authorized a share repurchase program pursuant to which we may repurchase up to $1.0 billion in aggregate value of our Class A common stock. Repurchases under the program will be made through open market, private transactions or other means in compliance with applicable federal securities laws, and could include repurchases pursuant to Rule 10b5-1 trading plans. We have discretion in determining the conditions under which shares may be repurchased from time to time. The program expires on December 31, 2024.</w:t>
      </w:r>
    </w:p>
    <w:p>
      <w:pPr>
        <w:spacing w:after="0" w:line="17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In the three and nine months ended September 30, 2023, we purchased $56.0 million in aggregate value, or 0.9 million shares, and $551.0 million in aggregate value, or 9.2 million shares, respectively, of our Class A common stock on the open market under this program. As of September 30, 2023, approximately $449.0 million of the originally authorized amount remains available for future repurchases.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2029 Notes and 2031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March 2021, we issued and sold $1.0 billion aggregate principal amount of senior notes, consisting of $500.0 million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3.625% notes due 2029 (the “2029 Notes”) and $500.0 million principal amount of 3.875% notes due 2031 (the “2031 Notes,” and together with the 2029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Notes, the “Notes”). The Notes are described in detail in Note 13 to our Annual Report on Form 10-K filed with the SEC on February 27, 2023.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w:t>
      </w:r>
    </w:p>
    <w:p>
      <w:pPr>
        <w:spacing w:after="0" w:line="257"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50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7"/>
                <w:szCs w:val="17"/>
                <w:color w:val="auto"/>
              </w:rPr>
            </w:pPr>
          </w:p>
        </w:tc>
      </w:tr>
      <w:tr>
        <w:trPr>
          <w:trHeight w:val="26"/>
        </w:trPr>
        <w:tc>
          <w:tcPr>
            <w:tcW w:w="6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9"/>
        </w:trPr>
        <w:tc>
          <w:tcPr>
            <w:tcW w:w="6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2022</w:t>
            </w:r>
          </w:p>
        </w:tc>
      </w:tr>
      <w:tr>
        <w:trPr>
          <w:trHeight w:val="182"/>
        </w:trPr>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720" w:type="dxa"/>
            <w:vAlign w:val="bottom"/>
          </w:tcPr>
          <w:p>
            <w:pPr>
              <w:spacing w:after="0"/>
              <w:rPr>
                <w:sz w:val="15"/>
                <w:szCs w:val="15"/>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operating activities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192,207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(195,913)</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Cash provided by (used in) investing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365,745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(682,153)</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(536,221)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33,252</w:t>
            </w:r>
          </w:p>
        </w:tc>
      </w:tr>
      <w:tr>
        <w:trPr>
          <w:trHeight w:val="21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r>
      <w:tr>
        <w:trPr>
          <w:trHeight w:val="237"/>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(844,668)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In the nine months ended September 30, 2023, cash provided by operating activities consisted primarily of our net loss of $650.0 million adjusted for non-cash items, including $509.4 million of stock-based compensation expense which included the impact of our February 2023 Plan, $219.0 million of depreciation and amortization expense, $93.8 million of our share of losses from an equity method investment, $54.4 million of amortization of deferred commissions, $46.2 million of impairment of an investment that we acquired in 2021, $34.3 million of impairment of operating lease assets and other long-lived assets, $32.3 million loss on net assets divested, $21.8 million of non-cash reduction in our operating right-of-use asset, and $240.3 million of cumulative changes in operating assets and liabilities. With respect to changes in operating assets and liabilities, accounts receivable and prepaid expenses increased $125.6 million primarily due to revenue growth, timing of cash receipts and prepayments and certain operating expenses. Accounts payable and other current liabilities decreased $62.3 million primarily driven by a $22.3 million decrease in the sabbatical benefit accrual as a result of lower headcount and sunsetting of the program, and a decrease in personnel-related accruals due to lower headcount. Operating lease liabilities decreased $41.4 million due to payments made against our operating lease obligations. Other long-term assets increased $15.4 million primarily due to an increase in the sales commissions balances related to the growth of our business. The loss on net assets divested, the impairment of operating lease assets and other long lived assets, and the details of the February 2023 Plan are described further in Note 5, Note 6, and Note 7, respectively, to our unaudited condensed consolidated financial statements included elsewhere in this Quarterly Report on Form 10-Q.</w:t>
      </w:r>
    </w:p>
    <w:p>
      <w:pPr>
        <w:spacing w:after="0" w:line="174"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In the nine months ended September 30, 2022, cash used in operating activities consisted primarily of our net loss of $1.0 billion adjusted for non-cash items, including $606.3 million of stock-based compensation expense, $207.9 million of depreciation and amortization expense, $100.7 million of impairment of operating lease assets and other long-lived assets, $38.7 million of non-cash reduction in our operating right-of-use asset, $41.3 million of amortization of deferred commissions, $27.9 million of net amortization of investment premium and discount, and $235.8 million of cumulative changes in operating assets and liabilities. With respect to changes in operating assets and liabilities, accounts receivable and prepaid expenses increased $202.4 million primarily due to revenue growth, timing of cash receipts and pre-payments of our cloud infrastructure fees and certain operating expenses. Accounts payable and other current liabilities increased $134.0 million primarily due to increases in transaction volumes, the impacts from our September 2022 restructuring plan and the sabbatical employee benefit, which was introduced during 2022. Operating lease liabilities decreased $42.2 million due to payments made against our operating lease obligations. Other long-term assets increased $111.7 million primarily due to an increase in the sales commissions balances related to the growth of our business.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the nine months ended September 30, 2023, cash provided by investing activities was $365.7 million primarily consisting of $372.9 million of proceeds from sales and maturities of marketable securities, net of purchases of marketable securities and other investments, and $38.2 million of proceeds from divestitures, net of cash divested, partially offset by $30.5 million related to capitalized software development costs and $9.0 million related to purchases of long-lived assets.</w:t>
      </w:r>
    </w:p>
    <w:p>
      <w:pPr>
        <w:spacing w:after="0" w:line="187" w:lineRule="exact"/>
        <w:rPr>
          <w:sz w:val="20"/>
          <w:szCs w:val="20"/>
          <w:color w:val="auto"/>
        </w:rPr>
      </w:pPr>
    </w:p>
    <w:p>
      <w:pPr>
        <w:ind w:right="440" w:firstLine="486"/>
        <w:spacing w:after="0" w:line="286" w:lineRule="auto"/>
        <w:rPr>
          <w:sz w:val="20"/>
          <w:szCs w:val="20"/>
          <w:color w:val="auto"/>
        </w:rPr>
      </w:pPr>
      <w:r>
        <w:rPr>
          <w:rFonts w:ascii="Arial" w:cs="Arial" w:eastAsia="Arial" w:hAnsi="Arial"/>
          <w:sz w:val="17"/>
          <w:szCs w:val="17"/>
          <w:color w:val="auto"/>
        </w:rPr>
        <w:t>In the nine months ended September 30, 2022, cash used in investing activities was $682.2 million primarily consisting of $584.8 million of purchases of marketable securities and other investments, net of maturities and sales, $32.9 million of net cash paid to acquire other businesses, $35.9 million related to capitalized software development costs and $28.6 million related to purchases of long-lived assets.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the nine months ended September 30, 2023, cash used in financing activities was $536.2 million primarily consisting of $548.9 million of cash paid to repurchase 9.2 million shares of our Class A common stock in the open market, including related costs, and $13.8 million in principal payments on debt and finance leases, offset by $28.9 million in proceeds from stock options exercised by our employees and shares issued under our employee stock purchase plan.</w:t>
      </w:r>
    </w:p>
    <w:p>
      <w:pPr>
        <w:spacing w:after="0" w:line="187"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color w:val="auto"/>
        </w:rPr>
        <w:t>In the nine months ended September 30, 2022, cash provided by financing activities was $33.3 million primarily consisting of $43.8 million in proceeds from stock options exercised by our employees and shares issued under our employee stock purchase plan, offset by $9.4 million in principal payments on debt and finance leases.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changes to our critical accounting policies as described in our Annual Report on Form 10-K filed with the SEC on February 27,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29"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Refer to Note 2 to the unaudited condensed consolidated financial statements included elsewhere in this Quarterly Report on Form 10-Q for a discussion of recent accounting pronouncements not yet adopted.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Our filings are available to be viewed and downloaded free of charge through our investor relations website after we file them with the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 website that contains periodic and current reports, proxy statements and other information about issuers, like us, that file electronically with the SEC. The address of that website is www.sec.gov.</w:t>
      </w:r>
    </w:p>
    <w:p>
      <w:pPr>
        <w:spacing w:after="0" w:line="188" w:lineRule="exact"/>
        <w:rPr>
          <w:sz w:val="20"/>
          <w:szCs w:val="20"/>
          <w:color w:val="auto"/>
        </w:rPr>
      </w:pPr>
    </w:p>
    <w:p>
      <w:pPr>
        <w:ind w:right="220" w:firstLine="486"/>
        <w:spacing w:after="0" w:line="273" w:lineRule="auto"/>
        <w:rPr>
          <w:sz w:val="20"/>
          <w:szCs w:val="20"/>
          <w:color w:val="auto"/>
        </w:rPr>
      </w:pPr>
      <w:r>
        <w:rPr>
          <w:rFonts w:ascii="Arial" w:cs="Arial" w:eastAsia="Arial" w:hAnsi="Arial"/>
          <w:sz w:val="17"/>
          <w:szCs w:val="17"/>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Quarterly Report on Form 10-Q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exposed to certain market risks in the ordinary course of our business, including sensitivities as follows: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60" w:firstLine="486"/>
        <w:spacing w:after="0" w:line="217" w:lineRule="exact"/>
        <w:rPr>
          <w:sz w:val="20"/>
          <w:szCs w:val="20"/>
          <w:color w:val="auto"/>
        </w:rPr>
      </w:pPr>
      <w:r>
        <w:rPr>
          <w:rFonts w:ascii="Arial" w:cs="Arial" w:eastAsia="Arial" w:hAnsi="Arial"/>
          <w:sz w:val="17"/>
          <w:szCs w:val="17"/>
          <w:color w:val="auto"/>
        </w:rPr>
        <w:t>We had cash and cash equivalents of $677.9 million and marketable securities of $3.2 billion as of September 30, 2023. In any given period, cash and cash equivalents may consist of bank deposits, money market funds, reverse repurchase agreements and commercial paper. Marketable securities consist primarily of U.S. treasury securities, non-U.S. government securities and high credit quality corporate debt securities. The cash and cash equivalents and marketable securities are held for working capital purposes. Such interest</w:t>
      </w:r>
      <w:r>
        <w:rPr>
          <w:rFonts w:ascii="MS PGothic" w:cs="MS PGothic" w:eastAsia="MS PGothic" w:hAnsi="MS PGothic"/>
          <w:sz w:val="17"/>
          <w:szCs w:val="17"/>
          <w:color w:val="auto"/>
        </w:rPr>
        <w:t>‑</w:t>
      </w:r>
      <w:r>
        <w:rPr>
          <w:rFonts w:ascii="Arial" w:cs="Arial" w:eastAsia="Arial" w:hAnsi="Arial"/>
          <w:sz w:val="17"/>
          <w:szCs w:val="17"/>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 included elsewhere in this Quarterly Report on Form 10-Q.</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Exchange Risks</w:t>
      </w:r>
    </w:p>
    <w:p>
      <w:pPr>
        <w:spacing w:after="0" w:line="225"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The functional currency of most of our foreign subsidiaries is the U.S. dollar. The local currencies of our foreign subsidiaries are the Australian dollar, the Bermuda dollar, the Brazilian real, the British pound, the Canadian dollar, the Colombian peso, the Czech Republic koruna, the Euro, the Hong Kong dollar, the Indian rupee, the Japanese yen, the Mexican peso, the Polish zloty, the Serbian dinar, the Singapore dollar and the Swedish krona.</w:t>
      </w:r>
    </w:p>
    <w:p>
      <w:pPr>
        <w:spacing w:after="0" w:line="149"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consolidated statements of operations included elsewhere in this Quarterly Report on Form 10-Q.</w:t>
      </w:r>
    </w:p>
    <w:p>
      <w:pPr>
        <w:spacing w:after="0" w:line="157"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We enter into foreign currency derivative hedging transactions to mitigate our exposure to market risks that may result from changes in foreign currency exchange rates. For further information, refer to Note 9 to our unaudited condensed consolidated financial statements included elsewhere in this Quarterly Report on Form 10-Q.</w:t>
      </w:r>
    </w:p>
    <w:p>
      <w:pPr>
        <w:spacing w:after="0" w:line="184"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 hypothetical 10% change in foreign exchange rates during any of the periods presented would not have had a material impact on our unaudited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880" w:hanging="386"/>
        <w:spacing w:after="0"/>
        <w:tabs>
          <w:tab w:leader="none" w:pos="8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spacing w:after="0" w:line="184"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September 30, 2023,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tabs>
          <w:tab w:leader="none" w:pos="8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Changes in Internal Control</w:t>
      </w:r>
    </w:p>
    <w:p>
      <w:pPr>
        <w:spacing w:after="0" w:line="229"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There were no changes in our internal control over financial reporting in connection with the evaluation required by Rule 13a-15(d) and 15d-15(d) of the Exchange Act that occurred during the three months ended September 30, 2023, that materially affected, or are reasonably likely to materially affect, our internal control over financial reporting.</w:t>
      </w:r>
    </w:p>
    <w:p>
      <w:pPr>
        <w:spacing w:after="0" w:line="234" w:lineRule="exact"/>
        <w:rPr>
          <w:sz w:val="20"/>
          <w:szCs w:val="20"/>
          <w:color w:val="auto"/>
        </w:rPr>
      </w:pPr>
    </w:p>
    <w:p>
      <w:pPr>
        <w:ind w:left="500"/>
        <w:spacing w:after="0"/>
        <w:tabs>
          <w:tab w:leader="none" w:pos="8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Inherent Limitations on Effectiveness of Controls</w:t>
      </w:r>
    </w:p>
    <w:p>
      <w:pPr>
        <w:spacing w:after="0" w:line="270" w:lineRule="exact"/>
        <w:rPr>
          <w:sz w:val="20"/>
          <w:szCs w:val="20"/>
          <w:color w:val="auto"/>
        </w:rPr>
      </w:pPr>
    </w:p>
    <w:p>
      <w:pPr>
        <w:ind w:right="120" w:firstLine="486"/>
        <w:spacing w:after="0" w:line="218" w:lineRule="exact"/>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6"/>
          <w:szCs w:val="16"/>
          <w:color w:val="auto"/>
        </w:rPr>
        <w:t>‑</w:t>
      </w:r>
      <w:r>
        <w:rPr>
          <w:rFonts w:ascii="Arial" w:cs="Arial" w:eastAsia="Arial" w:hAnsi="Arial"/>
          <w:sz w:val="16"/>
          <w:szCs w:val="16"/>
          <w:color w:val="auto"/>
        </w:rPr>
        <w: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Refer to Note 14(b) to our unaudited condensed consolidated financial statements included elsewhere in this Quarterly Report on Form 10-Q for a description of our current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i w:val="1"/>
          <w:iCs w:val="1"/>
          <w:color w:val="auto"/>
        </w:rPr>
        <w:t>Investing in our Class A common stock involves a high degree of risk. 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Class A common stock. The risks and uncertainties described below may not be the only ones we face. If any of the risks actually occur, our business, results of operations and financial condition could be adversely affected. In that event, the market price of our Class A common stock could decline, and you could lose part or all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Our business operations are subject to numerous risks and uncertainties, including those outside of our control, that could cause our business, results of operations, and/or financial condition to be harmed, including risks regarding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 and Industry</w:t>
      </w:r>
    </w:p>
    <w:p>
      <w:pPr>
        <w:spacing w:after="0" w:line="6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macroeconomic uncertainties;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our quarterly results and our ability to meet securities analysts’ and investors’ expectations;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effectiveness of actions taken to restructure our business in alignment with our strategic priorities;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the potential disruption caused by the reorganization of our business into business units;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our relationships with existing customers such that they increase their usage of our platform;</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new customers in a cost-effective manner and increase adoption of our products by enterprises;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the evolution of the market for our products and platform, including the continued adoption of such by developers;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our growth;</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compete effectively in an intensely competitive market;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ind w:left="660" w:hanging="328"/>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our history of losses and uncertainty about our future profitability;</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integrate and retain highly skilled personnel;</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enhance our brand and increase market awareness of our company and products;</w:t>
      </w:r>
    </w:p>
    <w:p>
      <w:pPr>
        <w:spacing w:after="0" w:line="63" w:lineRule="exact"/>
        <w:rPr>
          <w:rFonts w:ascii="Arial" w:cs="Arial" w:eastAsia="Arial" w:hAnsi="Arial"/>
          <w:sz w:val="18"/>
          <w:szCs w:val="18"/>
          <w:i w:val="1"/>
          <w:iCs w:val="1"/>
          <w:color w:val="auto"/>
        </w:rPr>
      </w:pPr>
    </w:p>
    <w:p>
      <w:pPr>
        <w:ind w:left="660" w:right="240" w:hanging="328"/>
        <w:spacing w:after="0" w:line="277" w:lineRule="auto"/>
        <w:tabs>
          <w:tab w:leader="none" w:pos="655"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and respond effectively to rapidly changing technology, evolving industry standards, changing regulations, and changing customer needs, requirements or preferences;</w:t>
      </w:r>
    </w:p>
    <w:p>
      <w:pPr>
        <w:spacing w:after="0" w:line="8" w:lineRule="exact"/>
        <w:rPr>
          <w:rFonts w:ascii="Arial" w:cs="Arial" w:eastAsia="Arial" w:hAnsi="Arial"/>
          <w:sz w:val="18"/>
          <w:szCs w:val="18"/>
          <w:i w:val="1"/>
          <w:iCs w:val="1"/>
          <w:color w:val="auto"/>
        </w:rPr>
      </w:pPr>
    </w:p>
    <w:p>
      <w:pPr>
        <w:ind w:left="660" w:hanging="328"/>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disruptions or deterioration in the quality of service and connectivity by third-party service providers;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a failure to set optimal prices for our products;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risks associated with expansion of our international operations;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our largest customers to generate a significant amount of our revenue;</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integrate and achieve the expected benefits of acquisitions, partnerships and investments;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our use of AI technologies in our platform and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Cyber Security, Data Privacy and Intellectual Property</w:t>
      </w:r>
    </w:p>
    <w:p>
      <w:pPr>
        <w:spacing w:after="0" w:line="6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any breaches of our networks or systems, or those of AWS or our service providers;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substantial reliance on AWS to operate our platform;</w:t>
      </w:r>
    </w:p>
    <w:p>
      <w:pPr>
        <w:spacing w:after="0" w:line="63" w:lineRule="exact"/>
        <w:rPr>
          <w:rFonts w:ascii="Arial" w:cs="Arial" w:eastAsia="Arial" w:hAnsi="Arial"/>
          <w:sz w:val="18"/>
          <w:szCs w:val="18"/>
          <w:i w:val="1"/>
          <w:iCs w:val="1"/>
          <w:color w:val="auto"/>
        </w:rPr>
      </w:pPr>
    </w:p>
    <w:p>
      <w:pPr>
        <w:ind w:left="660" w:right="160" w:hanging="328"/>
        <w:spacing w:after="0" w:line="277" w:lineRule="auto"/>
        <w:tabs>
          <w:tab w:leader="none" w:pos="655"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actual or perceived failure to comply with increasingly stringent laws, regulations and obligations relating to privacy, data protection and data security;</w:t>
      </w:r>
    </w:p>
    <w:p>
      <w:pPr>
        <w:spacing w:after="0" w:line="8" w:lineRule="exact"/>
        <w:rPr>
          <w:rFonts w:ascii="Arial" w:cs="Arial" w:eastAsia="Arial" w:hAnsi="Arial"/>
          <w:sz w:val="18"/>
          <w:szCs w:val="18"/>
          <w:i w:val="1"/>
          <w:iCs w:val="1"/>
          <w:color w:val="auto"/>
        </w:rPr>
      </w:pPr>
    </w:p>
    <w:p>
      <w:pPr>
        <w:ind w:left="660" w:hanging="328"/>
        <w:spacing w:after="0"/>
        <w:tabs>
          <w:tab w:leader="none" w:pos="6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protect our intellectual property rights;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use of open source software;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Legal and Regulatory Matters</w:t>
      </w:r>
    </w:p>
    <w:p>
      <w:pPr>
        <w:spacing w:after="0" w:line="6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telecommunications-related regulations, and the impact of future legislative or regulatory actions;</w:t>
      </w:r>
    </w:p>
    <w:p>
      <w:pPr>
        <w:spacing w:after="0" w:line="63"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obtain or retain geographical, mobile, regional, local or toll-free numbers and to effectively process requests to port such numbers in a timely manner due to industry regulations;</w:t>
      </w:r>
    </w:p>
    <w:p>
      <w:pPr>
        <w:spacing w:after="0" w:line="8" w:lineRule="exact"/>
        <w:rPr>
          <w:rFonts w:ascii="Arial" w:cs="Arial" w:eastAsia="Arial" w:hAnsi="Arial"/>
          <w:sz w:val="18"/>
          <w:szCs w:val="18"/>
          <w:i w:val="1"/>
          <w:iCs w:val="1"/>
          <w:color w:val="auto"/>
        </w:rPr>
      </w:pPr>
    </w:p>
    <w:p>
      <w:pPr>
        <w:ind w:left="660" w:hanging="328"/>
        <w:spacing w:after="0"/>
        <w:tabs>
          <w:tab w:leader="none" w:pos="6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federal legislation and international laws imposing obligations on the senders of commercial emails;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fraudulent usage of or activity relating to our products;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laws and regulations related to the Internet or its infrastructure;</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compliance with applicable laws and regulations, including export control, economic trade sanctions, and anti-corruption regulations;</w:t>
      </w:r>
    </w:p>
    <w:p>
      <w:pPr>
        <w:spacing w:after="0" w:line="74" w:lineRule="exact"/>
        <w:rPr>
          <w:rFonts w:ascii="Arial" w:cs="Arial" w:eastAsia="Arial" w:hAnsi="Arial"/>
          <w:sz w:val="17"/>
          <w:szCs w:val="17"/>
          <w:i w:val="1"/>
          <w:iCs w:val="1"/>
          <w:color w:val="auto"/>
        </w:rPr>
      </w:pPr>
    </w:p>
    <w:p>
      <w:pPr>
        <w:ind w:left="660" w:hanging="328"/>
        <w:spacing w:after="0"/>
        <w:tabs>
          <w:tab w:leader="none" w:pos="6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standards imposed by private entities and inbox service providers that interfere with the effectiveness of our platform;</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any legal proceedings or claims against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Financial and Accounting Matters</w:t>
      </w:r>
    </w:p>
    <w:p>
      <w:pPr>
        <w:spacing w:after="0" w:line="6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exposure to foreign currency exchange rate fluctuations;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our substantial indebtedness that may decrease our business flexibility;</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obtain additional capital to support our business and its availability on acceptable terms;</w:t>
      </w:r>
    </w:p>
    <w:p>
      <w:pPr>
        <w:spacing w:after="0" w:line="26" w:lineRule="exact"/>
        <w:rPr>
          <w:rFonts w:ascii="Arial" w:cs="Arial" w:eastAsia="Arial" w:hAnsi="Arial"/>
          <w:sz w:val="18"/>
          <w:szCs w:val="18"/>
          <w:i w:val="1"/>
          <w:iCs w:val="1"/>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i w:val="1"/>
          <w:iCs w:val="1"/>
          <w:color w:val="auto"/>
        </w:rPr>
        <w:t>changes to segment reporting as a result of the Reorganization;</w:t>
      </w:r>
    </w:p>
    <w:p>
      <w:pPr>
        <w:spacing w:after="0" w:line="3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accuracy of our estimates and judgments related to our critical accounting policies;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standards that may cause adverse financial reporting fluctuations;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maintain an effective system of disclosure controls and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Tax Matters</w:t>
      </w:r>
    </w:p>
    <w:p>
      <w:pPr>
        <w:spacing w:after="0" w:line="6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use our net operating losses and certain other tax attributes to offset future taxable income and taxes;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 tax liabilities or potentially adverse tax consequences on our global operations and structure;</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tax rules and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Ownership of Our Class A Common Stock</w:t>
      </w:r>
    </w:p>
    <w:p>
      <w:pPr>
        <w:spacing w:after="0" w:line="6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volatility of the trading price of our Class A common stock;</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decline in the market price of our Class A common stock due to substantial future sales of shares;</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the possibility that we may not realize the anticipated long-term stockholder value of our share repurchase program;</w:t>
      </w:r>
    </w:p>
    <w:p>
      <w:pPr>
        <w:spacing w:after="0" w:line="63" w:lineRule="exact"/>
        <w:rPr>
          <w:rFonts w:ascii="Arial" w:cs="Arial" w:eastAsia="Arial" w:hAnsi="Arial"/>
          <w:sz w:val="18"/>
          <w:szCs w:val="18"/>
          <w:i w:val="1"/>
          <w:iCs w:val="1"/>
          <w:color w:val="auto"/>
        </w:rPr>
      </w:pPr>
    </w:p>
    <w:p>
      <w:pPr>
        <w:ind w:left="660" w:hanging="328"/>
        <w:spacing w:after="0"/>
        <w:tabs>
          <w:tab w:leader="none" w:pos="6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securities or industry analysts changing their recommendations regarding our Class A common stock; and</w:t>
      </w:r>
    </w:p>
    <w:p>
      <w:pPr>
        <w:sectPr>
          <w:pgSz w:w="11900" w:h="16838" w:orient="portrait"/>
          <w:cols w:equalWidth="0" w:num="1">
            <w:col w:w="11060"/>
          </w:cols>
          <w:pgMar w:left="320" w:top="949" w:right="5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49" w:right="519" w:bottom="1440" w:gutter="0" w:footer="0" w:header="0"/>
          <w:type w:val="continuous"/>
        </w:sectPr>
      </w:pPr>
    </w:p>
    <w:bookmarkStart w:id="50" w:name="page51"/>
    <w:bookmarkEnd w:id="50"/>
    <w:p>
      <w:pPr>
        <w:ind w:left="660" w:hanging="328"/>
        <w:spacing w:after="0"/>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anti-takeover provisions contained in our governing documents and the exclusive forum provision in our bylaws.</w:t>
      </w:r>
    </w:p>
    <w:p>
      <w:pPr>
        <w:spacing w:after="0" w:line="221" w:lineRule="exact"/>
        <w:rPr>
          <w:rFonts w:ascii="Arial" w:cs="Arial" w:eastAsia="Arial" w:hAnsi="Arial"/>
          <w:sz w:val="18"/>
          <w:szCs w:val="18"/>
          <w:i w:val="1"/>
          <w:iCs w:val="1"/>
          <w:color w:val="auto"/>
        </w:rPr>
      </w:pPr>
    </w:p>
    <w:p>
      <w:pPr>
        <w:ind w:left="3760"/>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including macroeconomic uncertainties, may continue to adversely impact our business, results of operations and financial condition.</w:t>
      </w:r>
    </w:p>
    <w:p>
      <w:pPr>
        <w:spacing w:after="0" w:line="17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Global economic and business activities continue to face widespread macroeconomic uncertainties, including changes in the labor market and supply chain disruptions, inflation and monetary supply shifts, volatility in the banking and financial services sectors, and recession risks, which may continue for an extended period. Additionally, the instability in the geopolitical environment in many parts of the world, including from the war in Ukraine, may continue to put pressure on and lead to uncertain economic conditions. These macroeconomic conditions have resulted in, and may continue to result in, decreased business spending by our current and prospective customers and business partners, reduced demand for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have an adverse impact on our business, results of operations and financial condition.</w:t>
      </w:r>
    </w:p>
    <w:p>
      <w:pPr>
        <w:spacing w:after="0" w:line="205"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The current macroeconomic environment has constrained the budgets and financial resources of some of our current and prospective customers, which has caused the impacted current and prospective customers to become more budget-conscious and to delay and/or reduce spending. Given that a majority of our revenue is usage-based and impacted by general consumer sentiment and activity, our business may be more immediately and severely impacted by adverse macroeconomic conditions than those that rely primarily on software-as-a-service (“SaaS”) subscription revenue. The current macroeconomic environment has caused certain of our Communications customers to reduce or terminate their usage of our products without notice or termination charges, which has negatively impacted, and may in the future negatively impact, Communications revenue. Similarly, the current macroeconomic environment has caused certain of our Data &amp; Applications customers to renegotiate existing contracts on less advantageous terms to us than those currently in place, reduce or limit their contract value, default on payments due on existing contracts, or fail to renew at the end of their current contract term, which has had, and may continue to have, a negative impact on our Data &amp; Applications revenue. A prolonged economic slowdown could exacerbate these negative effects on revenue and revenue growth in both our Communications and Data &amp; Applications business units. Additionally, when customers fail to pay us or reduce their spending with us, we may be adversely affected by an inability to collect amounts due, the costs of enforcing the terms of our contracts, including through litigation, and/or a reduction in revenue. For example, in February 2023, one of our customers, Oi SA, a Brazilian telecom company, initiated reorganization proceedings in a Brazilian bankruptcy court as well as a secondary proceeding under Chapter 15 in the United States and exposed us to risks on collections of pre-petition receivables and ongoing revenue.</w:t>
      </w:r>
    </w:p>
    <w:p>
      <w:pPr>
        <w:spacing w:after="0" w:line="198"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Many of our customers are in industries that have been negatively impacted by recent macroeconomic conditions, including customers in social media, cryptocurrencies, retail and e-commerce, consumer packaged goods, direct-to-consumer and other industries dependent on consumer spending, and the concentration of our customer base within these industries could exacerbate the effects of weakening macroeconomic conditions on our business. For example, we have generally experienced, and expect to continue to experience, longer sales cycles when engaging with current and potential customers in industries negatively impacted by macroeconomic conditions. Our products are also utilized by many small and medium-sized businesses, which have been, and may continue to be, adversely affected by the current economic downturn to a greater extent than larger enterprises with greater financial resources. To the extent that the effects of the current macroeconomic environment continue to adversely affect our business and the businesses of our current and prospective customers, our results of operations and financial condition may continue to be harmed, and many of the other risks described in this “Risk Factors” section will be exacerbated.</w:t>
      </w:r>
    </w:p>
    <w:p>
      <w:pPr>
        <w:spacing w:after="0" w:line="181" w:lineRule="exact"/>
        <w:rPr>
          <w:sz w:val="20"/>
          <w:szCs w:val="20"/>
          <w:color w:val="auto"/>
        </w:rPr>
      </w:pPr>
    </w:p>
    <w:p>
      <w:pPr>
        <w:ind w:right="300" w:firstLine="486"/>
        <w:spacing w:after="0" w:line="342" w:lineRule="auto"/>
        <w:rPr>
          <w:sz w:val="20"/>
          <w:szCs w:val="20"/>
          <w:color w:val="auto"/>
        </w:rPr>
      </w:pPr>
      <w:r>
        <w:rPr>
          <w:rFonts w:ascii="Arial" w:cs="Arial" w:eastAsia="Arial" w:hAnsi="Arial"/>
          <w:sz w:val="16"/>
          <w:szCs w:val="16"/>
          <w:b w:val="1"/>
          <w:bCs w:val="1"/>
          <w:i w:val="1"/>
          <w:iCs w:val="1"/>
          <w:color w:val="auto"/>
        </w:rPr>
        <w:t>Our quarterly and annual results of operations have fluctuated in the past and may continue to do so in the future. As a result, we may fail to meet securities analysts’ and investors’ expectations, which could cause the price of our Class A common stock to decline.</w:t>
      </w:r>
    </w:p>
    <w:p>
      <w:pPr>
        <w:spacing w:after="0" w:line="110" w:lineRule="exact"/>
        <w:rPr>
          <w:sz w:val="20"/>
          <w:szCs w:val="20"/>
          <w:color w:val="auto"/>
        </w:rPr>
      </w:pPr>
    </w:p>
    <w:p>
      <w:pPr>
        <w:ind w:right="40" w:firstLine="486"/>
        <w:spacing w:after="0" w:line="241" w:lineRule="auto"/>
        <w:rPr>
          <w:sz w:val="20"/>
          <w:szCs w:val="20"/>
          <w:color w:val="auto"/>
        </w:rPr>
      </w:pPr>
      <w:r>
        <w:rPr>
          <w:rFonts w:ascii="Arial" w:cs="Arial" w:eastAsia="Arial" w:hAnsi="Arial"/>
          <w:sz w:val="18"/>
          <w:szCs w:val="18"/>
          <w:color w:val="auto"/>
        </w:rPr>
        <w:t>Our quarterly and annual results of operations, including our revenue, cost of revenue, gross margin and operating expenses, have fluctuated in the past and may continue to do so in the future due to a variety of factors, many of which are outside of our control. These fluctuations and the related impacts to any earnings guidance we may issue from time to time could cause the price of our Class A common stock to change significantly or experience declines. In addition to the other risks described in this “Risk Factors” section, some of the factors that may result in fluctuations to our results of operations include: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1" w:name="page52"/>
    <w:bookmarkEnd w:id="51"/>
    <w:p>
      <w:pPr>
        <w:ind w:left="324" w:right="500" w:hanging="324"/>
        <w:spacing w:after="0" w:line="263" w:lineRule="auto"/>
        <w:tabs>
          <w:tab w:leader="none" w:pos="3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demand for, pricing of, or usage of, our products, including due to the effects of global macroeconomic conditions, competition, and differing levels of demand for our products based on changing customer priorities, resources, financial conditions and economic outlook;</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general economic conditions, including a downturn or recession, rising inflation and interest rates, and geopolitical uncertainty and instability;</w:t>
      </w:r>
    </w:p>
    <w:p>
      <w:pPr>
        <w:spacing w:after="0" w:line="248" w:lineRule="exact"/>
        <w:rPr>
          <w:rFonts w:ascii="Arial" w:cs="Arial" w:eastAsia="Arial" w:hAnsi="Arial"/>
          <w:sz w:val="16"/>
          <w:szCs w:val="16"/>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expected costs and benefits of our business unit reorganization and changes to our leadership structure;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costs, including any adverse effects associated with, our recent workforce reductions;</w:t>
      </w:r>
    </w:p>
    <w:p>
      <w:pPr>
        <w:spacing w:after="0" w:line="225" w:lineRule="exact"/>
        <w:rPr>
          <w:rFonts w:ascii="Arial" w:cs="Arial" w:eastAsia="Arial" w:hAnsi="Arial"/>
          <w:sz w:val="18"/>
          <w:szCs w:val="18"/>
          <w:color w:val="auto"/>
        </w:rPr>
      </w:pPr>
    </w:p>
    <w:p>
      <w:pPr>
        <w:ind w:left="324" w:right="320" w:hanging="324"/>
        <w:spacing w:after="0" w:line="277" w:lineRule="auto"/>
        <w:tabs>
          <w:tab w:leader="none" w:pos="3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attract and retain new customers, obtain renewals from existing customers and cross-sell or otherwise increase revenue from existing customers;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introduce new products and enhance existing products;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leverage more of our self-service capabilities for customers;</w:t>
      </w:r>
    </w:p>
    <w:p>
      <w:pPr>
        <w:spacing w:after="0" w:line="225" w:lineRule="exact"/>
        <w:rPr>
          <w:rFonts w:ascii="Arial" w:cs="Arial" w:eastAsia="Arial" w:hAnsi="Arial"/>
          <w:sz w:val="18"/>
          <w:szCs w:val="18"/>
          <w:color w:val="auto"/>
        </w:rPr>
      </w:pPr>
    </w:p>
    <w:p>
      <w:pPr>
        <w:ind w:left="324" w:right="260" w:hanging="324"/>
        <w:spacing w:after="0" w:line="277" w:lineRule="auto"/>
        <w:tabs>
          <w:tab w:leader="none" w:pos="3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competition and the actions of our competitors, including pricing changes and the introduction of new technologies, products, services and geographies;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security breaches or incidents impacting our platform, or interruptions to the delivery and use of our products;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cloud infrastructure, network services and other third-party technology, including the fees charged by their providers;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productivity of our salesforce, including our enterprise salesforce;</w:t>
      </w:r>
    </w:p>
    <w:p>
      <w:pPr>
        <w:spacing w:after="0" w:line="225" w:lineRule="exact"/>
        <w:rPr>
          <w:rFonts w:ascii="Arial" w:cs="Arial" w:eastAsia="Arial" w:hAnsi="Arial"/>
          <w:sz w:val="18"/>
          <w:szCs w:val="18"/>
          <w:color w:val="auto"/>
        </w:rPr>
      </w:pPr>
    </w:p>
    <w:p>
      <w:pPr>
        <w:ind w:left="324" w:right="980" w:hanging="324"/>
        <w:spacing w:after="0" w:line="277" w:lineRule="auto"/>
        <w:tabs>
          <w:tab w:leader="none" w:pos="3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length and complexity of the sales cycle for our products, especially for sales to larger enterprises, government and regulated organizations;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mix of products that our customers use during a particular period;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mix or amount of products sold in the United States versus internationally;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in connection with mergers, acquisitions, dispositions, or other strategic transactions;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customer payments and our ability to collect accounts receivable from customers;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rising inflation and our ability to control costs, including our operating expenses;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and retaining existing employees;</w:t>
      </w:r>
    </w:p>
    <w:p>
      <w:pPr>
        <w:spacing w:after="0" w:line="236" w:lineRule="exact"/>
        <w:rPr>
          <w:rFonts w:ascii="Arial" w:cs="Arial" w:eastAsia="Arial" w:hAnsi="Arial"/>
          <w:sz w:val="17"/>
          <w:szCs w:val="17"/>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foreign currency exchange rates and our ability to effectively hedge our foreign currency exposure;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laws, industry standards and regulations that affect our business;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stock-based compensation expenses.</w:t>
      </w:r>
    </w:p>
    <w:p>
      <w:pPr>
        <w:sectPr>
          <w:pgSz w:w="11900" w:h="16838" w:orient="portrait"/>
          <w:cols w:equalWidth="0" w:num="1">
            <w:col w:w="10564"/>
          </w:cols>
          <w:pgMar w:left="976" w:top="111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4884"/>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4"/>
          </w:cols>
          <w:pgMar w:left="976" w:top="1111" w:right="359" w:bottom="1440" w:gutter="0" w:footer="0" w:header="0"/>
          <w:type w:val="continuous"/>
        </w:sectPr>
      </w:pPr>
    </w:p>
    <w:bookmarkStart w:id="52" w:name="page53"/>
    <w:bookmarkEnd w:id="52"/>
    <w:p>
      <w:pPr>
        <w:ind w:right="180" w:firstLine="486"/>
        <w:spacing w:after="0" w:line="255" w:lineRule="auto"/>
        <w:rPr>
          <w:sz w:val="20"/>
          <w:szCs w:val="20"/>
          <w:color w:val="auto"/>
        </w:rPr>
      </w:pPr>
      <w:r>
        <w:rPr>
          <w:rFonts w:ascii="Arial" w:cs="Arial" w:eastAsia="Arial" w:hAnsi="Arial"/>
          <w:sz w:val="18"/>
          <w:szCs w:val="18"/>
          <w:color w:val="auto"/>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Class A common stock could fall substantially, and we could face costly lawsuits, including securities class action suits.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Actions that we are taking to restructure our business in alignment with our strategic priorities may not be as effective as anticipated.</w:t>
      </w:r>
    </w:p>
    <w:p>
      <w:pPr>
        <w:spacing w:after="0" w:line="248"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In September of 2022, we reduced our workforce by approximately 11%, and in February 2023, we reduced our workforce by an additional approximately 17%. While our reductions in force and other efforts to restructure our business were designed to reduce operating costs, improve operating margins and shift our selling capacity to accelerate software sales, we may encounter challenges in the execution of these efforts that could prevent us from recognizing the intended benefits of such efforts or otherwise adversely affect our business, results of operations and financial condition.</w:t>
      </w:r>
    </w:p>
    <w:p>
      <w:pPr>
        <w:spacing w:after="0" w:line="15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As a result of the reductions in force, we have incurred, and may continue to incur additional costs in the short-term, including cash expenditures for employee transitions, notice period and severance payments, employee benefits and related facilitation costs, as well as non-cash expenditures related to vesting of share-based awards. These additional cash and non-cash expenditures could have the effect of reducing our operating margins. Our reductions in force may result in other unintended consequences, including employee attrition beyond our intended reduction in force, which may also be further exacerbated by the actual or perceived declining value of our equity awards; damage to our corporate culture and decreased employee morale among our remaining employees, including as a result of reduced employee perks; diversion of management attention; damage to our reputation as an employer, which could make it more difficult for us to hire new employees in the future; and the loss of institutional knowledge and expertise of departing employees. If we experience any of these adverse consequences, our reductions in force and other restructuring efforts may not achieve or sustain their intended benefits, or the benefits, even if achieved, may not be adequate to meet our long-term profitability and operational expectations, which could adversely affect our business, results of operations and financial condition.</w:t>
      </w:r>
    </w:p>
    <w:p>
      <w:pPr>
        <w:spacing w:after="0" w:line="18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In addition, our reductions in force and other restructuring efforts could lead us to fail to meet, or cause delays in meeting, our operational and growth targets. While positions have been eliminated, functions that they performed remain necessary to our operations, and we may be unsuccessful in effectively and efficiently distributing the duties and obligations of departed employees among our remaining employees. The reduction in our workforce could also prevent us from pursuing new opportunities and initiatives or require us to adjust our growth strategy. As part of our reductions in force, we have reduced the size of our sales force to drive further efficiencies in our sales operations. With a smaller workforce, we are relying more heavily on our self-service model to drive sales of our Communications products to customers that do not require direct account coverage. Our self-service capabilities may not be as successful as we anticipate, and our efforts to accelerate Data &amp; Applications sales may not be effective or may take longer than we expect to drive growth. If these factors lead us to fail to meet our operational and growth targets or to delays in meeting such targets, our business, results of operations and financial condition may be adversely affected.</w:t>
      </w:r>
    </w:p>
    <w:p>
      <w:pPr>
        <w:spacing w:after="0" w:line="18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we continue to identify areas of cost savings and operating efficiencies, we may consider implementing further measures to reduce operating costs and improve operating margins. We may not be successful in implementing such initiatives, including as a result of factors beyond our control. If we are unable to realize the anticipated savings and efficiencies from our reductions in force, other restructuring efforts and future strategic initiatives, our business, results of operations and financial condition could be harmed.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 the first quarter of 2023, we reorganized our business into business units, and we have since adopted a two-segment reporting structure.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These changes may be disruptive to our business and may not have the desired effects.</w:t>
      </w:r>
    </w:p>
    <w:p>
      <w:pPr>
        <w:spacing w:after="0" w:line="21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the first quarter of 2023, we reorganized our business into two business units – Twilio Communications and Twilio Data &amp; Applications – to enable us to develop the organization and systems to successfully operate a multi-product business and to better align our sales resources with customer and market opportunities. In addition, as the business units were created based on how management views and evaluates our business, beginning with the quarter ended June 30, 2023, we changed our operating and reporting segment structure from one reportable segment to two reportable segments and revised our prior period presentation to conform to the new segments.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3" w:name="page54"/>
    <w:bookmarkEnd w:id="53"/>
    <w:p>
      <w:pPr>
        <w:ind w:firstLine="486"/>
        <w:spacing w:after="0" w:line="287" w:lineRule="auto"/>
        <w:rPr>
          <w:sz w:val="20"/>
          <w:szCs w:val="20"/>
          <w:color w:val="auto"/>
        </w:rPr>
      </w:pPr>
      <w:r>
        <w:rPr>
          <w:rFonts w:ascii="Arial" w:cs="Arial" w:eastAsia="Arial" w:hAnsi="Arial"/>
          <w:sz w:val="16"/>
          <w:szCs w:val="16"/>
          <w:color w:val="auto"/>
        </w:rPr>
        <w:t>Our business unit reorganization and changes in our segment reporting structure have required, and will continue to require, significant expenditures, allocation of valuable management resources, and significant demands on our operational and financial infrastructure. This could lead to a number of risks, including: actual or perceived disruption of service or reduction in service standards to our customers; the failure to preserve adequate internal controls as we reorganize our general and administrative functions, including our information technology and financial reporting infrastructure; the failure to preserve partnership, sales and other important relationships and to resolve conflicts that may arise; loss of sales as we eliminate certain sales positions, reorganize our sales teams into business units, and focus on leveraging our self-service capabilities; failure to develop effective cross-selling motions between the businesses; failure of the business units to drive efficiencies and leverage; diversion of management attention from ongoing business activities and core business objectives in order to manage operational changes; and the failure to maintain our corporate culture, employee morale and productivity, and to retain highly skilled employees due to reductions in our workforce and changes in leadership structure. Because of these and other factors, we cannot predict whether we will realize the purpose and anticipated benefits of the Reorganization and segment reporting changes, and if we do not, our business, results of operations and financial condition could be adversely affected.</w:t>
      </w:r>
    </w:p>
    <w:p>
      <w:pPr>
        <w:spacing w:after="0" w:line="19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There is no guarantee that investors, analysts or the market will understand or favorably view the changes we make to our financial reporting in connection with the shift from one to two segments or that any such changes will have the desired effect. Failure of investors or analysts to understand our revised segment reporting structure may negatively affect their ability to understand our business and operating results, which could adversely affect our stock price.</w:t>
      </w:r>
    </w:p>
    <w:p>
      <w:pPr>
        <w:spacing w:after="0" w:line="187" w:lineRule="exact"/>
        <w:rPr>
          <w:sz w:val="20"/>
          <w:szCs w:val="20"/>
          <w:color w:val="auto"/>
        </w:rPr>
      </w:pPr>
    </w:p>
    <w:p>
      <w:pPr>
        <w:ind w:right="260" w:firstLine="486"/>
        <w:spacing w:after="0" w:line="261" w:lineRule="auto"/>
        <w:rPr>
          <w:sz w:val="20"/>
          <w:szCs w:val="20"/>
          <w:color w:val="auto"/>
        </w:rPr>
      </w:pPr>
      <w:r>
        <w:rPr>
          <w:rFonts w:ascii="Arial" w:cs="Arial" w:eastAsia="Arial" w:hAnsi="Arial"/>
          <w:sz w:val="18"/>
          <w:szCs w:val="18"/>
          <w:b w:val="1"/>
          <w:bCs w:val="1"/>
          <w:i w:val="1"/>
          <w:iCs w:val="1"/>
          <w:color w:val="auto"/>
        </w:rPr>
        <w:t>Our business depends on customers increasing their use of our products, and a loss of customers or decline in their use of our products could adversely affect our business, results of operations and financial condition.</w:t>
      </w:r>
    </w:p>
    <w:p>
      <w:pPr>
        <w:spacing w:after="0" w:line="184"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Our revenue grows as customers increase their usage of a product, extend their usage of a product to new applications or adopt a new product that we offer. The majority of our revenue is usage-based and our ability to grow and generate incremental revenue depends, in part, on our ability to maintain and grow our relationships with existing customers and to have them increase their usage of our platform. If our customers do not increase their use of our products, then our revenue may decline. The majority of our customers are charged based on their usage of our products. Most of our customers do not have long-term contractual financial commitments to us and, therefore, may reduce or cease their use of our products at any time without penalty or termination charges. Customers may terminate or reduce their use of our products for any number of reasons, including dissatisfaction with our products or the value proposition of our products, our inability to meet their needs and expectations, their use of competitors’ products, macroeconomic conditions, or reductions in their budgets. Additionally, prior instances of disruptions in our cloud communications platform impacted our customers’ ability to use products on our platform for up to several hours at a time. Issues with our products have caused, and may in the future cause, us to incur certain costs associated with offering credits to our affected customers, which have had, and in the future may have, an adverse impact on customer satisfaction and our ability to retain or attract customers.</w:t>
      </w:r>
    </w:p>
    <w:p>
      <w:pPr>
        <w:spacing w:after="0" w:line="18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Additionally, we believe our ability to provide customers with high-quality, effective customer support services at all stages of the process is a crucial component of maintaining customer satisfaction, generating increased customer usage of our products and ultimately retaining customers. If we are unable to devote sufficient resources to effectively assist our customers, it could adversely affect our ability to retain existing customers and could disincentivize prospective customers from adopting our products. We may be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If we are unable to provide high-quality customer support, or if there is a market perception that we do not maintain high-quality customer support, it could erode the trust of current and potential customers and adversely affect our reputation.</w:t>
      </w:r>
    </w:p>
    <w:p>
      <w:pPr>
        <w:spacing w:after="0" w:line="17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Customer usage of our products depends on factors generally outside of our control, so it is difficult to accurately predict customers’ usage levels. The loss of customers or reductions in their usage levels of our products may each have a negative impact on our business, results of operations and financial condition. Our Dollar-Based Net Expansion Rate has recently declined as compared to prior periods, and it may continue to decline in the future if customers are not satisfied with our products and related customer service experience, the value proposition of our products or our ability to meet their needs and expectations, or due to macroeconomic conditions or reductions in customers’ budgets. If a significant number of customers cease using, or reduce their usage of our products, including due to cost-saving measures in the face of macroeconomic uncertainty or changes in the competitive landscape, then we may be required to spend significantly more on sales and marketing than we currently expect in order to maintain or increase revenue from customers. Such additional sales and marketing expenditures could adversely affect our business, results of operations and financial condition.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4" w:name="page55"/>
    <w:bookmarkEnd w:id="54"/>
    <w:p>
      <w:pPr>
        <w:jc w:val="both"/>
        <w:ind w:right="100" w:firstLine="486"/>
        <w:spacing w:after="0" w:line="263" w:lineRule="auto"/>
        <w:rPr>
          <w:sz w:val="20"/>
          <w:szCs w:val="20"/>
          <w:color w:val="auto"/>
        </w:rPr>
      </w:pPr>
      <w:r>
        <w:rPr>
          <w:rFonts w:ascii="Arial" w:cs="Arial" w:eastAsia="Arial" w:hAnsi="Arial"/>
          <w:sz w:val="18"/>
          <w:szCs w:val="18"/>
          <w:b w:val="1"/>
          <w:bCs w:val="1"/>
          <w:i w:val="1"/>
          <w:iCs w:val="1"/>
          <w:color w:val="auto"/>
        </w:rPr>
        <w:t>If we are unable to attract new customers in a cost-effective manner, sell additional products to our existing customers or develop new products and enhancements to our products that achieve market acceptance then our business, results of operations and financial condition would be adversely affected.</w:t>
      </w:r>
    </w:p>
    <w:p>
      <w:pPr>
        <w:spacing w:after="0" w:line="184"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To grow our business, we must continue to attract new customers in a cost-effective manner, increase revenue from existing customers, and increase gross profits, each of which depends in part on our ability to enhance and improve our existing products, increase adoption and usage of our products, and introduce new products, including products with higher gross margins. We use a variety of marketing channels to promote our products and platform, such as developer events and developer evangelism, search engine marketing and optimization, regional customer events, email campaigns, billboard advertising and public relations initiatives. If the costs of the marketing channels we use increase, then we may choose to use alternative and less expensive channels, which may not be as effective as the channels we currently use. We have made in the past, and may make in the future, significant expenditures and investments in new marketing campaigns, and we cannot guarantee that any such investments will lead to wider adoption of our products or to the cost-effective acquisition of additional customers. If we are unable to maintain effective marketing programs, our ability to efficiently attract new customers could be adversely affected, and we may not be able to attract the number and types of new customers we are seeking.</w:t>
      </w:r>
    </w:p>
    <w:p>
      <w:pPr>
        <w:spacing w:after="0" w:line="166"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In addition, our ability to attract new customers and increase revenue from existing customers depends in large part on our ability to enhance and improve our existing products and to introduce compelling new products that reflect the changing nature of our markets, technological advances and industry standards. The success of any enhancements or new products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profits. Furthermore, our ability to increase the usage of our products depends, in part, on the development of new use cases for our products, which is typically driven by our developer community and may be outside of our control. Our ability to generate usage of additional products by our customers may also require increasingly sophisticated and more costly sales efforts and result in a longer sales cycle. If we are unable to successfully enhance our existing products to meet evolving customer requirements, increase adoption and usage of our products, develop and drive adoption of new products, and increase our gross profits, or if our efforts to increase the usage of our products are more expensive than we expect, then our business, results of operations and financial condition would be adversely affected. The adoption of our products, and the development of enhancements and new products, also depends, in part, on our ability to anticipate complex and uncertain emerging technologies, changes to customers’ needs and expectations, and shifts in industry standard practices. Anticipating these factors requires that we allocate significant resources without any guarantee that any such investments and efforts will result in wider adoption of our products in the marketplace. If we are unable to adequately anticipate these changes, our business and financial condition could be adversely affected.</w:t>
      </w:r>
    </w:p>
    <w:p>
      <w:pPr>
        <w:spacing w:after="0" w:line="180"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Additionally, the success of our existing products and any new products we introduce depends, in part, on our ability to integrate them with third-party products used by us or our customers. The providers of such third-party products may modify the features, functionality, pricing, and other terms and conditions with respect to such products in a manner adverse to us and to our customers that use such third-party products in connection with our products. If we are unable to maintain the integrations between our products with such third-party products, our ability to meet the needs and expectations of our current and prospective customers could be adversely affected and adversely affect our business.</w:t>
      </w:r>
    </w:p>
    <w:p>
      <w:pPr>
        <w:spacing w:after="0" w:line="176"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If we are unable to successfully enhance our existing products to meet evolving customer requirements, increase adoption and usage of our products, develop and drive adoption of new products, maintain integrations with third-party products, anticipate changes in technology, customers’ needs and expectations, or industry standards, and increase our gross profits, or if our efforts to increase the usage of our products are more expensive than we expect, then our business, results of operations and financial condition would be adversely affected.</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If we are unable to increase adoption of our products by enterprises, our business, results of operations and financial condition may be adversely affected.</w:t>
      </w:r>
    </w:p>
    <w:p>
      <w:pPr>
        <w:spacing w:after="0" w:line="17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Historically, a majority of our revenue has been generated as a result of software developers adopting our products through our self-service model. Our ability to increase our customer base, especially among enterprises, and achieve broader market acceptance of our products will depend, in part, on our ability to effectively organize, focus and train our sales, marketing and other employees. 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Even if we are successful in hiring qualified sales employees, new hires require significant training and experience before they achieve full productivity,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5" w:name="page56"/>
    <w:bookmarkEnd w:id="55"/>
    <w:p>
      <w:pPr>
        <w:ind w:right="80"/>
        <w:spacing w:after="0" w:line="279" w:lineRule="auto"/>
        <w:rPr>
          <w:sz w:val="20"/>
          <w:szCs w:val="20"/>
          <w:color w:val="auto"/>
        </w:rPr>
      </w:pPr>
      <w:r>
        <w:rPr>
          <w:rFonts w:ascii="Arial" w:cs="Arial" w:eastAsia="Arial" w:hAnsi="Arial"/>
          <w:sz w:val="17"/>
          <w:szCs w:val="17"/>
          <w:color w:val="auto"/>
        </w:rPr>
        <w:t>particularly for sales efforts targeted at enterprises and new territories. Our recent hires and planned hires may not become as productive as quickly as we expect, and we may encounter difficulties or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spacing w:after="0" w:line="171"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As we seek to increase the adoption of our products by enterprises, including products like Segment and Engage, which are primarily aimed at complex customer data platform implementations at larger companies, and Flex, which is primarily aimed at complex contact center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information technology (“IT”). In addition, while enterprise customers may quickly deploy our products on a limited basis, before they will commit to deploying our products at scale, they often require extensive education about our products and significant customer support time and also engage in protracted pricing and contract negotiations, which may be exacerbated by changing inflationary pressure and reduced IT budgets and may result in higher costs and longer sales cycles. In addition, sales cycles for enterprises are inherently more complex and less predictable than the sales through our self-service model, and some enterprise customers may not use our products enough to generate revenue that justifies the cost to obtain such customers. These complex and resource-intensive sales efforts could place additional strain on our product and engineering resources. Further, enterprises, including some of our existing customers,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 Additionally, we have experienced, and may continue to experience, certain of our Data &amp; Applications customers failing to renew their contracts with us, reducing or limiting their contract values, and engaging in longer sales cycles as these customers focus on general cost reductions in the face of macroeconomic uncertainty.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spacing w:after="0" w:line="176"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b w:val="1"/>
          <w:bCs w:val="1"/>
          <w:i w:val="1"/>
          <w:iCs w:val="1"/>
          <w:color w:val="auto"/>
        </w:rPr>
        <w:t>The market for our products and platform continues to evolve, and may decline or experience limited growth, and is dependent in part on developers continuing to adopt our platform and use our products.</w:t>
      </w:r>
    </w:p>
    <w:p>
      <w:pPr>
        <w:spacing w:after="0" w:line="170"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The market for our products and platform continues to evolve, which makes our business and future prospects difficult to evaluate. If developers and organizations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other potential customers about the benefits of our products and platform, expanding and improving the functionality of our products and bringing new technologies to market to increase market acceptance and use of our platform. Our growth will depend, in part, on our ability to leverage more of our self-service capability for developers that do not need direct account coverage. We will also continue to prioritize accelerating sales of our Data &amp; Applications products, which could have an impact on our results of operations. Our ability to expand the market that our products and platform address depends upon a number of factors, including the cost, performance and perceived value associated with such products and platform. The market for our products and platform could fail to grow significantly, or at all, or there could be a reduction in demand for our products as a result of any number of factors, including a lack of developer acceptance, technological challenges, competing products and services, decreases in spending by current and prospective customers, weakening economic conditions, including due to labor shortages, supply chain disruptions and inflationary pressures and other causes. If our market does not experience significant growth or demand for our products decreases, then our business, results of operations and financial condition could be adversely affected.</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If we fail to effectively manage our growth, then our business, results of operations and financial condition could be adversely affected.</w:t>
      </w:r>
    </w:p>
    <w:p>
      <w:pPr>
        <w:spacing w:after="0" w:line="24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Although we cannot provide any assurance that our business will continue to grow at the same rate or at all in the future, we have experienced substantial growth in our business and operations in recent years, which has placed, and may continue to place, significant demands on our management and our operational and financial resources, especially as we continue to focus on improving our operating efficiency. Although we completed workforce reduction plans in September 2022 and February 2023 to reduce operating costs, improve operating margins and accelerate profitability, we may experience employee growth in the future. We have also experienced significant growth in the number of customers, usage and amount of data that our platform and associated infrastructure support. As a result of this growth, our organizational structure is becoming more complex as we improve our operational, financial and management controls as well as our reporting systems and procedures. The expansion of our systems and infrastructure, as well as the changes arising from the Reorganization, has required, and will continue to require, us to commit substantial financial, operational, and technical resources. Our revenue may not increase as a result of our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6" w:name="page57"/>
    <w:bookmarkEnd w:id="56"/>
    <w:p>
      <w:pPr>
        <w:ind w:right="40"/>
        <w:spacing w:after="0" w:line="273" w:lineRule="auto"/>
        <w:rPr>
          <w:sz w:val="20"/>
          <w:szCs w:val="20"/>
          <w:color w:val="auto"/>
        </w:rPr>
      </w:pPr>
      <w:r>
        <w:rPr>
          <w:rFonts w:ascii="Arial" w:cs="Arial" w:eastAsia="Arial" w:hAnsi="Arial"/>
          <w:sz w:val="17"/>
          <w:szCs w:val="17"/>
          <w:color w:val="auto"/>
        </w:rPr>
        <w:t>investments in these areas and, if revenue does increase, it may not increase enough to offset these investments, or it may take several periods before we begin to see the benefits of these investments. If we are unable to adequately manage our growth and other business changes in a manner that preserves the key aspects of our corporate culture, including as a result of our past reductions in force and the Reorganization, the quality and performance of our products may suffer, which could negatively affect our brand, reputation and ability to retain and attract customers and employees. Finally, if we are unable to maintain reliable service levels for our customers or if the level of efficiency in our organization suffers as we grow and transform our operating model, then our business, results of operations and financial condition could be adversely affected.</w:t>
      </w:r>
    </w:p>
    <w:p>
      <w:pPr>
        <w:spacing w:after="0" w:line="205"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spacing w:after="0" w:line="188"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b w:val="1"/>
          <w:bCs w:val="1"/>
          <w:i w:val="1"/>
          <w:iCs w:val="1"/>
          <w:color w:val="auto"/>
        </w:rPr>
        <w:t>The market in which we participate is intensely competitive, and if we do not compete effectively, our business, results of operations and financial condition could be harmed.</w:t>
      </w:r>
    </w:p>
    <w:p>
      <w:pPr>
        <w:spacing w:after="0" w:line="1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market for customer engagement platforms is rapidly evolving, significantly fragmented and highly competitive, with relatively low barriers to entry in some segments. The principal competitive factors in our market include completeness of offering, credibility with customers,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products. In our Communications business, our competitors are primarily (i) regional network service providers that offer limited developer functionality on top of their own physical infrastructure, (ii) communications platform-as-a-service (“CPaaS”) companies that offer communications products and applications, and (iii) other software companies that compete with portions of our communications product line. In our Data &amp; Applications business, our competitors are primarily (i) legacy on-premises vendors, (ii) SaaS companies and marketing cloud platform vendors that offer bundled applications and platforms, and (iii) CRM and customer experience vendors.</w:t>
      </w:r>
    </w:p>
    <w:p>
      <w:pPr>
        <w:spacing w:after="0" w:line="181"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w:t>
      </w:r>
    </w:p>
    <w:p>
      <w:pPr>
        <w:spacing w:after="0" w:line="164"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With the introduction of new products and services and new market entrants, we expect competition to intensify in the future.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18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business, results of operations and financial condition also depends, in part, on our ability to establish and maintain relationships through resellers, distributors, and strategic partners. A portion of our revenue is derived from sales made by these partners and any one of them may later decide to sell their own products or those of third parties that may be competitive with our products. A loss or reduction in sales of our products through these third-party intermediaries could adversely affect our revenue and other results of operations.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losses and may not achieve or sustain profitability in the future.</w:t>
      </w:r>
    </w:p>
    <w:p>
      <w:pPr>
        <w:spacing w:after="0" w:line="225"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We have incurred net losses in each year since our inception, including net losses of $650.0 million, $1.3 billion and $949.9 million in the nine months ended September 30, 2023 and the years ended December 31, 2022 and 2021, respectively.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7" w:name="page58"/>
    <w:bookmarkEnd w:id="57"/>
    <w:p>
      <w:pPr>
        <w:spacing w:after="0" w:line="287" w:lineRule="auto"/>
        <w:rPr>
          <w:sz w:val="20"/>
          <w:szCs w:val="20"/>
          <w:color w:val="auto"/>
        </w:rPr>
      </w:pPr>
      <w:r>
        <w:rPr>
          <w:rFonts w:ascii="Arial" w:cs="Arial" w:eastAsia="Arial" w:hAnsi="Arial"/>
          <w:sz w:val="16"/>
          <w:szCs w:val="16"/>
          <w:color w:val="auto"/>
        </w:rPr>
        <w:t>We had an accumulated deficit of $4.6 billion as of September 30, 2023. We will need to generate and sustain increased revenue levels, and manage our operating expenses, in future periods to become profitable and, even if we do, we may not be able to maintain or increase our level of profitability. We expect to continue to expend substantial financial and other resources on, among other things: investments in our engineering team; improvements in security and data protection; the development of new products, features and functionality and enhancements to our platform; sales and marketing, including the continued expansion of our direct sales organization and marketing programs, especially for enterprises, organizations outside of the United States, and programs directed at increasing our brand awareness among developers, as well expansion of our self-service capabilities; expansion of our operations and infrastructure, both domestically and internationally; and general administration, including legal, accounting and other expenses related to being a public company. Our efforts to grow our business may be more costly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Class A common stock may significantly decrease.</w:t>
      </w:r>
    </w:p>
    <w:p>
      <w:pPr>
        <w:spacing w:after="0" w:line="172" w:lineRule="exact"/>
        <w:rPr>
          <w:sz w:val="20"/>
          <w:szCs w:val="20"/>
          <w:color w:val="auto"/>
        </w:rPr>
      </w:pPr>
    </w:p>
    <w:p>
      <w:pPr>
        <w:ind w:right="320" w:firstLine="486"/>
        <w:spacing w:after="0" w:line="381" w:lineRule="auto"/>
        <w:rPr>
          <w:sz w:val="20"/>
          <w:szCs w:val="20"/>
          <w:color w:val="auto"/>
        </w:rPr>
      </w:pPr>
      <w:r>
        <w:rPr>
          <w:rFonts w:ascii="Arial" w:cs="Arial" w:eastAsia="Arial" w:hAnsi="Arial"/>
          <w:sz w:val="15"/>
          <w:szCs w:val="15"/>
          <w:b w:val="1"/>
          <w:bCs w:val="1"/>
          <w:i w:val="1"/>
          <w:iCs w:val="1"/>
          <w:color w:val="auto"/>
        </w:rPr>
        <w:t>We depend largely on the continued services of highly skilled personnel, including our senior management and other key employees, and the inability to attract, integrate or retain such employees could adversely affect our business, results of operations and financial condition.</w:t>
      </w:r>
    </w:p>
    <w:p>
      <w:pPr>
        <w:spacing w:after="0" w:line="100"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experienced and may continue to experience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If we fail to effectively manage attrition, and to hire, integrate and adequately incentivize our personnel, our efficiency and ability to meet our operational and growth targets, as well as our corporate culture, employee morale, productivity and retention, could suffer, and our business and operating results would be adversely impacted. Additionally, loss of services of senior management or other key employees could significantly delay or prevent the achievement of our development and strategic objectives. In particular, we depend to a considerable degree on the vision, skills, experience and effort of our co-founder and Chief Executive Officer, Jeff Lawson. 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could adversely affect our business, results of operations and financial condition.</w:t>
      </w:r>
    </w:p>
    <w:p>
      <w:pPr>
        <w:spacing w:after="0" w:line="182"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labor market for our business is subject to external factors that are beyond our control, including our industry’s highly competitive market for skilled workers and leaders, inflation and workforce participation rates. We must provide competitive compensation packages and a high-quality work environment to hire, retain and motivate employees. Volatility in, or the actual or perceived lack of performance of, our stock price may affect our ability to attract, motivate and retain key employees. In September 2022 and February 2023, we implemented reductions in force, which may have an impact on our ability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w:t>
      </w:r>
    </w:p>
    <w:p>
      <w:pPr>
        <w:spacing w:after="0" w:line="17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Further, we believe that a critical contributor to our success and our ability to attract, recruit, hire and retain highly skilled personnel has been our corporate culture. As we grow and experience organizational changes, including as a result of the reductions in force and the Reorganization, we may find it difficult to maintain important aspects of our corporate culture. While we are taking steps to develop a more inclusive and diverse workforce, there is no guarantee that we will be able to do so. Our inability to preserve our culture, or to reshape our culture, as we grow and transform our operating model could limit our ability to innovate and could negatively affect our ability to retain and recruit personnel, continue to perform at current levels or execute on our business strategy, any one of which could adversely affect our business, results of operations and financial condition.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8" w:name="page59"/>
    <w:bookmarkEnd w:id="58"/>
    <w:p>
      <w:pPr>
        <w:ind w:right="120" w:firstLine="486"/>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70"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We believe that maintaining and enhancing the “Twilio” brand identity and increasing market awareness of our company and products, particularly among developers and enterprises, is critical to achieving widespread acceptance of our platform, to strengthen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66"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including, but not limited to, as a result of recent inflationary pressures.</w:t>
      </w:r>
    </w:p>
    <w:p>
      <w:pPr>
        <w:spacing w:after="0" w:line="165" w:lineRule="exact"/>
        <w:rPr>
          <w:sz w:val="20"/>
          <w:szCs w:val="20"/>
          <w:color w:val="auto"/>
        </w:rPr>
      </w:pPr>
    </w:p>
    <w:p>
      <w:pPr>
        <w:ind w:right="220" w:firstLine="486"/>
        <w:spacing w:after="0" w:line="381" w:lineRule="auto"/>
        <w:rPr>
          <w:sz w:val="20"/>
          <w:szCs w:val="20"/>
          <w:color w:val="auto"/>
        </w:rPr>
      </w:pPr>
      <w:r>
        <w:rPr>
          <w:rFonts w:ascii="Arial" w:cs="Arial" w:eastAsia="Arial" w:hAnsi="Arial"/>
          <w:sz w:val="15"/>
          <w:szCs w:val="15"/>
          <w:b w:val="1"/>
          <w:bCs w:val="1"/>
          <w:i w:val="1"/>
          <w:iCs w:val="1"/>
          <w:color w:val="auto"/>
        </w:rPr>
        <w:t>If we are unable to adapt and respond effectively to rapidly changing technology, evolving industry standards, changing regulations, evolving interoperability requirements, and changing customer needs, requirements or preferences, our products may become less competitive.</w:t>
      </w:r>
    </w:p>
    <w:p>
      <w:pPr>
        <w:spacing w:after="0" w:line="10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market for communications in general, and cloud communications in particular, is subject to rapid technological change, evolving industry standards, changing regulations, as well as changing customer needs, requirements and preferences. These are all uncertain and we cannot predict the consequences, effects, or introduction of new, disruptive, emerging technologies or the manner and pace at which our market develops over time, and our ability to compete in our market depends on predicting and adapting to these changing circumstances. The success of our business will depend, in part, on our ability to adapt and respond effectively to these changes on a timely basis. If we are unable to develop new products that satisfy our customers and provide enhancements and new features for our existing products that keep pace with rapid technological and industry change, our business, results of operations and financial condition could be adversely affected. For example, with the development of next-generation solutions that utilize new and advanced features, including AI and ML, we expect to commit significant resources to developing new products and enhancements incorporating AI and ML, and there is no guarantee that our investments and efforts will result in wider adoption of our products in the marketplace. If new technologies emerge that are able to deliver competitive products and services at lower prices, more efficiently, more conveniently or more securely or new products are introduced into the market that could render our products obsolete, such technologies and products could adversely impact our ability to compete effectively and may lead to customers reduce or terminate their usage of our products.</w:t>
      </w:r>
    </w:p>
    <w:p>
      <w:pPr>
        <w:spacing w:after="0" w:line="17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platform must integrate with and leverage a variety of infrastructure, network, hardware, mobile and software platforms and technologies, and we need to continuously modify and enhance our products and platform to adapt to changes and innovation in these technologies. For example, Apple, Google and other cell-phone operating system providers or inbox service providers have developed and, may in the future develop, new applications or functions intended to filter spam and unwanted phone calls, messages or emails. Third party platforms may also implement changes to their privacy policies or practices that may impact us or our customers. In addition,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206"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In the second quarter of 2023 we began gradually blocking U.S.-bound Application-to-Person (“A2P”) SMS and MMS messages from unregistered 10-digit long code (“10DLC”) phone numbers and effective August 31, 2023 we completely blocked any remaining unregistered A2P 10DLC message traffic. These changes could result in reduced volume and revenue in our messaging products, which could adversely affect our results of operations.</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59" w:name="page60"/>
    <w:bookmarkEnd w:id="59"/>
    <w:p>
      <w:pPr>
        <w:ind w:right="320" w:firstLine="486"/>
        <w:spacing w:after="0" w:line="311" w:lineRule="auto"/>
        <w:rPr>
          <w:sz w:val="20"/>
          <w:szCs w:val="20"/>
          <w:color w:val="auto"/>
        </w:rPr>
      </w:pPr>
      <w:r>
        <w:rPr>
          <w:rFonts w:ascii="Arial" w:cs="Arial" w:eastAsia="Arial" w:hAnsi="Arial"/>
          <w:sz w:val="16"/>
          <w:szCs w:val="16"/>
          <w:b w:val="1"/>
          <w:bCs w:val="1"/>
          <w:i w:val="1"/>
          <w:iCs w:val="1"/>
          <w:color w:val="auto"/>
        </w:rPr>
        <w:t>To deliver our products, we rely on network service providers and internet service providers for our network service and connectivity, and disruption or deterioration in the quality of these services or changes in network service provider fees that we pay in connection with the delivery of communications on our platform could adversely affect our business, results of operations and financial condition.</w:t>
      </w:r>
    </w:p>
    <w:p>
      <w:pPr>
        <w:spacing w:after="0" w:line="149"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currently interconnect with fixed and mobile network service providers around the world to enable the use by our customers of our products over their networks. Although we are in the process of acquiring authorization in many countries for direct access to phone numbers and for the provision of voice and messaging services on the networks of fixed and mobile network service providers, we expect that we will continue to rely on network service providers for these services. Where we do not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and we can be subject to the imposition of additional fees, penalties, or other administrative or technical requirements, and even service interruption, due to regulatory, competitive, or other industry related changes over which we have little to no control. We typically do not change our customers’ pricing as rapidly and, as a result, such fee increases could adversely affect our business and results of operations.</w:t>
      </w:r>
    </w:p>
    <w:p>
      <w:pPr>
        <w:spacing w:after="0" w:line="16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For example, in recent years, multiple major U.S. mobile carriers have introduced A2P SMS service offerings that added a new fee for A2P SMS messages delivered to their respective subscribers, and, from time-to-time, other U.S. mobile carriers have added similar fees. While we have historically responded to these types of fee increases through a combination of further negotiating efforts with our network service providers, absorbing the increased costs or changing our prices to customers, there is no guarantee that we will continue to be able to respond in these ways in the future without a material negative impact to our business. In the case of these new carriers’ A2P SMS fees, after a short phase-in period where we absorbed the fees, we began on May 1, 2021 to pass these fees directly through to our customers who are sending SMS messages to these carriers’ subscribers. Passing these fees through to our customers typically has the effect of increasing our Communications revenue and cost of revenue, but typically does not impact the gross profit dollars received for sending these messages and, as a result, has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 we charge our customers.</w:t>
      </w:r>
    </w:p>
    <w:p>
      <w:pPr>
        <w:spacing w:after="0" w:line="182"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it may cause errors, service outages, or poor-quality communications on our products, and we could encounter difficulty identifying the source of the problem. The occurrence of errors, service outages,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16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8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also interconnect with internet service providers around the world to enable the use of our email products by our customers, and we expect to continue to rely on internet service providers for network connectivity going forward. Our reliance on internet service providers reduces our control over quality of service and exposes us to potential service outages and rate fluctuations. The occurrence of poor-quality of service or service outages on our products may result in the loss of our existing customers or the delay of adoption of our products by potential customers and may adversely affect our business, results of operations and financial condition. Similarly,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0" w:name="page61"/>
    <w:bookmarkEnd w:id="60"/>
    <w:p>
      <w:pPr>
        <w:ind w:left="500"/>
        <w:spacing w:after="0"/>
        <w:rPr>
          <w:sz w:val="20"/>
          <w:szCs w:val="20"/>
          <w:color w:val="auto"/>
        </w:rPr>
      </w:pPr>
      <w:r>
        <w:rPr>
          <w:rFonts w:ascii="Arial" w:cs="Arial" w:eastAsia="Arial" w:hAnsi="Arial"/>
          <w:sz w:val="17"/>
          <w:szCs w:val="17"/>
          <w:b w:val="1"/>
          <w:bCs w:val="1"/>
          <w:i w:val="1"/>
          <w:iCs w:val="1"/>
          <w:color w:val="auto"/>
        </w:rPr>
        <w:t>Failure to set optimal prices for our products could adversely impact our business, results of operations and financial condition.</w:t>
      </w:r>
    </w:p>
    <w:p>
      <w:pPr>
        <w:spacing w:after="0" w:line="237"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For certain of our products, we primarily charge our customers based on their usage of such products. One of the challenges of this usage-based pricing model is the variability of the fees that we pay to network service providers over whose networks we transmit communications. Such network fees can vary daily or weekly and are affected by volume and other factors that may be outside of our control, and which are difficult to predict. This can result in us incurring increased costs that we may be unable or unwilling to pass through to our customers, which could adversely impact our business, results of operations and financial condition. If we elect to pass through increased fees to our customers, it could adversely affect our relationship with our customers and our customers may look for lower cost alternatives.</w:t>
      </w:r>
    </w:p>
    <w:p>
      <w:pPr>
        <w:spacing w:after="0" w:line="17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expect that we may need to change our pricing model from time to time. In the past, we have at times reduced our prices either for individual customers in connection with long-term agreements or for a particular product. Further, as competitors introduce new products or services that compete with ours or reduce their prices, we may be unable to attract new customers or retain existing customers based on our historical pricing. As we expand internationally, we also must determine the appropriate price to enable us to compete effectively internationally. Moreover, enterprises may demand substantial price concessions. In addition, if the mix of products sold changes, including for a shift to IP-based products, then we may need to, or choose to, revise our pricing. As a result, in the future we may be required or choose to reduce our prices or change our pricing models, which could adversely affect our business, results of operations and financial condition.</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continuing to expand our international operations, which exposes us to risks inherent in global operations.</w:t>
      </w:r>
    </w:p>
    <w:p>
      <w:pPr>
        <w:spacing w:after="0" w:line="225"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are continuing to expand our international operations to increase our revenue from customers outside of the United States as part of our growth strategy. In the nine months ended September 30, 2023 and the years ended December 31, 2022 and December 31, 2021, we derived 34%, 34% and 32% of our revenue from customer accounts located outside the United States, respectively. The future success of our business will depend, in part, on our ability to expand our customer base worldwide. Operating in international markets requires significant resources and management attention and will subject us to regulatory, economic and political risks in addition to those we already face in the United States.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we will face risks in doing business internationally that could adversely affect our business, including:</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inflation and actions taken by central banks to counter inflation;</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difficulty of managing and staffing international operations and the increased operations, travel, infrastructure and legal compliance costs associated with servicing international customers and operating numerous international locations;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effectively price our products in competitive international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and different sources of competition or other changes to our current competitive landscape;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potentially greater difficulty collecting accounts receivable and 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or more variable network service provider fees outside of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to adapt and localize our products and support for specific countries;</w:t>
      </w:r>
    </w:p>
    <w:p>
      <w:pPr>
        <w:spacing w:after="0" w:line="225" w:lineRule="exact"/>
        <w:rPr>
          <w:rFonts w:ascii="Arial" w:cs="Arial" w:eastAsia="Arial" w:hAnsi="Arial"/>
          <w:sz w:val="18"/>
          <w:szCs w:val="18"/>
          <w:color w:val="auto"/>
        </w:rPr>
      </w:pPr>
    </w:p>
    <w:p>
      <w:pPr>
        <w:ind w:left="980" w:right="380" w:hanging="324"/>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understanding, reconciling, and implementing technical controls to address, different technical standards, data privacy and telecommunications regulations, and registration and certification requirements outside the United States, which could prevent customers from deploying our products or limit their usage;</w:t>
      </w:r>
    </w:p>
    <w:p>
      <w:pPr>
        <w:spacing w:after="0" w:line="183" w:lineRule="exact"/>
        <w:rPr>
          <w:rFonts w:ascii="Arial" w:cs="Arial" w:eastAsia="Arial" w:hAnsi="Arial"/>
          <w:sz w:val="18"/>
          <w:szCs w:val="18"/>
          <w:color w:val="auto"/>
        </w:rPr>
      </w:pPr>
    </w:p>
    <w:p>
      <w:pPr>
        <w:jc w:val="both"/>
        <w:ind w:left="980" w:right="20" w:hanging="324"/>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comply with laws, regulations and industry standards relating to data privacy, data protection, data localization and data security, as well as sustainability and other ESG matters, enacted in countries and other regions in which we operate or do business, and the associated costs and management attention required to support such compliance;</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non-U.S. jurisdictions;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1" w:name="page62"/>
    <w:bookmarkEnd w:id="61"/>
    <w:p>
      <w:pPr>
        <w:ind w:left="980" w:right="160" w:hanging="324"/>
        <w:spacing w:after="0" w:line="263"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export controls and economic sanctions regulations administered by U.S. and foreign governmental entities in jurisdictions in which we operate, including the Department of Commerce's Bureau of Industry and Security and the Treasury Department’s Office of Foreign Assets Control;</w:t>
      </w:r>
    </w:p>
    <w:p>
      <w:pPr>
        <w:spacing w:after="0" w:line="183"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various anti-bribery and anti-corruption laws such as the U.S. Foreign Corrupt Practices Act, as amended (“FCPA”) and United Kingdom Bribery Act of 2010;</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international trade policies, tariffs and other non-tariff barriers, such as quotas and local content rules;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currency control regulations, which might restrict or prohibit our conversion of other currencies into U.S. dollars;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deterioration of political relations between the United States and other countries;</w:t>
      </w:r>
    </w:p>
    <w:p>
      <w:pPr>
        <w:spacing w:after="0" w:line="225" w:lineRule="exact"/>
        <w:rPr>
          <w:rFonts w:ascii="Arial" w:cs="Arial" w:eastAsia="Arial" w:hAnsi="Arial"/>
          <w:sz w:val="18"/>
          <w:szCs w:val="18"/>
          <w:color w:val="auto"/>
        </w:rPr>
      </w:pPr>
    </w:p>
    <w:p>
      <w:pPr>
        <w:jc w:val="both"/>
        <w:ind w:left="980" w:right="360" w:hanging="324"/>
        <w:spacing w:after="0" w:line="342"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spacing w:after="0" w:line="123" w:lineRule="exact"/>
        <w:rPr>
          <w:rFonts w:ascii="Arial" w:cs="Arial" w:eastAsia="Arial" w:hAnsi="Arial"/>
          <w:sz w:val="16"/>
          <w:szCs w:val="16"/>
          <w:color w:val="auto"/>
        </w:rPr>
      </w:pPr>
    </w:p>
    <w:p>
      <w:pPr>
        <w:ind w:left="980" w:right="160" w:hanging="324"/>
        <w:spacing w:after="0" w:line="263"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spacing w:after="0" w:line="184"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Also, due to costs from our international expansion efforts and network service provider fees outside of the United States, which generally are higher than domestic rates, our gross margin for international customers is typically lower than our gross margin for domestic customers. As a result, our gross margin has been, and may continue to be, adversely impacted as we expand our operations and customer base worldwide. Our failure to manage any of these risks successfully could harm our international operations, and adversely affect our business, results of operations and financial condition.</w:t>
      </w:r>
    </w:p>
    <w:p>
      <w:pPr>
        <w:spacing w:after="0" w:line="157"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b w:val="1"/>
          <w:bCs w:val="1"/>
          <w:i w:val="1"/>
          <w:iCs w:val="1"/>
          <w:color w:val="auto"/>
        </w:rPr>
        <w:t>We currently generate significant revenue from our largest customers, and the loss or decline in revenue from any of these customers could harm our business, results of operations and financial condition.</w:t>
      </w:r>
    </w:p>
    <w:p>
      <w:pPr>
        <w:spacing w:after="0" w:line="170"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the nine months ended September 30, 2023 and the years ended December 31, 2022 and 2021, our 10 largest Active Customer Accounts generated an aggregate of 10%, 12% and 11% of our revenue, respectively. If any of these customers, or other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w:t>
      </w:r>
    </w:p>
    <w:p>
      <w:pPr>
        <w:spacing w:after="0" w:line="192"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We may not realize potential benefits from our acquisitions, partnerships and investments because of difficulties related to integration, the achievement of synergies, and other challenges.</w:t>
      </w:r>
    </w:p>
    <w:p>
      <w:pPr>
        <w:spacing w:after="0" w:line="170"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have acquired and invested in businesses and technologies that are complementary to our business through acquisitions, partnerships or investments, and we expect to continue to selectively evaluate strategic opportunities in the future.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w:t>
      </w:r>
    </w:p>
    <w:p>
      <w:pPr>
        <w:sectPr>
          <w:pgSz w:w="11900" w:h="16838" w:orient="portrait"/>
          <w:cols w:equalWidth="0" w:num="1">
            <w:col w:w="11220"/>
          </w:cols>
          <w:pgMar w:left="320" w:top="1111" w:right="3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type w:val="continuous"/>
        </w:sectPr>
      </w:pPr>
    </w:p>
    <w:bookmarkStart w:id="62" w:name="page63"/>
    <w:bookmarkEnd w:id="62"/>
    <w:p>
      <w:pPr>
        <w:ind w:right="40"/>
        <w:spacing w:after="0" w:line="342" w:lineRule="auto"/>
        <w:rPr>
          <w:sz w:val="20"/>
          <w:szCs w:val="20"/>
          <w:color w:val="auto"/>
        </w:rPr>
      </w:pPr>
      <w:r>
        <w:rPr>
          <w:rFonts w:ascii="Arial" w:cs="Arial" w:eastAsia="Arial" w:hAnsi="Arial"/>
          <w:sz w:val="16"/>
          <w:szCs w:val="16"/>
          <w:color w:val="auto"/>
        </w:rPr>
        <w:t>ongoing businesses or unexpected issues, higher than expected costs and an overall post-completion process that takes longer than originally anticipated. In addition, the following issues, among others, must be addressed in order to realize the anticipated benefits of our acquisitions, partnerships or investments:</w:t>
      </w:r>
    </w:p>
    <w:p>
      <w:pPr>
        <w:spacing w:after="0" w:line="124"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combining the acquired businesses’ corporate functions with our corporate functions;</w:t>
      </w:r>
    </w:p>
    <w:p>
      <w:pPr>
        <w:spacing w:after="0" w:line="225"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combining acquired businesses with our existing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183"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maintaining existing agreements with customers, distributors, providers, talent and vendors and avoiding delays in entering into new agreements with prospective customers, distributors, providers, talent and vendors;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determining whether and how to address possible differences in corporate cultures and management philosophies;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integrating the companies’ compliance, administrative and IT infrastructure;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developing products and technology that allow value to be unlocked in the future;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evaluating and forecasting the financial impact of such acquisitions, partnerships and investments, including accounting charges;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affecting potential actions that may be required in connection with obtaining regulatory approvals.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addition, at times the attention of certain members of our management and resources may be focused on integration of the acquired businesses and diverted from day-to-day business operations, which may disrupt our ongoing business.</w:t>
      </w:r>
    </w:p>
    <w:p>
      <w:pPr>
        <w:spacing w:after="0" w:line="17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21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From time to time we may also divest or stop investing in certain businesses or products. For example, in the second quarter of 2023, we sold our Internet of Things assets and liabilities, and in the third quarter of 2023, we sold our ValueFirst business. The sale of a business or product may require us to restructure operations and/or terminate employees, and could expose us to unanticipated ongoing obligations and liabilities, including as a result of our indemnification obligations. Additionally, such transactions could disrupt our customer, supplier and/or employee relationships and divert management and our employees’ time and attention. During the pendency of a divestiture, we may be subject to risks related to a decline in the business, loss of employees, customers, or suppliers, and that the transaction may not close, which could have an adverse effect on the business to be divested and on us. Additionally, we may experience harm to our financial results, including loss of revenue, and we may not realize the expected benefits and cost savings of these actions and our operating results may be adversely impacted.</w:t>
      </w:r>
    </w:p>
    <w:p>
      <w:pPr>
        <w:spacing w:after="0" w:line="205"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b w:val="1"/>
          <w:bCs w:val="1"/>
          <w:i w:val="1"/>
          <w:iCs w:val="1"/>
          <w:color w:val="auto"/>
        </w:rPr>
        <w:t>The use of AI technologies in our platform and our business may not produce the desired benefits, and may result in increased liability, reputational harm, or other adverse consequences.</w:t>
      </w:r>
    </w:p>
    <w:p>
      <w:pPr>
        <w:spacing w:after="0" w:line="184" w:lineRule="exact"/>
        <w:rPr>
          <w:sz w:val="20"/>
          <w:szCs w:val="20"/>
          <w:color w:val="auto"/>
        </w:rPr>
      </w:pPr>
    </w:p>
    <w:p>
      <w:pPr>
        <w:ind w:right="120" w:firstLine="486"/>
        <w:spacing w:after="0" w:line="251" w:lineRule="auto"/>
        <w:rPr>
          <w:sz w:val="20"/>
          <w:szCs w:val="20"/>
          <w:color w:val="auto"/>
        </w:rPr>
      </w:pPr>
      <w:r>
        <w:rPr>
          <w:rFonts w:ascii="Arial" w:cs="Arial" w:eastAsia="Arial" w:hAnsi="Arial"/>
          <w:sz w:val="17"/>
          <w:szCs w:val="17"/>
          <w:color w:val="auto"/>
        </w:rPr>
        <w:t>We continue to incorporate additional AI solutions and features into our platform and our business, and these solutions and features may become more important to our operations or to our future growth over time. We expect to rely on AI solutions and features to help drive future growth in our business, but there can be no assurance that we will realize the desired or anticipated benefits from AI. Our investments in AI solutions and features have and may continue to negatively impact our Data &amp; Applications cost of revenue and gross margins until we are able to increase revenue enough to offset these investments. We may also fail to properly implement or market our AI solutions and features. Our competitors or other third parties may incorporate AI into their products, offerings, and solutions more quickly or more successfully than us, which could impair our ability to compete effectively and adversely affect our results of operations. Our ability to effectively implement and market our AI solutions and features will depend, in part, on our ability to attract and retain employees with AI expertise, and we expect significant competition for professionals with the skills and technical knowledge that we will require. Additionally, our offerings based on AI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solutions or features assist in producing are or are alleged to be deficient, inaccurate, or biased, or if such content, recommendations, solutions or features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3" w:name="page64"/>
    <w:bookmarkEnd w:id="63"/>
    <w:p>
      <w:pPr>
        <w:ind w:right="80"/>
        <w:spacing w:after="0" w:line="255" w:lineRule="auto"/>
        <w:rPr>
          <w:sz w:val="20"/>
          <w:szCs w:val="20"/>
          <w:color w:val="auto"/>
        </w:rPr>
      </w:pPr>
      <w:r>
        <w:rPr>
          <w:rFonts w:ascii="Arial" w:cs="Arial" w:eastAsia="Arial" w:hAnsi="Arial"/>
          <w:sz w:val="17"/>
          <w:szCs w:val="17"/>
          <w:color w:val="auto"/>
        </w:rPr>
        <w:t>or their development or deployment (including the collection, use, or other processing of data used to train or create such AI solutions or features) are found to have or alleged to have infringed upon or misappropriated third-party intellectual property rights or violate applicable laws, regulations, or other actual or asserted legal obligations to which we are or may become subject. The legal, regulatory, and policy environments around AI are evolving rapidly, and we may become subject to new and evolving legal and other obligations. These and other developments may require us to make significant changes to our use of AI, including by limiting or restricting our use of AI, and which may require us to make significant changes to our policies and practices, which may necessitate expenditure of significant time, expense, and other resources. AI also presents emerging ethical issues, and if our use of AI becomes controversial, we may experience brand or reputational harm.</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Cyber Security, Data Privacy and Intellectual Property</w:t>
      </w:r>
    </w:p>
    <w:p>
      <w:pPr>
        <w:spacing w:after="0" w:line="229"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b w:val="1"/>
          <w:bCs w:val="1"/>
          <w:i w:val="1"/>
          <w:iCs w:val="1"/>
          <w:color w:val="auto"/>
        </w:rPr>
        <w:t>Breaches of or incidents impacting our networks or systems, or those of Amazon Web Services (“AWS”) or our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spacing w:after="0" w:line="18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depend upon our IT systems to conduct virtually all of our business operations, ranging from our internal operations and research and development activities to our marketing and sales efforts and communications with our customers and business partners. We have in the past and may in the future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or unavailability of data or other information technology assets, adware, telecommunications failures, earthquakes, fires, floods, natural disasters, and other similar threats.</w:t>
      </w:r>
    </w:p>
    <w:p>
      <w:pPr>
        <w:spacing w:after="0" w:line="195"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Individuals or entities may attempt to penetrate the security of our platform, or of our network or systems,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software vulnerabilities, supply chain attacks and vulnerabilities through our third-party partners, employees theft or misuse, password spraying, phishing, smishing, vishing,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AWS or other cloud services), internal networks, our customers’ systems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or reduce the negative impact of a ransomware attack, but we may be unwilling or unable to make such payments due to, for example, applicable laws or regulations prohibiting such payments. Because the techniques used to access, disrupt or sabotage devices, systems and networks change frequently and may not be recognized until launched against a target, we may be required to make further investments over time to protect data and infrastructure as cybersecurity threats develop, evolve and grow more complex over time. We may also be unable to anticipate these techniques, and we may not become aware in a timely manner of any security breach or incident, which could exacerbate any damage we experience.</w:t>
      </w:r>
    </w:p>
    <w:p>
      <w:pPr>
        <w:spacing w:after="0" w:line="167"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Additionally, we depend upon our employees and contractors to appropriately handle confidential and sensitive data, including customer data, and to deploy our IT resources in a safe and secure manner that does not expose our network systems to security breaches or incidents or the loss, alteration, unavailability, or other unauthorized processing of data. We have been and expect to be subject to cybersecurity threats and incidents, including denial-of-service attacks, employee errors or individual attempts to gain unauthorized access to information systems. We also continue to incorporate AI solutions and features into our platform, which may result in security incidents or otherwise increase cybersecurity risks. Further, AI technologies may be used in connection with certain cybersecurity attacks, resulting in heightened risks of security breaches and incidents. Any data security incidents, including internal malfeasance or inadvertent disclosures by our employees or a third party’s fraudulent inducement of our employees to disclose information, unauthorized access or usage, virus or similar breach or incident or disruption of our platform, systems, or networks or those of our service providers, such as AWS, could result in loss, unavailability, or other unauthorized processing of confidential information, and any such event, or the perception that it has occurred, may result in damage to our reputation, erosion of customer trust, loss of customers, litigation, regulatory investigations, fines, penalties and other liabilities. For example, in June and August 2022, we became aware that threat actors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4" w:name="page65"/>
    <w:bookmarkEnd w:id="64"/>
    <w:p>
      <w:pPr>
        <w:ind w:right="160"/>
        <w:spacing w:after="0" w:line="271" w:lineRule="auto"/>
        <w:rPr>
          <w:sz w:val="20"/>
          <w:szCs w:val="20"/>
          <w:color w:val="auto"/>
        </w:rPr>
      </w:pPr>
      <w:r>
        <w:rPr>
          <w:rFonts w:ascii="Arial" w:cs="Arial" w:eastAsia="Arial" w:hAnsi="Arial"/>
          <w:sz w:val="17"/>
          <w:szCs w:val="17"/>
          <w:color w:val="auto"/>
        </w:rPr>
        <w:t>had conducted sophisticated social engineering campaigns against some of our employees after having obtained employee names and cell phone numbers from unknown sources. The attack identified in August, which involved smishing text messages that purported to be from our IT department, resulted in the threat actor obtaining some of our employees’ credentials and access to certain data of approximately 209 customers out of our total customer base of approximately 270,000 at that time. We notified and worked with our affected customers. We also notified appropriate regulators and addressed their questions about the incident. We also took steps to remediate the incident, including enhancing our security training, improving our two factor authentication requirements, implementing additional layers of control within our VPN, reducing access to certain internal applications and tools, and increasing the refresh frequency for access to certain internal applications. Industry reports indicate that the threat actors also attacked other technology, telecommunication and cryptocurrency companies.</w:t>
      </w:r>
    </w:p>
    <w:p>
      <w:pPr>
        <w:spacing w:after="0" w:line="178"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Furthermore, we are required to comply with laws and regulations that require us to maintain the security of personal information and we may have contractual and other legal obligations to notify customers, regulators, government agencies, impacted individuals or other relevant stakeholders of security breaches.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and other actions or proceedings (for example, investigations, audits, and inspections), and related fines, penalties, required remedial actions, or other obligations and liabilities; additional reporting requirements and/or oversight; restrictions on processing or transferring data (including personal data); claims, demands, and litigation (including class claims); indemnification obligations; monetary fund diversions; interruptions in our operations (including availability of data); financial loss and other similar harms. Actual and perceived security incidents and attendant consequences could also lead to negative publicity and reputational harm, may cause our customers to lose confidence in the effectiveness of our security measures and require us to expend significant capital and other resources to respond to and/or mitigate the security incident. Accordingly, if our cybersecurity measures or those of AWS or our service providers fail to protect against unauthorized access, attacks (which may include sophisticated cyberattacks), or if our employees or contractors compromise or mishandle data, then our reputation, customer trust, business, results of operations and financial condition could be adversely affected.</w:t>
      </w:r>
    </w:p>
    <w:p>
      <w:pPr>
        <w:spacing w:after="0" w:line="174"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spacing w:after="0" w:line="16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We substantially rely upon AWS to operate our platform, and any disruption of or interference with our use of AWS would adversely affect our business, results of operations and financial condition.</w:t>
      </w:r>
    </w:p>
    <w:p>
      <w:pPr>
        <w:spacing w:after="0" w:line="17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outsource a substantial majority of our cloud infrastructure to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fraud or security attacks. In addition, if our security, or that of AWS, is compromised, our products or platform are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other factors that may result in interruptions, delays and outages in service and availability of our products and/or services, our business, results of operations and financial condition may be adversely affected. In addition, if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spacing w:after="0" w:line="18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substantial majority of the services we use from AWS are for cloud-based server capacity and, to a lesser extent, storage and other optimization offerings. AWS enables us to order and reserve server capacity in varying amounts and sizes distributed across multiple regions. We access AWS infrastructure through standard IP connectivity protocols. AWS provides us with computing and storage capacity pursuant to an agreement that continues until terminated by either party. AWS may</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5" w:name="page66"/>
    <w:bookmarkEnd w:id="65"/>
    <w:p>
      <w:pPr>
        <w:spacing w:after="0" w:line="254" w:lineRule="auto"/>
        <w:rPr>
          <w:sz w:val="20"/>
          <w:szCs w:val="20"/>
          <w:color w:val="auto"/>
        </w:rPr>
      </w:pPr>
      <w:r>
        <w:rPr>
          <w:rFonts w:ascii="Arial" w:cs="Arial" w:eastAsia="Arial" w:hAnsi="Arial"/>
          <w:sz w:val="18"/>
          <w:szCs w:val="18"/>
          <w:color w:val="auto"/>
        </w:rPr>
        <w:t>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reduce their usage of our products, discourage them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92" w:lineRule="exact"/>
        <w:rPr>
          <w:sz w:val="20"/>
          <w:szCs w:val="20"/>
          <w:color w:val="auto"/>
        </w:rPr>
      </w:pPr>
    </w:p>
    <w:p>
      <w:pPr>
        <w:ind w:right="460" w:firstLine="486"/>
        <w:spacing w:after="0" w:line="342" w:lineRule="auto"/>
        <w:rPr>
          <w:sz w:val="20"/>
          <w:szCs w:val="20"/>
          <w:color w:val="auto"/>
        </w:rPr>
      </w:pPr>
      <w:r>
        <w:rPr>
          <w:rFonts w:ascii="Arial" w:cs="Arial" w:eastAsia="Arial" w:hAnsi="Arial"/>
          <w:sz w:val="16"/>
          <w:szCs w:val="16"/>
          <w:b w:val="1"/>
          <w:bCs w:val="1"/>
          <w:i w:val="1"/>
          <w:iCs w:val="1"/>
          <w:color w:val="auto"/>
        </w:rPr>
        <w:t>Our actual or perceived failure to comply with increasingly stringent laws, regulations and contractual obligations relating to privacy, data protection and data security could harm our reputation and subject us to significant fines and liability or loss of business.</w:t>
      </w:r>
    </w:p>
    <w:p>
      <w:pPr>
        <w:spacing w:after="0" w:line="124"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We and our customers are subject to numerous domestic (for example, the California Consumer Privacy Act of 2018 (“CCPA”)) and foreign (for example, the General Data Protection Regulation (“GDPR”) in the European Union (“EU”)) privacy, data protection and data security laws and regulations that restrict the collection, use, disclosure and processing of personal information, including financial and health data. These laws and regulations are expanding globally, evolving, are being tested in courts, may result in increasing regulatory and public scrutiny of our practices relating to personal information and may increase our exposure to regulatory enforcement action, sanctions and litigation.</w:t>
      </w:r>
    </w:p>
    <w:p>
      <w:pPr>
        <w:spacing w:after="0" w:line="17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CCPA (as amended by the California Privacy Rights Act of 2020) imposes obligations on businesses to which it applies. These obligations include, but are not limited to, providing specific disclosures in privacy notices and affording California residents (both consumers and employees) certain rights related to their personal information. The CCPA allows for statutory fines for noncompliance. Similar laws have been enacted or been proposed at the state and federal levels. For example, Connecticut, Utah, Virginia and Colorado have each passed laws similar to but different from the CCPA that have taken or will take effect in 2023; Florida, Montana, Oregon and Texas have enacted similar legislation that becomes effective in 2024; Tennessee, Delaware and Iowa have passed such a law that will take effect in 2025; and Indiana has enacted similar legislation that will become effective in 2026. If we become subject to new privacy, data protection and data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181"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Outside the United States, an increasing number of laws, regulations, and industry standards apply to privacy, data protection and data security. For example, the GDPR, the United Kingdom’s Data Protection Act 2018 (“UK GDPR”) and the new Swiss Federal Act on Data Protection, which became effective in September 2023, impose strict requirements for processing the personal information of individuals protected by the legislation, whether their data is processed within or outside the European Economic Area (“EEA”), the United Kingdom (“UK”) and Switzerland, respectively (such jurisdictions, collectively, “Europe”). For example, the GDPR imposes significant requirements regarding the processing of individuals’ personal information, including in relation to transparency, lawfulness of processing, individuals’ privacy rights, compliant contracting, data minimization, data breach notification, data re-usage, data retention, security of processing and international data transfers. Under the GDPR and UK GDPR, government regulators may impose temporary or definitive bans on data processing or data transfers, require a company to delete data, as well as impose significant fines, potentially ranging up to 20 million Euros under the GDPR, 17.5 million GBP under the UK GDPR, or 4% of a company’s worldwide revenue, whichever is higher. Further, individuals may initiate compensation claims or litigation related to our processing of their personal information. Other privacy laws in Europe impose strict requirements around marketing communications and the deployment of cookies on users’ devices. As another example, Brazil’s General Data Protection Law (Lei Geral de Proteção de Dados Pessoais, or “LGPD”) (Law No. 13,709/2018) may apply to our operations. The LGPD broadly regulates processing of personal information of individuals in Brazil and imposes compliance obligations and penalties comparable to those of the GDPR. Additionally, we expect an increase in the regulation of the use of AI and ML in products and services. For example, in Europe, the proposed Artificial Intelligence Act (“AI Act”), if adopted, could impose onerous obligations related to the development, placing on the market and use of AI-related systems. We may have to change our business practices to comply with such obligations.</w:t>
      </w:r>
    </w:p>
    <w:p>
      <w:pPr>
        <w:spacing w:after="0" w:line="17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 For example, the EU’s Digital Services Act and Digital Markets Act recently entered into force, whereas proposed laws in Europe include the AI Act and the Data Act. Also,</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6" w:name="page67"/>
    <w:bookmarkEnd w:id="66"/>
    <w:p>
      <w:pPr>
        <w:ind w:right="260"/>
        <w:spacing w:after="0" w:line="277" w:lineRule="auto"/>
        <w:rPr>
          <w:sz w:val="20"/>
          <w:szCs w:val="20"/>
          <w:color w:val="auto"/>
        </w:rPr>
      </w:pPr>
      <w:r>
        <w:rPr>
          <w:rFonts w:ascii="Arial" w:cs="Arial" w:eastAsia="Arial" w:hAnsi="Arial"/>
          <w:sz w:val="18"/>
          <w:szCs w:val="18"/>
          <w:color w:val="auto"/>
        </w:rPr>
        <w:t>the UK Parliament is currently debating the Data Protection and Digital Information (No. 2) Bill which, if enacted, will introduce certain changes to the UK’s data protection laws.</w:t>
      </w:r>
    </w:p>
    <w:p>
      <w:pPr>
        <w:spacing w:after="0" w:line="170"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Similarly, with our registration as an interconnected VoIP provider for certain products with the Federal Communications Commission (“FCC”), we also must comply with privacy laws associated with customer proprietary network information rules in the United States. If we fail or are perceived to have failed to maintain compliance with these requirements, we could be subject to regulatory audits, civil and criminal penalties, fines and breach of contract claims, as well as reputational damage, which could impact the willingness of customers to do business with us.</w:t>
      </w:r>
    </w:p>
    <w:p>
      <w:pPr>
        <w:spacing w:after="0" w:line="17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addition to our legal obligations, our contractual obligations relating to privacy, data protection and data security have become increasingly stringent due to changes in laws and regulations and the expansion of our offerings. Certain privacy, data protection and data security laws, such as the GDPR and the CCPA, require our customers to impose specific contractual restrictions on their service providers. In addition, we support customer workloads that involve the processing of protected health information and are required to sign business associate agreements with customers that subject us to requirements under the federal Health Insurance Portability and Accountability Act of 1996, as amended by the Health Information Technology for Economic and Clinical Health Act of 2009, as well as state laws that govern health information.</w:t>
      </w:r>
    </w:p>
    <w:p>
      <w:pPr>
        <w:spacing w:after="0" w:line="178" w:lineRule="exact"/>
        <w:rPr>
          <w:sz w:val="20"/>
          <w:szCs w:val="20"/>
          <w:color w:val="auto"/>
        </w:rPr>
      </w:pPr>
    </w:p>
    <w:p>
      <w:pPr>
        <w:jc w:val="both"/>
        <w:ind w:right="80" w:firstLine="486"/>
        <w:spacing w:after="0" w:line="311" w:lineRule="auto"/>
        <w:rPr>
          <w:sz w:val="20"/>
          <w:szCs w:val="20"/>
          <w:color w:val="auto"/>
        </w:rPr>
      </w:pPr>
      <w:r>
        <w:rPr>
          <w:rFonts w:ascii="Arial" w:cs="Arial" w:eastAsia="Arial" w:hAnsi="Arial"/>
          <w:sz w:val="16"/>
          <w:szCs w:val="16"/>
          <w:color w:val="auto"/>
        </w:rPr>
        <w:t>Our actual or perceived failure to comply with laws, regulations, contractual commitments, or other actual or asserted obligations, including certain industry standards, regarding privacy, data protection and data security could lead to costly legal action, adverse publicity, significant liability, inability to process data, and decreased demand for our services, which could adversely affect our business, results of operations and financial condition.</w:t>
      </w:r>
    </w:p>
    <w:p>
      <w:pPr>
        <w:spacing w:after="0" w:line="149"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As a cumulative example of these risks, because our primary data processing facilities are in the United States, we have experienced hesitancy, reluctance, or refusal by European or multinational customers to continue to use our services due to the potential risks posed as a result of the Court of Justice’s July 2020 ruling in the “Schrems II” case, as well as related guidance from regulators and the recent enforcement action against Meta by the Irish Data Protection Commission. For example, absent appropriate safeguards or other circumstances, the GDPR and laws in Switzerland and the UK generally restrict the transfer of personal information to countries outside of the EEA, Switzerland and the UK such as the United States. On July 10, 2023, the European Commission adopted its adequacy decision for the EU-U.S. Data Privacy Framework. Based on this new adequacy decision, personal information can flow from the EU to U.S. companies participating in the EU-U.S. Data Privacy Framework without having to put in place additional data protection safeguards. We are certified under the EU-U.S. Data Privacy Framework, the UK Extension to the EU-U.S. Data Privacy Framework, and the Swiss-U.S. Data Privacy Framework. If we cannot maintain a valid mechanism for cross-border data transfers, we and our customers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In addition, outside of Europe, other jurisdictions have proposed and enacted laws relating to cross-border data transfer or requiring personal information, or certain subcategories of personal information, to be stored in the jurisdiction of origin. If we are unable to increase our data processing capabilities and storage in Europe and other countries to limit or eliminate the need for data transfers out of Europe and other applicable countries quickly enough, and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across borders.</w:t>
      </w:r>
    </w:p>
    <w:p>
      <w:pPr>
        <w:spacing w:after="0" w:line="171"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Evolving laws, regulations, and other actual and asserted obligations relating to privacy, data protection, and data security, as well as any new or evolving obligations relating to the use of AI and ML technologies, could reduce demand for our platform,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actual and asserted obligations, or any changes in their interpretation, we may find it necessary or desirable to fundamentally change our business activities and practices or to expend significant resources to modify our practices and platform and otherwise adapt to these changes. We may be unable to make such changes and modifications in a commercially reasonable manner or at all, and our ability to develop new products and features could be limited.</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67" w:name="page68"/>
    <w:bookmarkEnd w:id="67"/>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70"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spacing w:after="0" w:line="16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w:t>
      </w:r>
    </w:p>
    <w:p>
      <w:pPr>
        <w:spacing w:after="0" w:line="192"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spacing w:after="0" w:line="192"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We have been sued and may, in the future, be sued by third parties for alleged infringement of their intellectual or other proprietary rights, which could adversely affect our business, results of operations and financial condition.</w:t>
      </w:r>
    </w:p>
    <w:p>
      <w:pPr>
        <w:spacing w:after="0" w:line="17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w:t>
      </w:r>
    </w:p>
    <w:p>
      <w:pPr>
        <w:spacing w:after="0" w:line="165"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w:t>
      </w:r>
    </w:p>
    <w:p>
      <w:pPr>
        <w:spacing w:after="0" w:line="18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8" w:name="page69"/>
    <w:bookmarkEnd w:id="68"/>
    <w:p>
      <w:pPr>
        <w:ind w:left="500"/>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225"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29"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telecommunications-related regulations, and future legislative or regulatory actions could adversely affect our business, results of operations and financial condition.</w:t>
      </w:r>
    </w:p>
    <w:p>
      <w:pPr>
        <w:spacing w:after="0" w:line="170"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As a provider of communications products, we are subject to existing or potential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For example, on January 25, 2023, we received a “cease-and-desist” letter from the FCC related to reported fraudulent traffic on our messaging platform. We subsequently removed the identified traffic. In response to written questions from the FCC, we sent a follow-up letter to the agency on February 10, 2023 detailing our fraud mitigation practices and various planned improvements to reduce future risks. There has been no further communication from the agency on this matter. Any enforcement action by the FCC, which may be a public process, would hurt our reputation in the industry, could erode customer trust, possibly impair our ability to sell our VoIP and other telecommunications products to customers and could adversely affect our business, results of operations and financial condition.</w:t>
      </w:r>
    </w:p>
    <w:p>
      <w:pPr>
        <w:spacing w:after="0" w:line="168"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Certain of our products are subject to a number of FCC regulations and laws that are administered by the FCC. Among others, we must comply (in whole or in part) with:</w:t>
      </w:r>
    </w:p>
    <w:p>
      <w:pPr>
        <w:spacing w:after="0" w:line="170"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Communications Act of 1934, as amended, which regulates communications services and the provision of such services;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Telephone Consumer Protection Act, which limits the use of automatic dialing systems for calls and texts, artificial or prerecorded voice messages and fax machines;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Communications Assistance for Law Enforcement Act, which requires covered entities to assist law enforcement in undertaking electronic surveillance;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safeguard the privacy of certain customer information;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9" w:name="page70"/>
    <w:bookmarkEnd w:id="69"/>
    <w:p>
      <w:pPr>
        <w:ind w:left="980" w:hanging="324"/>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payment of annual FCC regulatory fees and contributions to FCC-administered funds based on our interstate and international revenues;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rules pertaining to access to our services by people with disabilities and contributions to the Telecommunications Relay Services fund.</w:t>
      </w:r>
    </w:p>
    <w:p>
      <w:pPr>
        <w:spacing w:after="0" w:line="237"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In addition, Congress and the FCC are attempting to mitigate the prevalence of robocalls by requiring participation in a technical standard called Signature-based Handling of Asserted Information Using toKENs (“SHAKEN”) and Secure Telephone Identity Revisited (“STIR”) (together, “SHAKEN/STIR”), which allows voice carriers to authenticate caller ID, prohibiting malicious spoofing.</w:t>
      </w:r>
    </w:p>
    <w:p>
      <w:pPr>
        <w:spacing w:after="0" w:line="18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National Institute of Standards and Technology issued a Secure Software Development Framework (SSDF) on September 30, 2021 and Software Supply Chain Security Guidance (incorporating the SSDF), on February 4, 2022, and on March 7, 2022, the Office of Management and Budget directed federal agencies to incorporate both documents into their software lifecycle and acquisitions practices. The Executive Order also may lead to the development of additional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82"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w:t>
      </w:r>
    </w:p>
    <w:p>
      <w:pPr>
        <w:spacing w:after="0" w:line="16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As we continue to expand internationally, we have become subject to telecommunications laws and regulations in the foreign countries where we offer our products. Internationally, we currently offer our products in more than 180 countries and territories.</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international operations are subject to country-specific governmental regulation and related actions that have increased and will continue to increase our compliance costs or impact our products and platform or prevent us from offering or providing our products in certain countries. Moreover, the regulation of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spacing w:after="0" w:line="17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Moreover, certain of our products may be used by customers located in countries where voice and other forms of Internet Protocol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required to raise the prices of services, or restructure or discontinue those services if required by law or if we cannot or will not meet those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adversely affect our business, results of operations and financial condition.</w:t>
      </w:r>
    </w:p>
    <w:p>
      <w:pPr>
        <w:spacing w:after="0" w:line="211"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b w:val="1"/>
          <w:bCs w:val="1"/>
          <w:i w:val="1"/>
          <w:iCs w:val="1"/>
          <w:color w:val="auto"/>
        </w:rPr>
        <w:t>If we are unable to obtain or retain geographical, mobile, regional, local or toll-free numbers, or to effectively process requests to port such numbers in a timely manner due to industry regulations, our business and results of operations may be adversely affected.</w:t>
      </w:r>
    </w:p>
    <w:p>
      <w:pPr>
        <w:spacing w:after="0" w:line="124"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spacing w:after="0" w:line="164"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violates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86"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w:t>
      </w:r>
    </w:p>
    <w:p>
      <w:pPr>
        <w:spacing w:after="0" w:line="164"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spacing w:after="0" w:line="178"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b w:val="1"/>
          <w:bCs w:val="1"/>
          <w:i w:val="1"/>
          <w:iCs w:val="1"/>
          <w:color w:val="auto"/>
        </w:rPr>
        <w:t>United States federal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24"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The Federal Controlling the Assault of Non-Solicited Pornography and Marketing Act of 2003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1" w:name="page72"/>
    <w:bookmarkEnd w:id="71"/>
    <w:p>
      <w:pPr>
        <w:spacing w:after="0" w:line="269" w:lineRule="auto"/>
        <w:rPr>
          <w:sz w:val="20"/>
          <w:szCs w:val="20"/>
          <w:color w:val="auto"/>
        </w:rPr>
      </w:pPr>
      <w:r>
        <w:rPr>
          <w:rFonts w:ascii="Arial" w:cs="Arial" w:eastAsia="Arial" w:hAnsi="Arial"/>
          <w:sz w:val="17"/>
          <w:szCs w:val="17"/>
          <w:color w:val="auto"/>
        </w:rPr>
        <w:t>significantly more restrictive and difficult to comply with than the CAN-SPAM Act. For example, Utah and Michigan prohibit the sending of email messages that advertise products or services that minors are prohibited by law from purchasing or that contain content harmful to minors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spacing w:after="0" w:line="18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b w:val="1"/>
          <w:bCs w:val="1"/>
          <w:i w:val="1"/>
          <w:iCs w:val="1"/>
          <w:color w:val="auto"/>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spacing w:after="0" w:line="18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use of automatic SMS text messages without explicit customer consent. TCPA violations can result in significant financial penalties, as businesses can incur penalties or criminal fines imposed by the FCC or be fined up to $1,500 per violation through private litigation or state attorneys general or other state actor enforcement. 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spacing w:after="0" w:line="196"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Moreover,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For example, on January 25, 2023, we received a cease-and-desist letter from the FCC alleging that we were transmitting illegal robocall traffic that originated from an independent software vendor customer and their end user customer. In response, we suspended the customers’ accounts and sent the FCC a follow-up letter on February 10, 2023 detailing our fraud mitigation practices and various planned improvements to reduce future risks. There has been no further communication from the agency on this matter. Failure to respond appropriately to the FCC’s allegations could allow domestic carriers to begin blocking all voice traffic transmitting from our network.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spacing w:after="0" w:line="16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Our customers’ and other users’ promotion of their products and services through our platform might not comply with federal, state, and foreign laws or of contractual requirements imposed by carriers, such as the CTIA Shortcode Agreement, The Campaign Registry, and associated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2" w:name="page73"/>
    <w:bookmarkEnd w:id="72"/>
    <w:p>
      <w:pPr>
        <w:ind w:right="60"/>
        <w:spacing w:after="0" w:line="277" w:lineRule="auto"/>
        <w:rPr>
          <w:sz w:val="20"/>
          <w:szCs w:val="20"/>
          <w:color w:val="auto"/>
        </w:rPr>
      </w:pPr>
      <w:r>
        <w:rPr>
          <w:rFonts w:ascii="Arial" w:cs="Arial" w:eastAsia="Arial" w:hAnsi="Arial"/>
          <w:sz w:val="18"/>
          <w:szCs w:val="18"/>
          <w:color w:val="auto"/>
        </w:rPr>
        <w:t>are enacted.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70"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Additionally, our products may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177"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7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particular, in October 2023 the FCC moved to advance a proposal that would restore “network neutrality” rules in the United States, which could affect the services used by us and our customers. If limits are imposed on the types of traffic that U.S. domestic carriers can carry over their broadband networks, it could adversely affect the amount of carrier-originated traffic that we carry. California’s state network neutrality law went into effect on March 10, 2021. A temporary injunction preventing implementation of a similar law in Vermont expired on April 20, 2022, but a challenge to that law remains pending. A number of other states have adopted or are adopting or considering legislation or executive actions that would regulate the conduct of broadband providers.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i w:val="1"/>
          <w:iCs w:val="1"/>
          <w:color w:val="auto"/>
        </w:rPr>
        <w:t>Our global operations subject us to potential liability under export control, economic trade sanctions, anti-corruption, and other laws and</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regulations, and such violations could impair our ability to compete in international markets and could subject us to liability for compliance violations.</w:t>
      </w:r>
    </w:p>
    <w:p>
      <w:pPr>
        <w:spacing w:after="0" w:line="24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Certain of our products and services may be subject to export control and economic sanctions laws and regulations, including the U.S. Export Administration Regulations, U.S. Customs regulations, and various economic and trade sanctions regulations administered by the U.S. Treasury Department’s Office of Foreign Assets Control as well as similar laws and regulations in other countries in which we do business. Exports of our products and the provision of our services must be made in compliance with these requirements. Although we take precautions to prevent our products from being provided in violation of such laws, we are aware of previous exports of certain of our products to a small number of persons and organizations that are the subject of U.S. sanctions or are located in countries or regions subject to U.S. sanctions.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spacing w:after="0" w:line="186"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Further, we incorporate encryption technology into certain of our products. Various countries regulate the import of certain encryption technology, including through import permitting and licensing requirements, and have enacted laws that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3" w:name="page74"/>
    <w:bookmarkEnd w:id="73"/>
    <w:p>
      <w:pPr>
        <w:ind w:right="220"/>
        <w:spacing w:after="0" w:line="272" w:lineRule="auto"/>
        <w:rPr>
          <w:sz w:val="20"/>
          <w:szCs w:val="20"/>
          <w:color w:val="auto"/>
        </w:rPr>
      </w:pPr>
      <w:r>
        <w:rPr>
          <w:rFonts w:ascii="Arial" w:cs="Arial" w:eastAsia="Arial" w:hAnsi="Arial"/>
          <w:sz w:val="17"/>
          <w:szCs w:val="17"/>
          <w:color w:val="auto"/>
        </w:rPr>
        <w:t>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177"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We are also subject to U.S. and foreign anti-corruption and anti-bribery laws, including the FCPA, the UK Bribery Act 2010, and other anti-corruption laws and regulations in the countries in which we conduct activities. Anti-corruption laws are interpreted broadly and generally prohibit companies, their employees, agents, representatives, business partners, and third-party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none of our employees, agents, representatives, business partners or third-party intermediaries will fail to comply with our policies and applicable laws and regulations, for which we may ultimately be held responsible. Any allegations or violation of the FCPA or other applicable anti-bribery and anti-corruption laws and anti-money laundering laws could result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8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The standards imposed by private entities and inbox service providers to regulate the use and delivery of email have in the past interfered with, and may continue to interfere with, the effectiveness of our platform and our ability to conduct business.</w:t>
      </w:r>
    </w:p>
    <w:p>
      <w:pPr>
        <w:spacing w:after="0" w:line="170" w:lineRule="exact"/>
        <w:rPr>
          <w:sz w:val="20"/>
          <w:szCs w:val="20"/>
          <w:color w:val="auto"/>
        </w:rPr>
      </w:pPr>
    </w:p>
    <w:p>
      <w:pPr>
        <w:jc w:val="both"/>
        <w:ind w:right="80" w:firstLine="486"/>
        <w:spacing w:after="0" w:line="287" w:lineRule="auto"/>
        <w:rPr>
          <w:sz w:val="20"/>
          <w:szCs w:val="20"/>
          <w:color w:val="auto"/>
        </w:rPr>
      </w:pPr>
      <w:r>
        <w:rPr>
          <w:rFonts w:ascii="Arial" w:cs="Arial" w:eastAsia="Arial" w:hAnsi="Arial"/>
          <w:sz w:val="16"/>
          <w:szCs w:val="16"/>
          <w:color w:val="auto"/>
        </w:rPr>
        <w:t>From time to time,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w:t>
      </w:r>
    </w:p>
    <w:p>
      <w:pPr>
        <w:spacing w:after="0" w:line="19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spacing w:after="0" w:line="178"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Any legal proceedings or claims against us could be costly and time-consuming to defend and could harm our reputation regardless of the outcome.</w:t>
      </w:r>
    </w:p>
    <w:p>
      <w:pPr>
        <w:spacing w:after="0" w:line="17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operations as a result of legal proceedings or claims, our business, results of operations and financial condition could be adversely affected.</w:t>
      </w:r>
    </w:p>
    <w:p>
      <w:pPr>
        <w:spacing w:after="0" w:line="221"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170"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As our international operations expand, our exposure to the effects of fluctuations in currency exchange rates grows. For example, global geopolitical events, such as the war in Ukraine, economic events, public health epidemics and pandemics such as the COVID-19 pandemic, trade tariff developments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spacing w:after="0" w:line="178"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Class A common stock could be adversely affected.</w:t>
      </w:r>
    </w:p>
    <w:p>
      <w:pPr>
        <w:spacing w:after="0" w:line="164"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We recently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76" w:lineRule="exact"/>
        <w:rPr>
          <w:sz w:val="20"/>
          <w:szCs w:val="20"/>
          <w:color w:val="auto"/>
        </w:rPr>
      </w:pPr>
    </w:p>
    <w:p>
      <w:pPr>
        <w:ind w:right="40" w:firstLine="486"/>
        <w:spacing w:after="0" w:line="261" w:lineRule="auto"/>
        <w:rPr>
          <w:sz w:val="20"/>
          <w:szCs w:val="20"/>
          <w:color w:val="auto"/>
        </w:rPr>
      </w:pPr>
      <w:r>
        <w:rPr>
          <w:rFonts w:ascii="Arial" w:cs="Arial" w:eastAsia="Arial" w:hAnsi="Arial"/>
          <w:sz w:val="18"/>
          <w:szCs w:val="18"/>
          <w:b w:val="1"/>
          <w:bCs w:val="1"/>
          <w:i w:val="1"/>
          <w:iCs w:val="1"/>
          <w:color w:val="auto"/>
        </w:rPr>
        <w:t>We have incurred substantial indebtedness that may decrease our business flexibility, access to capital, and/or increase our borrowing costs, and we may still incur substantially more debt, which may adversely affect our operations and financial results.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September 30, 2023, we had $1.0 billion of indebtedness outstanding (excluding intercompany indebtedness). Our indebtedness may:</w:t>
      </w:r>
    </w:p>
    <w:p>
      <w:pPr>
        <w:spacing w:after="0" w:line="237" w:lineRule="exact"/>
        <w:rPr>
          <w:sz w:val="20"/>
          <w:szCs w:val="20"/>
          <w:color w:val="auto"/>
        </w:rPr>
      </w:pPr>
    </w:p>
    <w:p>
      <w:pPr>
        <w:ind w:left="980" w:right="38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fund future working capital, capital expenditures, business opportunities, acquisitions or other general corporate requirements;</w:t>
      </w:r>
    </w:p>
    <w:p>
      <w:pPr>
        <w:spacing w:after="0" w:line="170" w:lineRule="exact"/>
        <w:rPr>
          <w:rFonts w:ascii="Arial" w:cs="Arial" w:eastAsia="Arial" w:hAnsi="Arial"/>
          <w:sz w:val="18"/>
          <w:szCs w:val="18"/>
          <w:color w:val="auto"/>
        </w:rPr>
      </w:pPr>
    </w:p>
    <w:p>
      <w:pPr>
        <w:ind w:left="980" w:right="240" w:hanging="324"/>
        <w:spacing w:after="0" w:line="342" w:lineRule="auto"/>
        <w:tabs>
          <w:tab w:leader="none" w:pos="975"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borrowings under a future revolving credit facility, may be at variable rates of interest;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5" w:name="page76"/>
    <w:bookmarkEnd w:id="75"/>
    <w:p>
      <w:pPr>
        <w:ind w:right="40" w:firstLine="486"/>
        <w:spacing w:after="0" w:line="255" w:lineRule="auto"/>
        <w:rPr>
          <w:sz w:val="20"/>
          <w:szCs w:val="20"/>
          <w:color w:val="auto"/>
        </w:rPr>
      </w:pPr>
      <w:r>
        <w:rPr>
          <w:rFonts w:ascii="Arial" w:cs="Arial" w:eastAsia="Arial" w:hAnsi="Arial"/>
          <w:sz w:val="18"/>
          <w:szCs w:val="18"/>
          <w:color w:val="auto"/>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spacing w:after="0" w:line="192"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may require additional capital to support our business, and this capital might not be available on acceptable terms, if at all.</w:t>
      </w:r>
    </w:p>
    <w:p>
      <w:pPr>
        <w:spacing w:after="0" w:line="22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6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to calculate certain of our key metrics, and real or perceived inaccuracies in such metrics could adversely affect our reputation and our business.</w:t>
      </w:r>
    </w:p>
    <w:p>
      <w:pPr>
        <w:spacing w:after="0" w:line="157"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rely on assumptions and estimates to calculate certain of our key metrics, such as Active Customer Accounts and Dollar-Based Net Expansion Rate. Our key metrics are not based on any standardized industry methodology and are not necessarily calculated in the same manner or comparable to similarly titled measures presented by other companies. Similarly, our key metrics may differ from estimates published by third parties or from similarly titled metrics of our competitors due to differences in methodology. The numbers that we use to calculate Active Customer Accounts and Dollar-Based Net Expansion Rate are based on internal data. While these numbers are based on what we believe to be reasonable judgments and estimates for the applicable period of measurement, there are inherent challenges in measuring usage. We regularly review and may adjust our processes for calculating our internal metrics to improve their accuracy.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65" w:lineRule="exact"/>
        <w:rPr>
          <w:sz w:val="20"/>
          <w:szCs w:val="20"/>
          <w:color w:val="auto"/>
        </w:rPr>
      </w:pPr>
    </w:p>
    <w:p>
      <w:pPr>
        <w:ind w:right="500" w:firstLine="486"/>
        <w:spacing w:after="0" w:line="261"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84"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6" w:name="page77"/>
    <w:bookmarkEnd w:id="76"/>
    <w:p>
      <w:pPr>
        <w:ind w:right="100"/>
        <w:spacing w:after="0" w:line="255" w:lineRule="auto"/>
        <w:rPr>
          <w:sz w:val="20"/>
          <w:szCs w:val="20"/>
          <w:color w:val="auto"/>
        </w:rPr>
      </w:pPr>
      <w:r>
        <w:rPr>
          <w:rFonts w:ascii="Arial" w:cs="Arial" w:eastAsia="Arial" w:hAnsi="Arial"/>
          <w:sz w:val="18"/>
          <w:szCs w:val="18"/>
          <w:color w:val="auto"/>
        </w:rPr>
        <w:t>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92" w:lineRule="exact"/>
        <w:rPr>
          <w:sz w:val="20"/>
          <w:szCs w:val="20"/>
          <w:color w:val="auto"/>
        </w:rPr>
      </w:pPr>
    </w:p>
    <w:p>
      <w:pPr>
        <w:ind w:right="800" w:firstLine="486"/>
        <w:spacing w:after="0" w:line="261" w:lineRule="auto"/>
        <w:rPr>
          <w:sz w:val="20"/>
          <w:szCs w:val="20"/>
          <w:color w:val="auto"/>
        </w:rPr>
      </w:pPr>
      <w:r>
        <w:rPr>
          <w:rFonts w:ascii="Arial" w:cs="Arial" w:eastAsia="Arial" w:hAnsi="Arial"/>
          <w:sz w:val="18"/>
          <w:szCs w:val="18"/>
          <w:b w:val="1"/>
          <w:bCs w:val="1"/>
          <w:i w:val="1"/>
          <w:iCs w:val="1"/>
          <w:color w:val="auto"/>
        </w:rPr>
        <w:t>Changes in accounting standards or practices may cause adverse, unexpected financial reporting fluctuations and affect our results of operations.</w:t>
      </w:r>
    </w:p>
    <w:p>
      <w:pPr>
        <w:spacing w:after="0" w:line="18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Accounting Standards Codification (“ASC”) 842, “Leases” that became effective January 1, 2019, had a material impact on our consolidated financial statements as described in detail in Note 2 to the consolidated financial statements included in our Annual Report on Form 10-K for the year ended December 31, 2020.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As of September 30, 2023, we carried a net $5.9 billion of goodwill and intangible assets. An adverse change in market conditions or significant changes in accounting conclusions, particularly if such changes have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88"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8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Class A common stock. In addition, if we are unable to continue to meet these requirements, we may not be able to remain listed on the New York Stock Exchange.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7" w:name="page78"/>
    <w:bookmarkEnd w:id="77"/>
    <w:p>
      <w:pPr>
        <w:jc w:val="center"/>
        <w:ind w:left="480"/>
        <w:spacing w:after="0"/>
        <w:rPr>
          <w:sz w:val="20"/>
          <w:szCs w:val="20"/>
          <w:color w:val="auto"/>
        </w:rPr>
      </w:pPr>
      <w:r>
        <w:rPr>
          <w:rFonts w:ascii="Arial" w:cs="Arial" w:eastAsia="Arial" w:hAnsi="Arial"/>
          <w:sz w:val="18"/>
          <w:szCs w:val="18"/>
          <w:b w:val="1"/>
          <w:bCs w:val="1"/>
          <w:color w:val="auto"/>
        </w:rPr>
        <w:t>Risks Related to Tax Matters</w:t>
      </w:r>
    </w:p>
    <w:p>
      <w:pPr>
        <w:spacing w:after="0" w:line="22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to offset future taxable income and taxes may be subject to certain limitations.</w:t>
      </w:r>
    </w:p>
    <w:p>
      <w:pPr>
        <w:spacing w:after="0" w:line="170"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As of December 31, 2022, we had U.S. federal, state and foreign net operating loss carryforwards (“NOLs”), of $3.7 billion, $2.7 billion and $498.5 million, respectively. Utilization of these NOL carryforwards depends on our future taxable income, and there is risk that a portion of our existing NOLs could expire unused, and that even if we achieve profitability, the use of our unexpired NOLs would be subject to limitations, which could materially and adversely affect our operating results. U.S. federal NOLs generated in taxable years beginning before January 1, 2018, may be carried forward only 20 years to offset future taxable income, if any. Under current law, U.S. federal NOLs generated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federal law.</w:t>
      </w:r>
    </w:p>
    <w:p>
      <w:pPr>
        <w:spacing w:after="0" w:line="177"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 In addition, at the state level, there may be periods during which the use of NOL carryforwards is suspended or otherwise limited, which could accelerate or permanently increase state taxes owed.</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have additional tax liabilities, which could harm our business, results of operations and financial condition.</w:t>
      </w:r>
    </w:p>
    <w:p>
      <w:pPr>
        <w:spacing w:after="0" w:line="225"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w:t>
      </w:r>
    </w:p>
    <w:p>
      <w:pPr>
        <w:spacing w:after="0" w:line="164"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We conduct operations in many tax jurisdictions throughout the United States and internationally. In many of these jurisdictions, non-income-based taxes, such as sales, VAT, GST, and telecommunications taxes, are assessed on our operations or our sales to customers. We are subject to indirect taxes, and may be subject to certain other taxes, in some of these jurisdictions. We collect certain telecommunications-based taxes from our customers in certain jurisdictions, and we expect to continue expanding the number of jurisdictions in which we will collect these taxes in the future.</w:t>
      </w:r>
    </w:p>
    <w:p>
      <w:pPr>
        <w:spacing w:after="0" w:line="157"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Many states are also pursuing legislative expansion of the scope of goods and services that are subject to sales and similar taxes as well as the circumstances in which a vendor of goods and services must collect such taxes. Following the United States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spacing w:after="0" w:line="157" w:lineRule="exact"/>
        <w:rPr>
          <w:sz w:val="20"/>
          <w:szCs w:val="20"/>
          <w:color w:val="auto"/>
        </w:rPr>
      </w:pPr>
    </w:p>
    <w:p>
      <w:pPr>
        <w:ind w:right="240" w:firstLine="486"/>
        <w:spacing w:after="0" w:line="289" w:lineRule="auto"/>
        <w:rPr>
          <w:sz w:val="20"/>
          <w:szCs w:val="20"/>
          <w:color w:val="auto"/>
        </w:rPr>
      </w:pPr>
      <w:r>
        <w:rPr>
          <w:rFonts w:ascii="Arial" w:cs="Arial" w:eastAsia="Arial" w:hAnsi="Arial"/>
          <w:sz w:val="16"/>
          <w:szCs w:val="16"/>
          <w:color w:val="auto"/>
        </w:rPr>
        <w:t>Historically, we have not billed or collected taxes in certain jurisdictions and, in accordance with generally accepted accounting principles in the United States (“U.S. GAAP”), we have recorded a provision for our tax exposure in these jurisdictions when it is both probable that a liability has been incurred and the amount of the exposure can be reasonably estimated. We reserved $32.2 million and $19.2 million for domestic jurisdictions and jurisdictions outside of the United States, respectively, on our September 30, 2023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78" w:name="page79"/>
    <w:bookmarkEnd w:id="78"/>
    <w:p>
      <w:pPr>
        <w:ind w:left="500"/>
        <w:spacing w:after="0"/>
        <w:rPr>
          <w:sz w:val="20"/>
          <w:szCs w:val="20"/>
          <w:color w:val="auto"/>
        </w:rPr>
      </w:pPr>
      <w:r>
        <w:rPr>
          <w:rFonts w:ascii="Arial" w:cs="Arial" w:eastAsia="Arial" w:hAnsi="Arial"/>
          <w:sz w:val="16"/>
          <w:szCs w:val="16"/>
          <w:color w:val="auto"/>
        </w:rPr>
        <w:t>We are in discussions with certain jurisdictions regarding potential sales and other indirect taxes for prior periods that we may owe. If any of these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jurisdictions disagree with management’s assumptions and analysis, the assessment of our tax exposure could differ materially from management’s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estimates. For example, San Francisco City and County has assessed us for $38.8 million in taxes, including interest and penalties, which exceeded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$11.5 million we had accrued for that assessment. We have paid the full amount, as required by law, and the payment made in excess of the accrued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reflected as a deposit on our balance sheet. We believe, however, that this assessment is incorrect and, after failing to reach a settlement, filed a lawsuit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May 27, 2021 contesting the assessment. The previously set trial date remains vacated, and the parties have finalized a settlement agreement that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approved by San Francisco’s Board of Supervisors on November 7, 2023 and is currently before the Mayor for approval. However, litigation is uncertain,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if the settlement is not formally approved and further litigation is necessary, a ruling against us may adversely affect our financial position and results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operations.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global operations and structure subject us to potentially adverse tax consequences.</w:t>
      </w:r>
    </w:p>
    <w:p>
      <w:pPr>
        <w:spacing w:after="0" w:line="22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Changes in, or interpretations of, tax rules and regulations or our tax positions may materially and adversely affect our income taxes.</w:t>
      </w:r>
    </w:p>
    <w:p>
      <w:pPr>
        <w:spacing w:after="0" w:line="248" w:lineRule="exact"/>
        <w:rPr>
          <w:sz w:val="20"/>
          <w:szCs w:val="20"/>
          <w:color w:val="auto"/>
        </w:rPr>
      </w:pPr>
    </w:p>
    <w:p>
      <w:pPr>
        <w:ind w:right="180" w:firstLine="486"/>
        <w:spacing w:after="0" w:line="269" w:lineRule="auto"/>
        <w:rPr>
          <w:sz w:val="20"/>
          <w:szCs w:val="20"/>
          <w:color w:val="auto"/>
        </w:rPr>
      </w:pPr>
      <w:r>
        <w:rPr>
          <w:rFonts w:ascii="Arial" w:cs="Arial" w:eastAsia="Arial" w:hAnsi="Arial"/>
          <w:sz w:val="17"/>
          <w:szCs w:val="17"/>
          <w:color w:val="auto"/>
        </w:rPr>
        <w:t>We are subject to income taxes in both the United States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U.S.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spacing w:after="0" w:line="185"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Changes in tax laws (including in response to the COVID-19 pandemic)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For example, on August 16, 2022, the Inflation Reduction Act of 2022 was signed into law, with tax provisions primarily focused on implementing a 15% minimum tax on global adjusted financial statement income, effective for tax years beginning after December 31, 2022, and a 1% excise tax on share repurchases occurring after December 31, 2022, which may affect our share repurchase program.</w:t>
      </w:r>
    </w:p>
    <w:p>
      <w:pPr>
        <w:spacing w:after="0" w:line="17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As another example, beginning in 2022, the Tax Cuts and Jobs Act of 2017 (the “Tax Act”) eliminates the option to deduct research and development expenditures currently and requires taxpayers to capitalize and amortize them over five or fifteen years pursuant to Section 174 of the Code, which impacts our effective tax rate and our cash tax liability in 2023. If the requirement to capitalize Section 174 expenditures is not modified by legislation, it may also impact our effective tax rate and our cash tax liability in the future.</w:t>
      </w:r>
    </w:p>
    <w:p>
      <w:pPr>
        <w:spacing w:after="0" w:line="18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On October 8, 2021, the Organization for Economic Co-operation and Development (the “OECD”) announced the OECD/G20 Inclusive Framework on Base Erosion and Profit Shifting (the “Framework”) which agreed to a two-pillar solution to address tax challenges arising from digitalization of the economy. On December 20, 2021, the OECD released Pillar Two Model Rules defining the global minimum tax rules, which contemplate a minimum tax rate of 15%. The OECD continues to</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9" w:name="page80"/>
    <w:bookmarkEnd w:id="79"/>
    <w:p>
      <w:pPr>
        <w:spacing w:after="0" w:line="259" w:lineRule="auto"/>
        <w:rPr>
          <w:sz w:val="20"/>
          <w:szCs w:val="20"/>
          <w:color w:val="auto"/>
        </w:rPr>
      </w:pPr>
      <w:r>
        <w:rPr>
          <w:rFonts w:ascii="Arial" w:cs="Arial" w:eastAsia="Arial" w:hAnsi="Arial"/>
          <w:sz w:val="18"/>
          <w:szCs w:val="18"/>
          <w:color w:val="auto"/>
        </w:rPr>
        <w:t>release additional guidance on these rules and the Framework calls for law enactment by OECD and G20 members to take effect after 2023. These changes, when enacted by various countries in which we do business, may increase our taxes in these countries. Changes to these and other areas in relation to international tax reform, including future actions taken by foreign governments in response to the Tax Act, could increase uncertainty and may adversely affect our tax rate and cash flow in future years.</w:t>
      </w:r>
    </w:p>
    <w:p>
      <w:pPr>
        <w:spacing w:after="0" w:line="18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volatile and may continue to be volatile, and you could lose all or part of your investment.</w:t>
      </w:r>
    </w:p>
    <w:p>
      <w:pPr>
        <w:spacing w:after="0" w:line="17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trading price of our Class A common stock has, and may continue to, fluctuate significantly in response to numerous factors, many of which are beyond our control and may not be related to our operating performance, including:</w:t>
      </w:r>
    </w:p>
    <w:p>
      <w:pPr>
        <w:spacing w:after="0" w:line="170"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shares of our Class A common stock by our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issuance or repurchase of shares of our Class A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short selling of our Class A common stock or related derivatives;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laws, industry standards, regulations or regulatory enforcement in the United States or internationally;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significant change in our management, including changes in the pace of hiring; and</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political, social, economic and market conditions, in both domestic and foreign markets, including the effects of the COVID-19 pandemic and the war in Ukraine on the global economy, changes in the labor market,</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80" w:name="page81"/>
    <w:bookmarkEnd w:id="80"/>
    <w:p>
      <w:pPr>
        <w:ind w:left="980" w:right="160"/>
        <w:spacing w:after="0" w:line="277" w:lineRule="auto"/>
        <w:rPr>
          <w:sz w:val="20"/>
          <w:szCs w:val="20"/>
          <w:color w:val="auto"/>
        </w:rPr>
      </w:pPr>
      <w:r>
        <w:rPr>
          <w:rFonts w:ascii="Arial" w:cs="Arial" w:eastAsia="Arial" w:hAnsi="Arial"/>
          <w:sz w:val="18"/>
          <w:szCs w:val="18"/>
          <w:color w:val="auto"/>
        </w:rPr>
        <w:t>supply chain disruptions, inflation, increased interest rates, instability and volatility in the banking and financial services sector, and slow or negative growth of our markets.</w:t>
      </w:r>
    </w:p>
    <w:p>
      <w:pPr>
        <w:spacing w:after="0" w:line="170"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Substantial future sales of shares of our Class A common stock could cause the market price of our Class A common stock to decline.</w:t>
      </w:r>
    </w:p>
    <w:p>
      <w:pPr>
        <w:spacing w:after="0" w:line="248" w:lineRule="exact"/>
        <w:rPr>
          <w:sz w:val="20"/>
          <w:szCs w:val="20"/>
          <w:color w:val="auto"/>
        </w:rPr>
      </w:pPr>
    </w:p>
    <w:p>
      <w:pPr>
        <w:jc w:val="both"/>
        <w:ind w:right="60" w:firstLine="486"/>
        <w:spacing w:after="0" w:line="257" w:lineRule="auto"/>
        <w:rPr>
          <w:sz w:val="20"/>
          <w:szCs w:val="20"/>
          <w:color w:val="auto"/>
        </w:rPr>
      </w:pPr>
      <w:r>
        <w:rPr>
          <w:rFonts w:ascii="Arial" w:cs="Arial" w:eastAsia="Arial" w:hAnsi="Arial"/>
          <w:sz w:val="18"/>
          <w:szCs w:val="18"/>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 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188"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We may not realize the anticipated long-term stockholder value of our share repurchase program, and any failure to repurchase our Class A common stock after we have announced our intention to do so may negatively impact our stock price.</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February 2023, we announced that our Board of Directors authorized the repurchase of up to $1.0 billion of our Class A common stock from time to time through a share repurchase program. Under our share repurchase program, we may make repurchases of stock through a variety of methods, including open share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 terminates at 11:59 pm Pacific Time on December 31, 2024, does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spacing w:after="0" w:line="18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spacing w:after="0" w:line="18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Repurchasing our Class A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spacing w:after="0" w:line="184"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change their recommendations regarding our Class A common stock adversely, the trading price of our Class A common stock and trading volume could decline.</w:t>
      </w:r>
    </w:p>
    <w:p>
      <w:pPr>
        <w:spacing w:after="0" w:line="170"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The trading market for our Class A common stock is influenced by the research and reports that securities or industry analysts may publish about us, our business, our market or our competitors. If any of the analysts who cover us change their recommendation regarding our Class A common stock adversely, or provide more favorable relative recommendations about our competitors,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81" w:name="page82"/>
    <w:bookmarkEnd w:id="81"/>
    <w:p>
      <w:pPr>
        <w:ind w:firstLine="486"/>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second amended and restated bylaws, as well as provisions of Delaware law, could impair a takeover attempt.</w:t>
      </w:r>
    </w:p>
    <w:p>
      <w:pPr>
        <w:spacing w:after="0" w:line="170"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Our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second amended and restated bylaws include provisions:</w:t>
      </w:r>
    </w:p>
    <w:p>
      <w:pPr>
        <w:spacing w:after="0" w:line="184" w:lineRule="exact"/>
        <w:rPr>
          <w:sz w:val="20"/>
          <w:szCs w:val="20"/>
          <w:color w:val="auto"/>
        </w:rPr>
      </w:pPr>
    </w:p>
    <w:p>
      <w:pPr>
        <w:ind w:left="980" w:right="22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Class A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that our Board of Directors is classified into three classes of directors with staggered three-year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instead requiring all stockholder actions to be taken at a meeting of our stockholders;</w:t>
      </w:r>
    </w:p>
    <w:p>
      <w:pPr>
        <w:spacing w:after="0" w:line="236" w:lineRule="exact"/>
        <w:rPr>
          <w:rFonts w:ascii="Arial" w:cs="Arial" w:eastAsia="Arial" w:hAnsi="Arial"/>
          <w:sz w:val="17"/>
          <w:szCs w:val="17"/>
          <w:color w:val="auto"/>
        </w:rPr>
      </w:pPr>
    </w:p>
    <w:p>
      <w:pPr>
        <w:ind w:left="980" w:right="52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225" w:lineRule="exact"/>
        <w:rPr>
          <w:rFonts w:ascii="Arial" w:cs="Arial" w:eastAsia="Arial" w:hAnsi="Arial"/>
          <w:sz w:val="18"/>
          <w:szCs w:val="18"/>
          <w:color w:val="auto"/>
        </w:rPr>
      </w:pPr>
    </w:p>
    <w:p>
      <w:pPr>
        <w:ind w:left="980" w:right="120" w:hanging="324"/>
        <w:spacing w:after="0" w:line="286" w:lineRule="auto"/>
        <w:tabs>
          <w:tab w:leader="none" w:pos="9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300" w:firstLine="486"/>
        <w:spacing w:after="0" w:line="311"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49"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Any provision of our amended and restated certificate of incorporation, second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8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b w:val="1"/>
          <w:bCs w:val="1"/>
          <w:i w:val="1"/>
          <w:iCs w:val="1"/>
          <w:color w:val="auto"/>
        </w:rPr>
        <w:t>Our second amended and restated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Our second amended and restated bylaws provide that the Court of Chancery of the State of Delaware is the exclusive forum for the following types of actions or proceedings under Delaware statutory or common law:</w:t>
      </w:r>
    </w:p>
    <w:p>
      <w:pPr>
        <w:spacing w:after="0" w:line="170"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our directors, officers, employees or our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 (the “Delaware Forum Provision”).</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82" w:name="page83"/>
    <w:bookmarkEnd w:id="82"/>
    <w:p>
      <w:pPr>
        <w:ind w:right="40" w:firstLine="486"/>
        <w:spacing w:after="0" w:line="255" w:lineRule="auto"/>
        <w:rPr>
          <w:sz w:val="20"/>
          <w:szCs w:val="20"/>
          <w:color w:val="auto"/>
        </w:rPr>
      </w:pPr>
      <w:r>
        <w:rPr>
          <w:rFonts w:ascii="Arial" w:cs="Arial" w:eastAsia="Arial" w:hAnsi="Arial"/>
          <w:sz w:val="18"/>
          <w:szCs w:val="18"/>
          <w:color w:val="auto"/>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second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92"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second amended and restated bylaws to be inapplicable or unenforceable in an action, we may incur additional costs associated with resolving the dispute in other jurisdictions, which could seriously harm our business.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25" w:lineRule="exact"/>
        <w:rPr>
          <w:sz w:val="20"/>
          <w:szCs w:val="20"/>
          <w:color w:val="auto"/>
        </w:rPr>
      </w:pPr>
    </w:p>
    <w:p>
      <w:pPr>
        <w:jc w:val="both"/>
        <w:ind w:right="480" w:firstLine="486"/>
        <w:spacing w:after="0" w:line="286" w:lineRule="auto"/>
        <w:rPr>
          <w:sz w:val="20"/>
          <w:szCs w:val="20"/>
          <w:color w:val="auto"/>
        </w:rPr>
      </w:pPr>
      <w:r>
        <w:rPr>
          <w:rFonts w:ascii="Arial" w:cs="Arial" w:eastAsia="Arial" w:hAnsi="Arial"/>
          <w:sz w:val="17"/>
          <w:szCs w:val="17"/>
          <w:color w:val="auto"/>
        </w:rPr>
        <w:t>We have never paid dividends and we do not anticipate declaring any cash dividends to holders of our common stock in the foreseeable future. Consequently, investors may need to rely on sales of their Class A common stock after price appreciation, which may never occur, as the only way to realize any future gains on their investment. Investors seeking cash dividends should not purchase our Class A common stock.</w:t>
      </w:r>
    </w:p>
    <w:p>
      <w:pPr>
        <w:spacing w:after="0" w:line="161"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pandemics, earthquakes, fire, floods and other natural catastrophic events, and to interruption by man-made problems such as power disruptions, computer viruses, data security breaches, terrorism or war.</w:t>
      </w:r>
    </w:p>
    <w:p>
      <w:pPr>
        <w:spacing w:after="0" w:line="17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business operations are subject to interruption by natural disasters, flooding, fire, power shortages, public health epidemics or pandemics such as COVID-19,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such as the war in Ukraine, could cause disruptions in our or our customers’ businesses, national economies or the world economy as a whole.</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88"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3" w:name="page84"/>
    <w:bookmarkEnd w:id="83"/>
    <w:p>
      <w:pPr>
        <w:ind w:left="500"/>
        <w:spacing w:after="0"/>
        <w:rPr>
          <w:sz w:val="20"/>
          <w:szCs w:val="20"/>
          <w:color w:val="auto"/>
        </w:rPr>
      </w:pPr>
      <w:r>
        <w:rPr>
          <w:rFonts w:ascii="Arial" w:cs="Arial" w:eastAsia="Arial" w:hAnsi="Arial"/>
          <w:sz w:val="18"/>
          <w:szCs w:val="18"/>
          <w:b w:val="1"/>
          <w:bCs w:val="1"/>
          <w:i w:val="1"/>
          <w:iCs w:val="1"/>
          <w:color w:val="auto"/>
        </w:rPr>
        <w:t>Our reputation and/or business could be negatively impacted by ESG matters and/or our reporting of such matters.</w:t>
      </w:r>
    </w:p>
    <w:p>
      <w:pPr>
        <w:spacing w:after="0" w:line="22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There is an increasing focus from regulators, certain investors, and other stakeholders concerning ESG matters, both in the United States and internationally. We communicate certain ESG-related initiatives, goals, and/or commitments regarding environmental matters, diversity, responsible sourcing and social investments, and other matters in our annual Impact and DEI Report, on our website, in our filings with the SEC,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To the extent that our required and voluntary disclosures about ESG matters increase, we could be criticized for the accuracy, adequacy, or completeness of such disclosures. Our actual or perceived failure to achieve our ESG-related initiatives, goals, or commitments could negatively impact our reputation, result in ESG-focused investors not purchasing and holding our stock, or otherwise materially harm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185" w:lineRule="exact"/>
        <w:rPr>
          <w:sz w:val="20"/>
          <w:szCs w:val="20"/>
          <w:color w:val="auto"/>
        </w:rPr>
      </w:pPr>
    </w:p>
    <w:p>
      <w:pPr>
        <w:ind w:right="200" w:firstLine="486"/>
        <w:spacing w:after="0" w:line="296" w:lineRule="auto"/>
        <w:rPr>
          <w:sz w:val="20"/>
          <w:szCs w:val="20"/>
          <w:color w:val="auto"/>
        </w:rPr>
      </w:pPr>
      <w:r>
        <w:rPr>
          <w:rFonts w:ascii="Arial" w:cs="Arial" w:eastAsia="Arial" w:hAnsi="Arial"/>
          <w:sz w:val="16"/>
          <w:szCs w:val="16"/>
          <w:color w:val="auto"/>
        </w:rPr>
        <w:t>During the three months ended September 30, 2023, we issued 22,102 shares of our unregistered Class A common stock to an independent donor advised fund to further our Twilio.org philanthropic goals. The shares were “restricted securities” for purposes of Rule 144 under the Securities Act, and had an aggregate fair market value on the date of donation of $1.3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share repurchase activity for the three months ended September 30, 2023:</w:t>
      </w:r>
    </w:p>
    <w:p>
      <w:pPr>
        <w:spacing w:after="0" w:line="200" w:lineRule="exact"/>
        <w:rPr>
          <w:sz w:val="20"/>
          <w:szCs w:val="20"/>
          <w:color w:val="auto"/>
        </w:rPr>
      </w:pPr>
    </w:p>
    <w:p>
      <w:pPr>
        <w:spacing w:after="0" w:line="31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440" w:type="dxa"/>
            <w:vAlign w:val="bottom"/>
            <w:gridSpan w:val="2"/>
            <w:vMerge w:val="restart"/>
          </w:tcPr>
          <w:p>
            <w:pPr>
              <w:jc w:val="center"/>
              <w:ind w:left="41"/>
              <w:spacing w:after="0"/>
              <w:rPr>
                <w:sz w:val="20"/>
                <w:szCs w:val="20"/>
                <w:color w:val="auto"/>
              </w:rPr>
            </w:pPr>
            <w:r>
              <w:rPr>
                <w:rFonts w:ascii="Arial" w:cs="Arial" w:eastAsia="Arial" w:hAnsi="Arial"/>
                <w:sz w:val="14"/>
                <w:szCs w:val="14"/>
                <w:b w:val="1"/>
                <w:bCs w:val="1"/>
                <w:color w:val="auto"/>
                <w:w w:val="94"/>
              </w:rPr>
              <w:t>Approximate Dollar Value of Shares</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82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2"/>
              </w:rPr>
              <w:t>Total Number of Shares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Average Price Paid Per</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Announced Plans or</w:t>
            </w:r>
          </w:p>
        </w:tc>
        <w:tc>
          <w:tcPr>
            <w:tcW w:w="220" w:type="dxa"/>
            <w:vAlign w:val="bottom"/>
          </w:tcPr>
          <w:p>
            <w:pPr>
              <w:spacing w:after="0"/>
              <w:rPr>
                <w:sz w:val="12"/>
                <w:szCs w:val="12"/>
                <w:color w:val="auto"/>
              </w:rPr>
            </w:pPr>
          </w:p>
        </w:tc>
        <w:tc>
          <w:tcPr>
            <w:tcW w:w="222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auto"/>
                <w:w w:val="93"/>
              </w:rPr>
              <w:t>that May Yet Be Purchased Under</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1820" w:type="dxa"/>
            <w:vAlign w:val="bottom"/>
          </w:tcPr>
          <w:p>
            <w:pPr>
              <w:jc w:val="center"/>
              <w:ind w:left="268"/>
              <w:spacing w:after="0" w:line="202" w:lineRule="exact"/>
              <w:rPr>
                <w:sz w:val="20"/>
                <w:szCs w:val="20"/>
                <w:color w:val="auto"/>
              </w:rPr>
            </w:pPr>
            <w:r>
              <w:rPr>
                <w:rFonts w:ascii="Arial" w:cs="Arial" w:eastAsia="Arial" w:hAnsi="Arial"/>
                <w:sz w:val="14"/>
                <w:szCs w:val="14"/>
                <w:b w:val="1"/>
                <w:bCs w:val="1"/>
                <w:color w:val="auto"/>
                <w:w w:val="88"/>
              </w:rPr>
              <w:t>Purchased</w:t>
            </w:r>
            <w:r>
              <w:rPr>
                <w:rFonts w:ascii="Arial" w:cs="Arial" w:eastAsia="Arial" w:hAnsi="Arial"/>
                <w:sz w:val="18"/>
                <w:szCs w:val="18"/>
                <w:b w:val="1"/>
                <w:bCs w:val="1"/>
                <w:color w:val="auto"/>
                <w:w w:val="88"/>
                <w:vertAlign w:val="superscript"/>
              </w:rPr>
              <w:t>(1)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220"/>
              <w:spacing w:after="0" w:line="202" w:lineRule="exact"/>
              <w:rPr>
                <w:sz w:val="20"/>
                <w:szCs w:val="20"/>
                <w:color w:val="auto"/>
              </w:rPr>
            </w:pPr>
            <w:r>
              <w:rPr>
                <w:rFonts w:ascii="Arial" w:cs="Arial" w:eastAsia="Arial" w:hAnsi="Arial"/>
                <w:sz w:val="14"/>
                <w:szCs w:val="14"/>
                <w:b w:val="1"/>
                <w:bCs w:val="1"/>
                <w:color w:val="auto"/>
                <w:w w:val="89"/>
              </w:rPr>
              <w:t>Share</w:t>
            </w:r>
            <w:r>
              <w:rPr>
                <w:rFonts w:ascii="Arial" w:cs="Arial" w:eastAsia="Arial" w:hAnsi="Arial"/>
                <w:sz w:val="18"/>
                <w:szCs w:val="18"/>
                <w:b w:val="1"/>
                <w:bCs w:val="1"/>
                <w:color w:val="auto"/>
                <w:w w:val="89"/>
                <w:vertAlign w:val="superscript"/>
              </w:rPr>
              <w:t>(2)</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r>
              <w:rPr>
                <w:rFonts w:ascii="Arial" w:cs="Arial" w:eastAsia="Arial" w:hAnsi="Arial"/>
                <w:sz w:val="9"/>
                <w:szCs w:val="9"/>
                <w:b w:val="1"/>
                <w:bCs w:val="1"/>
                <w:color w:val="auto"/>
                <w:w w:val="94"/>
              </w:rPr>
              <w:t>(1)</w:t>
            </w:r>
          </w:p>
        </w:tc>
        <w:tc>
          <w:tcPr>
            <w:tcW w:w="220" w:type="dxa"/>
            <w:vAlign w:val="bottom"/>
          </w:tcPr>
          <w:p>
            <w:pPr>
              <w:spacing w:after="0"/>
              <w:rPr>
                <w:sz w:val="17"/>
                <w:szCs w:val="17"/>
                <w:color w:val="auto"/>
              </w:rPr>
            </w:pPr>
          </w:p>
        </w:tc>
        <w:tc>
          <w:tcPr>
            <w:tcW w:w="2220" w:type="dxa"/>
            <w:vAlign w:val="bottom"/>
          </w:tcPr>
          <w:p>
            <w:pPr>
              <w:jc w:val="center"/>
              <w:ind w:right="24"/>
              <w:spacing w:after="0" w:line="202" w:lineRule="exact"/>
              <w:rPr>
                <w:sz w:val="20"/>
                <w:szCs w:val="20"/>
                <w:color w:val="auto"/>
              </w:rPr>
            </w:pPr>
            <w:r>
              <w:rPr>
                <w:rFonts w:ascii="Arial" w:cs="Arial" w:eastAsia="Arial" w:hAnsi="Arial"/>
                <w:sz w:val="14"/>
                <w:szCs w:val="14"/>
                <w:b w:val="1"/>
                <w:bCs w:val="1"/>
                <w:color w:val="auto"/>
                <w:w w:val="90"/>
              </w:rPr>
              <w:t>the Plans or Programs</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182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w w:val="91"/>
              </w:rPr>
              <w:t>(In thousands)</w:t>
            </w: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(In thousands)</w:t>
            </w:r>
          </w:p>
        </w:tc>
        <w:tc>
          <w:tcPr>
            <w:tcW w:w="22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tcPr>
          <w:p>
            <w:pPr>
              <w:jc w:val="center"/>
              <w:ind w:right="24"/>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1 - 31, 2023</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64.51</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August 1 - 31, 2023</w:t>
            </w:r>
          </w:p>
        </w:tc>
        <w:tc>
          <w:tcPr>
            <w:tcW w:w="340" w:type="dxa"/>
            <w:vAlign w:val="bottom"/>
          </w:tcPr>
          <w:p>
            <w:pPr>
              <w:jc w:val="right"/>
              <w:spacing w:after="0"/>
              <w:rPr>
                <w:sz w:val="20"/>
                <w:szCs w:val="20"/>
                <w:color w:val="auto"/>
              </w:rPr>
            </w:pPr>
            <w:r>
              <w:rPr>
                <w:rFonts w:ascii="Arial" w:cs="Arial" w:eastAsia="Arial" w:hAnsi="Arial"/>
                <w:sz w:val="16"/>
                <w:szCs w:val="16"/>
                <w:color w:val="auto"/>
                <w:w w:val="89"/>
              </w:rPr>
              <w:t>420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60.69</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2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1 - 30, 2023</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62.22</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18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_____________________________</w:t>
      </w:r>
    </w:p>
    <w:p>
      <w:pPr>
        <w:spacing w:after="0" w:line="16" w:lineRule="exact"/>
        <w:rPr>
          <w:sz w:val="20"/>
          <w:szCs w:val="20"/>
          <w:color w:val="auto"/>
        </w:rPr>
      </w:pPr>
    </w:p>
    <w:p>
      <w:pPr>
        <w:ind w:firstLine="8"/>
        <w:spacing w:after="0" w:line="262" w:lineRule="auto"/>
        <w:tabs>
          <w:tab w:leader="none" w:pos="163"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In February 2023, our Board of Directors authorized a share repurchase program to repurchase up to $1.0 billion in aggregate value of our Class A common stock. Repurchases under the program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The program expires on December 31, 2024. Refer to Note 15 — Stockholders' Equity in Part I, Item 1, of this Quarterly Report on Form 10-Q for additional information related to share repurchases.</w:t>
      </w:r>
    </w:p>
    <w:p>
      <w:pPr>
        <w:spacing w:after="0" w:line="177"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Average price paid per share includes costs associated with the repurchases.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Securities Trading Plans of Directors and Executive Officers</w:t>
      </w:r>
    </w:p>
    <w:p>
      <w:pPr>
        <w:spacing w:after="0" w:line="25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During the three months ended September 30, 2023, none of our directors or officers adopted or terminated a “Rule 10b5-1 trading arrangement” or a “non-Rule 10b5-1 trading arrangement” (each as defined in Item 408 of Regulation S-K).</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84" w:name="page85"/>
    <w:bookmarkEnd w:id="84"/>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documents listed in the Exhibit Index of this Quarterly Report on Form 10-Q are incorporated by reference or are filed with this Quarterly Report on Form 10-Q, in each case as indicated therein.</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54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960"/>
        <w:spacing w:after="0"/>
        <w:rPr>
          <w:sz w:val="20"/>
          <w:szCs w:val="20"/>
          <w:color w:val="auto"/>
        </w:rPr>
      </w:pPr>
      <w:r>
        <w:rPr>
          <w:rFonts w:ascii="Arial" w:cs="Arial" w:eastAsia="Arial" w:hAnsi="Arial"/>
          <w:sz w:val="14"/>
          <w:szCs w:val="14"/>
          <w:b w:val="1"/>
          <w:bCs w:val="1"/>
          <w:color w:val="auto"/>
        </w:rPr>
        <w:t>EXHIBIT INDEX</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40" w:type="dxa"/>
            <w:vAlign w:val="bottom"/>
            <w:gridSpan w:val="3"/>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6"/>
                <w:szCs w:val="16"/>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980" w:type="dxa"/>
            <w:vAlign w:val="bottom"/>
            <w:gridSpan w:val="5"/>
          </w:tcPr>
          <w:p>
            <w:pPr>
              <w:spacing w:after="0"/>
              <w:rPr>
                <w:sz w:val="20"/>
                <w:szCs w:val="20"/>
                <w:color w:val="auto"/>
              </w:rPr>
            </w:pPr>
            <w:r>
              <w:rPr>
                <w:rFonts w:ascii="Arial" w:cs="Arial" w:eastAsia="Arial" w:hAnsi="Arial"/>
                <w:sz w:val="14"/>
                <w:szCs w:val="14"/>
                <w:color w:val="0000FF"/>
              </w:rPr>
              <w:t>Certification of the Chief Executive Officer pursuant to Exchange Act Rules 13a-</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6"/>
              </w:rPr>
              <w:t>Filed herewith</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Borders>
              <w:top w:val="single" w:sz="8" w:color="0000FF"/>
              <w:bottom w:val="single" w:sz="8" w:color="0000FF"/>
            </w:tcBorders>
            <w:gridSpan w:val="2"/>
          </w:tcPr>
          <w:p>
            <w:pPr>
              <w:spacing w:after="0" w:line="129" w:lineRule="exact"/>
              <w:rPr>
                <w:sz w:val="20"/>
                <w:szCs w:val="20"/>
                <w:color w:val="auto"/>
              </w:rPr>
            </w:pPr>
            <w:r>
              <w:rPr>
                <w:rFonts w:ascii="Arial" w:cs="Arial" w:eastAsia="Arial" w:hAnsi="Arial"/>
                <w:sz w:val="14"/>
                <w:szCs w:val="14"/>
                <w:color w:val="0000FF"/>
                <w:w w:val="91"/>
              </w:rPr>
              <w:t>14(a) or 15d-14(a), as adopted pursuant to Section 302 of the Sarbanes-Oxley Act</w:t>
            </w:r>
          </w:p>
        </w:tc>
        <w:tc>
          <w:tcPr>
            <w:tcW w:w="20" w:type="dxa"/>
            <w:vAlign w:val="bottom"/>
            <w:tcBorders>
              <w:bottom w:val="single" w:sz="8" w:color="0000FF"/>
            </w:tcBorders>
          </w:tcPr>
          <w:p>
            <w:pPr>
              <w:spacing w:after="0"/>
              <w:rPr>
                <w:sz w:val="11"/>
                <w:szCs w:val="11"/>
                <w:color w:val="auto"/>
              </w:rPr>
            </w:pPr>
          </w:p>
        </w:tc>
        <w:tc>
          <w:tcPr>
            <w:tcW w:w="26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gridSpan w:val="3"/>
          </w:tcPr>
          <w:p>
            <w:pPr>
              <w:spacing w:after="0" w:line="115" w:lineRule="exact"/>
              <w:rPr>
                <w:sz w:val="20"/>
                <w:szCs w:val="20"/>
                <w:color w:val="auto"/>
              </w:rPr>
            </w:pPr>
            <w:r>
              <w:rPr>
                <w:rFonts w:ascii="Arial" w:cs="Arial" w:eastAsia="Arial" w:hAnsi="Arial"/>
                <w:sz w:val="13"/>
                <w:szCs w:val="13"/>
                <w:color w:val="0000FF"/>
              </w:rPr>
              <w:t>of 2002</w:t>
            </w:r>
          </w:p>
        </w:tc>
        <w:tc>
          <w:tcPr>
            <w:tcW w:w="260" w:type="dxa"/>
            <w:vAlign w:val="bottom"/>
            <w:gridSpan w:val="2"/>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ectPr>
          <w:pgSz w:w="11900" w:h="16838" w:orient="portrait"/>
          <w:cols w:equalWidth="0" w:num="2">
            <w:col w:w="760" w:space="340"/>
            <w:col w:w="10140"/>
          </w:cols>
          <w:pgMar w:left="320" w:top="1107" w:right="33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4"/>
                <w:szCs w:val="14"/>
                <w:color w:val="auto"/>
              </w:rPr>
              <w:t>31.2</w:t>
            </w:r>
          </w:p>
        </w:tc>
        <w:tc>
          <w:tcPr>
            <w:tcW w:w="466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94"/>
              </w:rPr>
              <w:t>Certification of the Chief Financial Officer pursuant to Exchange Act Rules 13a-</w:t>
            </w:r>
          </w:p>
        </w:tc>
        <w:tc>
          <w:tcPr>
            <w:tcW w:w="2140" w:type="dxa"/>
            <w:vAlign w:val="bottom"/>
            <w:gridSpan w:val="4"/>
          </w:tcPr>
          <w:p>
            <w:pPr>
              <w:spacing w:after="0"/>
              <w:rPr>
                <w:sz w:val="14"/>
                <w:szCs w:val="14"/>
                <w:color w:val="auto"/>
              </w:rPr>
            </w:pPr>
          </w:p>
        </w:tc>
        <w:tc>
          <w:tcPr>
            <w:tcW w:w="3100" w:type="dxa"/>
            <w:vAlign w:val="bottom"/>
          </w:tcPr>
          <w:p>
            <w:pPr>
              <w:jc w:val="center"/>
              <w:ind w:left="1908"/>
              <w:spacing w:after="0"/>
              <w:rPr>
                <w:sz w:val="20"/>
                <w:szCs w:val="20"/>
                <w:color w:val="auto"/>
              </w:rPr>
            </w:pPr>
            <w:r>
              <w:rPr>
                <w:rFonts w:ascii="Arial" w:cs="Arial" w:eastAsia="Arial" w:hAnsi="Arial"/>
                <w:sz w:val="14"/>
                <w:szCs w:val="14"/>
                <w:color w:val="auto"/>
                <w:w w:val="96"/>
              </w:rPr>
              <w:t>Filed herewith</w:t>
            </w:r>
          </w:p>
        </w:tc>
      </w:tr>
      <w:tr>
        <w:trPr>
          <w:trHeight w:val="129"/>
        </w:trPr>
        <w:tc>
          <w:tcPr>
            <w:tcW w:w="1100" w:type="dxa"/>
            <w:vAlign w:val="bottom"/>
          </w:tcPr>
          <w:p>
            <w:pPr>
              <w:spacing w:after="0"/>
              <w:rPr>
                <w:sz w:val="11"/>
                <w:szCs w:val="11"/>
                <w:color w:val="auto"/>
              </w:rPr>
            </w:pPr>
          </w:p>
        </w:tc>
        <w:tc>
          <w:tcPr>
            <w:tcW w:w="6800" w:type="dxa"/>
            <w:vAlign w:val="bottom"/>
            <w:gridSpan w:val="7"/>
          </w:tcPr>
          <w:p>
            <w:pPr>
              <w:spacing w:after="0" w:line="129" w:lineRule="exact"/>
              <w:rPr>
                <w:sz w:val="20"/>
                <w:szCs w:val="20"/>
                <w:color w:val="auto"/>
              </w:rPr>
            </w:pPr>
            <w:r>
              <w:rPr>
                <w:rFonts w:ascii="Arial" w:cs="Arial" w:eastAsia="Arial" w:hAnsi="Arial"/>
                <w:sz w:val="14"/>
                <w:szCs w:val="14"/>
                <w:color w:val="0000FF"/>
              </w:rPr>
              <w:t>14(a) or 15d-14(a), as adopted pursuant to Section 302 of the Sarbanes-Oxley Act</w:t>
            </w:r>
          </w:p>
        </w:tc>
        <w:tc>
          <w:tcPr>
            <w:tcW w:w="3100" w:type="dxa"/>
            <w:vAlign w:val="bottom"/>
          </w:tcPr>
          <w:p>
            <w:pPr>
              <w:spacing w:after="0"/>
              <w:rPr>
                <w:sz w:val="11"/>
                <w:szCs w:val="11"/>
                <w:color w:val="auto"/>
              </w:rPr>
            </w:pPr>
          </w:p>
        </w:tc>
      </w:tr>
      <w:tr>
        <w:trPr>
          <w:trHeight w:val="115"/>
        </w:trPr>
        <w:tc>
          <w:tcPr>
            <w:tcW w:w="1100" w:type="dxa"/>
            <w:vAlign w:val="bottom"/>
          </w:tcPr>
          <w:p>
            <w:pPr>
              <w:spacing w:after="0"/>
              <w:rPr>
                <w:sz w:val="10"/>
                <w:szCs w:val="10"/>
                <w:color w:val="auto"/>
              </w:rPr>
            </w:pPr>
          </w:p>
        </w:tc>
        <w:tc>
          <w:tcPr>
            <w:tcW w:w="4700" w:type="dxa"/>
            <w:vAlign w:val="bottom"/>
            <w:tcBorders>
              <w:top w:val="single" w:sz="8" w:color="0000FF"/>
            </w:tcBorders>
            <w:gridSpan w:val="4"/>
          </w:tcPr>
          <w:p>
            <w:pPr>
              <w:spacing w:after="0" w:line="115" w:lineRule="exact"/>
              <w:rPr>
                <w:sz w:val="20"/>
                <w:szCs w:val="20"/>
                <w:color w:val="auto"/>
              </w:rPr>
            </w:pPr>
            <w:r>
              <w:rPr>
                <w:rFonts w:ascii="Arial" w:cs="Arial" w:eastAsia="Arial" w:hAnsi="Arial"/>
                <w:sz w:val="13"/>
                <w:szCs w:val="13"/>
                <w:color w:val="0000FF"/>
              </w:rPr>
              <w:t>of 2002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10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6"/>
        </w:trPr>
        <w:tc>
          <w:tcPr>
            <w:tcW w:w="1100" w:type="dxa"/>
            <w:vAlign w:val="bottom"/>
          </w:tcPr>
          <w:p>
            <w:pPr>
              <w:spacing w:after="0"/>
              <w:rPr>
                <w:sz w:val="20"/>
                <w:szCs w:val="20"/>
                <w:color w:val="auto"/>
              </w:rPr>
            </w:pPr>
            <w:r>
              <w:rPr>
                <w:rFonts w:ascii="Arial" w:cs="Arial" w:eastAsia="Arial" w:hAnsi="Arial"/>
                <w:sz w:val="14"/>
                <w:szCs w:val="14"/>
                <w:color w:val="auto"/>
              </w:rPr>
              <w:t>32.1*</w:t>
            </w:r>
          </w:p>
        </w:tc>
        <w:tc>
          <w:tcPr>
            <w:tcW w:w="6800" w:type="dxa"/>
            <w:vAlign w:val="bottom"/>
            <w:gridSpan w:val="7"/>
          </w:tcPr>
          <w:p>
            <w:pPr>
              <w:spacing w:after="0"/>
              <w:rPr>
                <w:sz w:val="20"/>
                <w:szCs w:val="20"/>
                <w:color w:val="auto"/>
              </w:rPr>
            </w:pPr>
            <w:r>
              <w:rPr>
                <w:rFonts w:ascii="Arial" w:cs="Arial" w:eastAsia="Arial" w:hAnsi="Arial"/>
                <w:sz w:val="14"/>
                <w:szCs w:val="14"/>
                <w:color w:val="0000FF"/>
              </w:rPr>
              <w:t>Certification of the Chief Executive Officer and Chief Financial Officer pursuant to</w:t>
            </w:r>
          </w:p>
        </w:tc>
        <w:tc>
          <w:tcPr>
            <w:tcW w:w="3100" w:type="dxa"/>
            <w:vAlign w:val="bottom"/>
          </w:tcPr>
          <w:p>
            <w:pPr>
              <w:jc w:val="center"/>
              <w:ind w:left="1908"/>
              <w:spacing w:after="0"/>
              <w:rPr>
                <w:sz w:val="20"/>
                <w:szCs w:val="20"/>
                <w:color w:val="auto"/>
              </w:rPr>
            </w:pPr>
            <w:r>
              <w:rPr>
                <w:rFonts w:ascii="Arial" w:cs="Arial" w:eastAsia="Arial" w:hAnsi="Arial"/>
                <w:sz w:val="14"/>
                <w:szCs w:val="14"/>
                <w:color w:val="auto"/>
                <w:w w:val="94"/>
              </w:rPr>
              <w:t>Furnished herewith</w:t>
            </w:r>
          </w:p>
        </w:tc>
      </w:tr>
      <w:tr>
        <w:trPr>
          <w:trHeight w:val="129"/>
        </w:trPr>
        <w:tc>
          <w:tcPr>
            <w:tcW w:w="1100" w:type="dxa"/>
            <w:vAlign w:val="bottom"/>
          </w:tcPr>
          <w:p>
            <w:pPr>
              <w:spacing w:after="0"/>
              <w:rPr>
                <w:sz w:val="11"/>
                <w:szCs w:val="11"/>
                <w:color w:val="auto"/>
              </w:rPr>
            </w:pPr>
          </w:p>
        </w:tc>
        <w:tc>
          <w:tcPr>
            <w:tcW w:w="4800" w:type="dxa"/>
            <w:vAlign w:val="bottom"/>
            <w:tcBorders>
              <w:top w:val="single" w:sz="8" w:color="0000FF"/>
            </w:tcBorders>
            <w:gridSpan w:val="6"/>
          </w:tcPr>
          <w:p>
            <w:pPr>
              <w:spacing w:after="0" w:line="129" w:lineRule="exact"/>
              <w:rPr>
                <w:sz w:val="20"/>
                <w:szCs w:val="20"/>
                <w:color w:val="auto"/>
              </w:rPr>
            </w:pPr>
            <w:r>
              <w:rPr>
                <w:rFonts w:ascii="Arial" w:cs="Arial" w:eastAsia="Arial" w:hAnsi="Arial"/>
                <w:sz w:val="14"/>
                <w:szCs w:val="14"/>
                <w:color w:val="0000FF"/>
                <w:w w:val="92"/>
              </w:rPr>
              <w:t>18 U.S.C. Section 1350, as adopted pursuant to Section 906 of the Sarbanes-Oxley</w:t>
            </w:r>
          </w:p>
        </w:tc>
        <w:tc>
          <w:tcPr>
            <w:tcW w:w="2000" w:type="dxa"/>
            <w:vAlign w:val="bottom"/>
          </w:tcPr>
          <w:p>
            <w:pPr>
              <w:spacing w:after="0"/>
              <w:rPr>
                <w:sz w:val="11"/>
                <w:szCs w:val="11"/>
                <w:color w:val="auto"/>
              </w:rPr>
            </w:pPr>
          </w:p>
        </w:tc>
        <w:tc>
          <w:tcPr>
            <w:tcW w:w="3100" w:type="dxa"/>
            <w:vAlign w:val="bottom"/>
          </w:tcPr>
          <w:p>
            <w:pPr>
              <w:spacing w:after="0"/>
              <w:rPr>
                <w:sz w:val="11"/>
                <w:szCs w:val="11"/>
                <w:color w:val="auto"/>
              </w:rPr>
            </w:pPr>
          </w:p>
        </w:tc>
      </w:tr>
      <w:tr>
        <w:trPr>
          <w:trHeight w:val="115"/>
        </w:trPr>
        <w:tc>
          <w:tcPr>
            <w:tcW w:w="1100" w:type="dxa"/>
            <w:vAlign w:val="bottom"/>
          </w:tcPr>
          <w:p>
            <w:pPr>
              <w:spacing w:after="0"/>
              <w:rPr>
                <w:sz w:val="10"/>
                <w:szCs w:val="10"/>
                <w:color w:val="auto"/>
              </w:rPr>
            </w:pPr>
          </w:p>
        </w:tc>
        <w:tc>
          <w:tcPr>
            <w:tcW w:w="4760" w:type="dxa"/>
            <w:vAlign w:val="bottom"/>
            <w:tcBorders>
              <w:top w:val="single" w:sz="8" w:color="0000FF"/>
            </w:tcBorders>
            <w:gridSpan w:val="5"/>
          </w:tcPr>
          <w:p>
            <w:pPr>
              <w:spacing w:after="0" w:line="115" w:lineRule="exact"/>
              <w:rPr>
                <w:sz w:val="20"/>
                <w:szCs w:val="20"/>
                <w:color w:val="auto"/>
              </w:rPr>
            </w:pPr>
            <w:r>
              <w:rPr>
                <w:rFonts w:ascii="Arial" w:cs="Arial" w:eastAsia="Arial" w:hAnsi="Arial"/>
                <w:sz w:val="13"/>
                <w:szCs w:val="13"/>
                <w:color w:val="0000FF"/>
              </w:rPr>
              <w:t>Act of 2002</w:t>
            </w:r>
          </w:p>
        </w:tc>
        <w:tc>
          <w:tcPr>
            <w:tcW w:w="2040" w:type="dxa"/>
            <w:vAlign w:val="bottom"/>
            <w:gridSpan w:val="2"/>
          </w:tcPr>
          <w:p>
            <w:pPr>
              <w:spacing w:after="0"/>
              <w:rPr>
                <w:sz w:val="10"/>
                <w:szCs w:val="10"/>
                <w:color w:val="auto"/>
              </w:rPr>
            </w:pPr>
          </w:p>
        </w:tc>
        <w:tc>
          <w:tcPr>
            <w:tcW w:w="310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1"/>
        </w:trPr>
        <w:tc>
          <w:tcPr>
            <w:tcW w:w="1100" w:type="dxa"/>
            <w:vAlign w:val="bottom"/>
          </w:tcPr>
          <w:p>
            <w:pPr>
              <w:spacing w:after="0"/>
              <w:rPr>
                <w:sz w:val="20"/>
                <w:szCs w:val="20"/>
                <w:color w:val="auto"/>
              </w:rPr>
            </w:pPr>
            <w:r>
              <w:rPr>
                <w:rFonts w:ascii="Arial" w:cs="Arial" w:eastAsia="Arial" w:hAnsi="Arial"/>
                <w:sz w:val="14"/>
                <w:szCs w:val="14"/>
                <w:color w:val="auto"/>
              </w:rPr>
              <w:t>101.INS</w:t>
            </w:r>
          </w:p>
        </w:tc>
        <w:tc>
          <w:tcPr>
            <w:tcW w:w="6800" w:type="dxa"/>
            <w:vAlign w:val="bottom"/>
            <w:gridSpan w:val="7"/>
          </w:tcPr>
          <w:p>
            <w:pPr>
              <w:spacing w:after="0"/>
              <w:rPr>
                <w:sz w:val="20"/>
                <w:szCs w:val="20"/>
                <w:color w:val="auto"/>
              </w:rPr>
            </w:pPr>
            <w:r>
              <w:rPr>
                <w:rFonts w:ascii="Arial" w:cs="Arial" w:eastAsia="Arial" w:hAnsi="Arial"/>
                <w:sz w:val="14"/>
                <w:szCs w:val="14"/>
                <w:color w:val="auto"/>
              </w:rPr>
              <w:t>Inline XBRL Instance Document - the instance document does not appear in the</w:t>
            </w:r>
          </w:p>
        </w:tc>
        <w:tc>
          <w:tcPr>
            <w:tcW w:w="3100" w:type="dxa"/>
            <w:vAlign w:val="bottom"/>
          </w:tcPr>
          <w:p>
            <w:pPr>
              <w:jc w:val="center"/>
              <w:ind w:left="1908"/>
              <w:spacing w:after="0"/>
              <w:rPr>
                <w:sz w:val="20"/>
                <w:szCs w:val="20"/>
                <w:color w:val="auto"/>
              </w:rPr>
            </w:pPr>
            <w:r>
              <w:rPr>
                <w:rFonts w:ascii="Arial" w:cs="Arial" w:eastAsia="Arial" w:hAnsi="Arial"/>
                <w:sz w:val="14"/>
                <w:szCs w:val="14"/>
                <w:color w:val="auto"/>
                <w:w w:val="96"/>
              </w:rPr>
              <w:t>Filed herewith</w:t>
            </w:r>
          </w:p>
        </w:tc>
      </w:tr>
      <w:tr>
        <w:trPr>
          <w:trHeight w:val="140"/>
        </w:trPr>
        <w:tc>
          <w:tcPr>
            <w:tcW w:w="1100" w:type="dxa"/>
            <w:vAlign w:val="bottom"/>
          </w:tcPr>
          <w:p>
            <w:pPr>
              <w:spacing w:after="0"/>
              <w:rPr>
                <w:sz w:val="12"/>
                <w:szCs w:val="12"/>
                <w:color w:val="auto"/>
              </w:rPr>
            </w:pPr>
          </w:p>
        </w:tc>
        <w:tc>
          <w:tcPr>
            <w:tcW w:w="6800" w:type="dxa"/>
            <w:vAlign w:val="bottom"/>
            <w:gridSpan w:val="7"/>
          </w:tcPr>
          <w:p>
            <w:pPr>
              <w:spacing w:after="0" w:line="141" w:lineRule="exact"/>
              <w:rPr>
                <w:sz w:val="20"/>
                <w:szCs w:val="20"/>
                <w:color w:val="auto"/>
              </w:rPr>
            </w:pPr>
            <w:r>
              <w:rPr>
                <w:rFonts w:ascii="Arial" w:cs="Arial" w:eastAsia="Arial" w:hAnsi="Arial"/>
                <w:sz w:val="14"/>
                <w:szCs w:val="14"/>
                <w:color w:val="auto"/>
              </w:rPr>
              <w:t>Interactive Data File because its XBRL tags are embedded within the Inline XBRL</w:t>
            </w:r>
          </w:p>
        </w:tc>
        <w:tc>
          <w:tcPr>
            <w:tcW w:w="3100" w:type="dxa"/>
            <w:vAlign w:val="bottom"/>
          </w:tcPr>
          <w:p>
            <w:pPr>
              <w:spacing w:after="0"/>
              <w:rPr>
                <w:sz w:val="12"/>
                <w:szCs w:val="12"/>
                <w:color w:val="auto"/>
              </w:rPr>
            </w:pPr>
          </w:p>
        </w:tc>
      </w:tr>
      <w:tr>
        <w:trPr>
          <w:trHeight w:val="182"/>
        </w:trPr>
        <w:tc>
          <w:tcPr>
            <w:tcW w:w="1100" w:type="dxa"/>
            <w:vAlign w:val="bottom"/>
          </w:tcPr>
          <w:p>
            <w:pPr>
              <w:spacing w:after="0"/>
              <w:rPr>
                <w:sz w:val="15"/>
                <w:szCs w:val="15"/>
                <w:color w:val="auto"/>
              </w:rPr>
            </w:pPr>
          </w:p>
        </w:tc>
        <w:tc>
          <w:tcPr>
            <w:tcW w:w="6800" w:type="dxa"/>
            <w:vAlign w:val="bottom"/>
            <w:gridSpan w:val="7"/>
          </w:tcPr>
          <w:p>
            <w:pPr>
              <w:spacing w:after="0"/>
              <w:rPr>
                <w:sz w:val="20"/>
                <w:szCs w:val="20"/>
                <w:color w:val="auto"/>
              </w:rPr>
            </w:pPr>
            <w:r>
              <w:rPr>
                <w:rFonts w:ascii="Arial" w:cs="Arial" w:eastAsia="Arial" w:hAnsi="Arial"/>
                <w:sz w:val="14"/>
                <w:szCs w:val="14"/>
                <w:color w:val="auto"/>
              </w:rPr>
              <w:t>document</w:t>
            </w:r>
          </w:p>
        </w:tc>
        <w:tc>
          <w:tcPr>
            <w:tcW w:w="3100" w:type="dxa"/>
            <w:vAlign w:val="bottom"/>
          </w:tcPr>
          <w:p>
            <w:pPr>
              <w:spacing w:after="0"/>
              <w:rPr>
                <w:sz w:val="15"/>
                <w:szCs w:val="15"/>
                <w:color w:val="auto"/>
              </w:rPr>
            </w:pPr>
          </w:p>
        </w:tc>
      </w:tr>
      <w:tr>
        <w:trPr>
          <w:trHeight w:val="251"/>
        </w:trPr>
        <w:tc>
          <w:tcPr>
            <w:tcW w:w="1100" w:type="dxa"/>
            <w:vAlign w:val="bottom"/>
          </w:tcPr>
          <w:p>
            <w:pPr>
              <w:spacing w:after="0"/>
              <w:rPr>
                <w:sz w:val="20"/>
                <w:szCs w:val="20"/>
                <w:color w:val="auto"/>
              </w:rPr>
            </w:pPr>
            <w:r>
              <w:rPr>
                <w:rFonts w:ascii="Arial" w:cs="Arial" w:eastAsia="Arial" w:hAnsi="Arial"/>
                <w:sz w:val="14"/>
                <w:szCs w:val="14"/>
                <w:color w:val="auto"/>
              </w:rPr>
              <w:t>101.SCH</w:t>
            </w:r>
          </w:p>
        </w:tc>
        <w:tc>
          <w:tcPr>
            <w:tcW w:w="6800" w:type="dxa"/>
            <w:vAlign w:val="bottom"/>
            <w:gridSpan w:val="7"/>
          </w:tcPr>
          <w:p>
            <w:pPr>
              <w:spacing w:after="0"/>
              <w:rPr>
                <w:sz w:val="20"/>
                <w:szCs w:val="20"/>
                <w:color w:val="auto"/>
              </w:rPr>
            </w:pPr>
            <w:r>
              <w:rPr>
                <w:rFonts w:ascii="Arial" w:cs="Arial" w:eastAsia="Arial" w:hAnsi="Arial"/>
                <w:sz w:val="14"/>
                <w:szCs w:val="14"/>
                <w:color w:val="auto"/>
              </w:rPr>
              <w:t>Inline XBRL Taxonomy Extension Schema Document</w:t>
            </w:r>
          </w:p>
        </w:tc>
        <w:tc>
          <w:tcPr>
            <w:tcW w:w="3100" w:type="dxa"/>
            <w:vAlign w:val="bottom"/>
          </w:tcPr>
          <w:p>
            <w:pPr>
              <w:jc w:val="center"/>
              <w:ind w:left="1908"/>
              <w:spacing w:after="0"/>
              <w:rPr>
                <w:sz w:val="20"/>
                <w:szCs w:val="20"/>
                <w:color w:val="auto"/>
              </w:rPr>
            </w:pPr>
            <w:r>
              <w:rPr>
                <w:rFonts w:ascii="Arial" w:cs="Arial" w:eastAsia="Arial" w:hAnsi="Arial"/>
                <w:sz w:val="14"/>
                <w:szCs w:val="14"/>
                <w:color w:val="auto"/>
                <w:w w:val="96"/>
              </w:rPr>
              <w:t>Filed herewith</w:t>
            </w:r>
          </w:p>
        </w:tc>
      </w:tr>
      <w:tr>
        <w:trPr>
          <w:trHeight w:val="257"/>
        </w:trPr>
        <w:tc>
          <w:tcPr>
            <w:tcW w:w="1100" w:type="dxa"/>
            <w:vAlign w:val="bottom"/>
          </w:tcPr>
          <w:p>
            <w:pPr>
              <w:spacing w:after="0"/>
              <w:rPr>
                <w:sz w:val="20"/>
                <w:szCs w:val="20"/>
                <w:color w:val="auto"/>
              </w:rPr>
            </w:pPr>
            <w:r>
              <w:rPr>
                <w:rFonts w:ascii="Arial" w:cs="Arial" w:eastAsia="Arial" w:hAnsi="Arial"/>
                <w:sz w:val="14"/>
                <w:szCs w:val="14"/>
                <w:color w:val="auto"/>
              </w:rPr>
              <w:t>101.CAL</w:t>
            </w:r>
          </w:p>
        </w:tc>
        <w:tc>
          <w:tcPr>
            <w:tcW w:w="6800" w:type="dxa"/>
            <w:vAlign w:val="bottom"/>
            <w:gridSpan w:val="7"/>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3100" w:type="dxa"/>
            <w:vAlign w:val="bottom"/>
          </w:tcPr>
          <w:p>
            <w:pPr>
              <w:jc w:val="center"/>
              <w:ind w:left="1908"/>
              <w:spacing w:after="0"/>
              <w:rPr>
                <w:sz w:val="20"/>
                <w:szCs w:val="20"/>
                <w:color w:val="auto"/>
              </w:rPr>
            </w:pPr>
            <w:r>
              <w:rPr>
                <w:rFonts w:ascii="Arial" w:cs="Arial" w:eastAsia="Arial" w:hAnsi="Arial"/>
                <w:sz w:val="14"/>
                <w:szCs w:val="14"/>
                <w:color w:val="auto"/>
                <w:w w:val="96"/>
              </w:rPr>
              <w:t>Filed herewith</w:t>
            </w:r>
          </w:p>
        </w:tc>
      </w:tr>
      <w:tr>
        <w:trPr>
          <w:trHeight w:val="257"/>
        </w:trPr>
        <w:tc>
          <w:tcPr>
            <w:tcW w:w="1100" w:type="dxa"/>
            <w:vAlign w:val="bottom"/>
          </w:tcPr>
          <w:p>
            <w:pPr>
              <w:spacing w:after="0"/>
              <w:rPr>
                <w:sz w:val="20"/>
                <w:szCs w:val="20"/>
                <w:color w:val="auto"/>
              </w:rPr>
            </w:pPr>
            <w:r>
              <w:rPr>
                <w:rFonts w:ascii="Arial" w:cs="Arial" w:eastAsia="Arial" w:hAnsi="Arial"/>
                <w:sz w:val="14"/>
                <w:szCs w:val="14"/>
                <w:color w:val="auto"/>
              </w:rPr>
              <w:t>101.DEF</w:t>
            </w:r>
          </w:p>
        </w:tc>
        <w:tc>
          <w:tcPr>
            <w:tcW w:w="6800" w:type="dxa"/>
            <w:vAlign w:val="bottom"/>
            <w:gridSpan w:val="7"/>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3100" w:type="dxa"/>
            <w:vAlign w:val="bottom"/>
          </w:tcPr>
          <w:p>
            <w:pPr>
              <w:jc w:val="center"/>
              <w:ind w:left="1908"/>
              <w:spacing w:after="0"/>
              <w:rPr>
                <w:sz w:val="20"/>
                <w:szCs w:val="20"/>
                <w:color w:val="auto"/>
              </w:rPr>
            </w:pPr>
            <w:r>
              <w:rPr>
                <w:rFonts w:ascii="Arial" w:cs="Arial" w:eastAsia="Arial" w:hAnsi="Arial"/>
                <w:sz w:val="14"/>
                <w:szCs w:val="14"/>
                <w:color w:val="auto"/>
                <w:w w:val="96"/>
              </w:rPr>
              <w:t>Filed herewith</w:t>
            </w:r>
          </w:p>
        </w:tc>
      </w:tr>
      <w:tr>
        <w:trPr>
          <w:trHeight w:val="257"/>
        </w:trPr>
        <w:tc>
          <w:tcPr>
            <w:tcW w:w="1100" w:type="dxa"/>
            <w:vAlign w:val="bottom"/>
          </w:tcPr>
          <w:p>
            <w:pPr>
              <w:spacing w:after="0"/>
              <w:rPr>
                <w:sz w:val="20"/>
                <w:szCs w:val="20"/>
                <w:color w:val="auto"/>
              </w:rPr>
            </w:pPr>
            <w:r>
              <w:rPr>
                <w:rFonts w:ascii="Arial" w:cs="Arial" w:eastAsia="Arial" w:hAnsi="Arial"/>
                <w:sz w:val="14"/>
                <w:szCs w:val="14"/>
                <w:color w:val="auto"/>
              </w:rPr>
              <w:t>101.LAB</w:t>
            </w:r>
          </w:p>
        </w:tc>
        <w:tc>
          <w:tcPr>
            <w:tcW w:w="6800" w:type="dxa"/>
            <w:vAlign w:val="bottom"/>
            <w:gridSpan w:val="7"/>
          </w:tcPr>
          <w:p>
            <w:pPr>
              <w:spacing w:after="0"/>
              <w:rPr>
                <w:sz w:val="20"/>
                <w:szCs w:val="20"/>
                <w:color w:val="auto"/>
              </w:rPr>
            </w:pPr>
            <w:r>
              <w:rPr>
                <w:rFonts w:ascii="Arial" w:cs="Arial" w:eastAsia="Arial" w:hAnsi="Arial"/>
                <w:sz w:val="14"/>
                <w:szCs w:val="14"/>
                <w:color w:val="auto"/>
              </w:rPr>
              <w:t>XBRL Taxonomy Extension Label Linkbase Document</w:t>
            </w:r>
          </w:p>
        </w:tc>
        <w:tc>
          <w:tcPr>
            <w:tcW w:w="3100" w:type="dxa"/>
            <w:vAlign w:val="bottom"/>
          </w:tcPr>
          <w:p>
            <w:pPr>
              <w:jc w:val="center"/>
              <w:ind w:left="1908"/>
              <w:spacing w:after="0"/>
              <w:rPr>
                <w:sz w:val="20"/>
                <w:szCs w:val="20"/>
                <w:color w:val="auto"/>
              </w:rPr>
            </w:pPr>
            <w:r>
              <w:rPr>
                <w:rFonts w:ascii="Arial" w:cs="Arial" w:eastAsia="Arial" w:hAnsi="Arial"/>
                <w:sz w:val="14"/>
                <w:szCs w:val="14"/>
                <w:color w:val="auto"/>
                <w:w w:val="96"/>
              </w:rPr>
              <w:t>Filed herewith</w:t>
            </w:r>
          </w:p>
        </w:tc>
      </w:tr>
      <w:tr>
        <w:trPr>
          <w:trHeight w:val="256"/>
        </w:trPr>
        <w:tc>
          <w:tcPr>
            <w:tcW w:w="1100" w:type="dxa"/>
            <w:vAlign w:val="bottom"/>
          </w:tcPr>
          <w:p>
            <w:pPr>
              <w:spacing w:after="0"/>
              <w:rPr>
                <w:sz w:val="20"/>
                <w:szCs w:val="20"/>
                <w:color w:val="auto"/>
              </w:rPr>
            </w:pPr>
            <w:r>
              <w:rPr>
                <w:rFonts w:ascii="Arial" w:cs="Arial" w:eastAsia="Arial" w:hAnsi="Arial"/>
                <w:sz w:val="14"/>
                <w:szCs w:val="14"/>
                <w:color w:val="auto"/>
              </w:rPr>
              <w:t>101.PRE</w:t>
            </w:r>
          </w:p>
        </w:tc>
        <w:tc>
          <w:tcPr>
            <w:tcW w:w="6800" w:type="dxa"/>
            <w:vAlign w:val="bottom"/>
            <w:gridSpan w:val="7"/>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3100" w:type="dxa"/>
            <w:vAlign w:val="bottom"/>
          </w:tcPr>
          <w:p>
            <w:pPr>
              <w:jc w:val="center"/>
              <w:ind w:left="1908"/>
              <w:spacing w:after="0"/>
              <w:rPr>
                <w:sz w:val="20"/>
                <w:szCs w:val="20"/>
                <w:color w:val="auto"/>
              </w:rPr>
            </w:pPr>
            <w:r>
              <w:rPr>
                <w:rFonts w:ascii="Arial" w:cs="Arial" w:eastAsia="Arial" w:hAnsi="Arial"/>
                <w:sz w:val="14"/>
                <w:szCs w:val="14"/>
                <w:color w:val="auto"/>
                <w:w w:val="96"/>
              </w:rPr>
              <w:t>Filed herewith</w:t>
            </w:r>
          </w:p>
        </w:tc>
      </w:tr>
    </w:tbl>
    <w:p>
      <w:pPr>
        <w:spacing w:after="0" w:line="74" w:lineRule="exact"/>
        <w:rPr>
          <w:sz w:val="20"/>
          <w:szCs w:val="20"/>
          <w:color w:val="auto"/>
        </w:rPr>
      </w:pPr>
    </w:p>
    <w:p>
      <w:pPr>
        <w:ind w:left="1120" w:right="5440" w:hanging="1094"/>
        <w:spacing w:after="0" w:line="253" w:lineRule="auto"/>
        <w:tabs>
          <w:tab w:leader="none" w:pos="11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Cover Page with Interactive Data File (formatted as Inline XBRL with applicable taxonomy extension information contained in Exhibits 101)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w:t>
      </w:r>
    </w:p>
    <w:p>
      <w:pPr>
        <w:spacing w:after="0" w:line="21" w:lineRule="exact"/>
        <w:rPr>
          <w:sz w:val="20"/>
          <w:szCs w:val="20"/>
          <w:color w:val="auto"/>
        </w:rPr>
      </w:pPr>
    </w:p>
    <w:p>
      <w:pPr>
        <w:ind w:right="160" w:firstLine="8"/>
        <w:spacing w:after="0" w:line="255" w:lineRule="auto"/>
        <w:tabs>
          <w:tab w:leader="none" w:pos="2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6"/>
          <w:szCs w:val="16"/>
          <w:b w:val="1"/>
          <w:bCs w:val="1"/>
          <w:color w:val="auto"/>
        </w:rPr>
        <w:t>TWILIO INC.</w:t>
      </w:r>
    </w:p>
    <w:p>
      <w:pPr>
        <w:spacing w:after="0" w:line="306" w:lineRule="exact"/>
        <w:rPr>
          <w:sz w:val="20"/>
          <w:szCs w:val="20"/>
          <w:color w:val="auto"/>
        </w:rPr>
      </w:pPr>
    </w:p>
    <w:p>
      <w:pPr>
        <w:ind w:left="780"/>
        <w:spacing w:after="0"/>
        <w:tabs>
          <w:tab w:leader="none" w:pos="7740" w:val="left"/>
        </w:tabs>
        <w:rPr>
          <w:sz w:val="20"/>
          <w:szCs w:val="20"/>
          <w:color w:val="auto"/>
        </w:rPr>
      </w:pPr>
      <w:r>
        <w:rPr>
          <w:rFonts w:ascii="Arial" w:cs="Arial" w:eastAsia="Arial" w:hAnsi="Arial"/>
          <w:sz w:val="16"/>
          <w:szCs w:val="16"/>
          <w:color w:val="auto"/>
        </w:rPr>
        <w:t>November 8, 2023</w:t>
      </w:r>
      <w:r>
        <w:rPr>
          <w:sz w:val="20"/>
          <w:szCs w:val="20"/>
          <w:color w:val="auto"/>
        </w:rPr>
        <w:tab/>
      </w:r>
      <w:r>
        <w:rPr>
          <w:rFonts w:ascii="Arial" w:cs="Arial" w:eastAsia="Arial" w:hAnsi="Arial"/>
          <w:sz w:val="15"/>
          <w:szCs w:val="15"/>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17780</wp:posOffset>
            </wp:positionV>
            <wp:extent cx="31718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8" w:lineRule="exact"/>
        <w:rPr>
          <w:sz w:val="20"/>
          <w:szCs w:val="20"/>
          <w:color w:val="auto"/>
        </w:rPr>
      </w:pPr>
    </w:p>
    <w:p>
      <w:pPr>
        <w:jc w:val="center"/>
        <w:ind w:left="5500"/>
        <w:spacing w:after="0"/>
        <w:rPr>
          <w:sz w:val="20"/>
          <w:szCs w:val="20"/>
          <w:color w:val="auto"/>
        </w:rPr>
      </w:pPr>
      <w:r>
        <w:rPr>
          <w:rFonts w:ascii="Arial" w:cs="Arial" w:eastAsia="Arial" w:hAnsi="Arial"/>
          <w:sz w:val="16"/>
          <w:szCs w:val="16"/>
          <w:color w:val="auto"/>
        </w:rPr>
        <w:t>Jeff Lawson</w:t>
      </w:r>
    </w:p>
    <w:p>
      <w:pPr>
        <w:jc w:val="center"/>
        <w:ind w:left="5500"/>
        <w:spacing w:after="0"/>
        <w:rPr>
          <w:sz w:val="20"/>
          <w:szCs w:val="20"/>
          <w:color w:val="auto"/>
        </w:rPr>
      </w:pPr>
      <w:r>
        <w:rPr>
          <w:rFonts w:ascii="Arial" w:cs="Arial" w:eastAsia="Arial" w:hAnsi="Arial"/>
          <w:sz w:val="16"/>
          <w:szCs w:val="16"/>
          <w:i w:val="1"/>
          <w:iCs w:val="1"/>
          <w:color w:val="auto"/>
        </w:rPr>
        <w:t>Director and Chief Executive Officer (Principal Executive Officer)</w:t>
      </w:r>
    </w:p>
    <w:p>
      <w:pPr>
        <w:spacing w:after="0" w:line="234" w:lineRule="exact"/>
        <w:rPr>
          <w:sz w:val="20"/>
          <w:szCs w:val="20"/>
          <w:color w:val="auto"/>
        </w:rPr>
      </w:pPr>
    </w:p>
    <w:p>
      <w:pPr>
        <w:ind w:left="780"/>
        <w:spacing w:after="0"/>
        <w:tabs>
          <w:tab w:leader="none" w:pos="7580" w:val="left"/>
        </w:tabs>
        <w:rPr>
          <w:sz w:val="20"/>
          <w:szCs w:val="20"/>
          <w:color w:val="auto"/>
        </w:rPr>
      </w:pPr>
      <w:r>
        <w:rPr>
          <w:rFonts w:ascii="Arial" w:cs="Arial" w:eastAsia="Arial" w:hAnsi="Arial"/>
          <w:sz w:val="16"/>
          <w:szCs w:val="16"/>
          <w:color w:val="auto"/>
        </w:rPr>
        <w:t>November 8, 2023</w:t>
      </w:r>
      <w:r>
        <w:rPr>
          <w:sz w:val="20"/>
          <w:szCs w:val="20"/>
          <w:color w:val="auto"/>
        </w:rPr>
        <w:tab/>
      </w:r>
      <w:r>
        <w:rPr>
          <w:rFonts w:ascii="Arial" w:cs="Arial" w:eastAsia="Arial" w:hAnsi="Arial"/>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17780</wp:posOffset>
            </wp:positionV>
            <wp:extent cx="31718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8" w:lineRule="exact"/>
        <w:rPr>
          <w:sz w:val="20"/>
          <w:szCs w:val="20"/>
          <w:color w:val="auto"/>
        </w:rPr>
      </w:pPr>
    </w:p>
    <w:p>
      <w:pPr>
        <w:jc w:val="center"/>
        <w:ind w:left="5500"/>
        <w:spacing w:after="0"/>
        <w:rPr>
          <w:sz w:val="20"/>
          <w:szCs w:val="20"/>
          <w:color w:val="auto"/>
        </w:rPr>
      </w:pPr>
      <w:r>
        <w:rPr>
          <w:rFonts w:ascii="Arial" w:cs="Arial" w:eastAsia="Arial" w:hAnsi="Arial"/>
          <w:sz w:val="16"/>
          <w:szCs w:val="16"/>
          <w:color w:val="auto"/>
        </w:rPr>
        <w:t>Aidan Viggiano</w:t>
      </w:r>
    </w:p>
    <w:p>
      <w:pPr>
        <w:jc w:val="center"/>
        <w:ind w:left="5500"/>
        <w:spacing w:after="0"/>
        <w:rPr>
          <w:sz w:val="20"/>
          <w:szCs w:val="20"/>
          <w:color w:val="auto"/>
        </w:rPr>
      </w:pPr>
      <w:r>
        <w:rPr>
          <w:rFonts w:ascii="Arial" w:cs="Arial" w:eastAsia="Arial" w:hAnsi="Arial"/>
          <w:sz w:val="16"/>
          <w:szCs w:val="16"/>
          <w:i w:val="1"/>
          <w:iCs w:val="1"/>
          <w:color w:val="auto"/>
        </w:rPr>
        <w:t>Chief Financial Officer (Principal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107" w:right="33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 Jeff Lawson, certify that:</w:t>
      </w:r>
    </w:p>
    <w:p>
      <w:pPr>
        <w:spacing w:after="0" w:line="181"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Twilio Inc.;</w:t>
      </w:r>
    </w:p>
    <w:p>
      <w:pPr>
        <w:spacing w:after="0" w:line="194" w:lineRule="exact"/>
        <w:rPr>
          <w:rFonts w:ascii="Arial" w:cs="Arial" w:eastAsia="Arial" w:hAnsi="Arial"/>
          <w:sz w:val="16"/>
          <w:szCs w:val="16"/>
          <w:color w:val="auto"/>
        </w:rPr>
      </w:pPr>
    </w:p>
    <w:p>
      <w:pPr>
        <w:ind w:right="520" w:firstLine="656"/>
        <w:spacing w:after="0" w:line="349" w:lineRule="auto"/>
        <w:tabs>
          <w:tab w:leader="none" w:pos="1296"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4"/>
          <w:szCs w:val="14"/>
          <w:color w:val="auto"/>
        </w:rPr>
      </w:pPr>
    </w:p>
    <w:p>
      <w:pPr>
        <w:ind w:right="480" w:firstLine="656"/>
        <w:spacing w:after="0" w:line="293" w:lineRule="auto"/>
        <w:tabs>
          <w:tab w:leader="none" w:pos="1296"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6"/>
          <w:szCs w:val="16"/>
          <w:color w:val="auto"/>
        </w:rPr>
      </w:pPr>
    </w:p>
    <w:p>
      <w:pPr>
        <w:ind w:right="20" w:firstLine="656"/>
        <w:spacing w:after="0" w:line="269" w:lineRule="auto"/>
        <w:tabs>
          <w:tab w:leader="none" w:pos="129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6"/>
          <w:szCs w:val="16"/>
          <w:color w:val="auto"/>
        </w:rPr>
      </w:pPr>
    </w:p>
    <w:p>
      <w:pPr>
        <w:jc w:val="both"/>
        <w:ind w:right="80" w:firstLine="1304"/>
        <w:spacing w:after="0" w:line="269" w:lineRule="auto"/>
        <w:tabs>
          <w:tab w:leader="none" w:pos="1935"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right="200" w:firstLine="1304"/>
        <w:spacing w:after="0" w:line="269" w:lineRule="auto"/>
        <w:tabs>
          <w:tab w:leader="none" w:pos="1944"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6"/>
          <w:szCs w:val="16"/>
          <w:color w:val="auto"/>
        </w:rPr>
      </w:pPr>
    </w:p>
    <w:p>
      <w:pPr>
        <w:ind w:right="560" w:firstLine="1304"/>
        <w:spacing w:after="0" w:line="310" w:lineRule="auto"/>
        <w:tabs>
          <w:tab w:leader="none" w:pos="1935"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5"/>
          <w:szCs w:val="15"/>
          <w:color w:val="auto"/>
        </w:rPr>
      </w:pPr>
    </w:p>
    <w:p>
      <w:pPr>
        <w:ind w:right="100" w:firstLine="1304"/>
        <w:spacing w:after="0" w:line="269" w:lineRule="auto"/>
        <w:tabs>
          <w:tab w:leader="none" w:pos="1944"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right="240" w:firstLine="656"/>
        <w:spacing w:after="0" w:line="293" w:lineRule="auto"/>
        <w:tabs>
          <w:tab w:leader="none" w:pos="129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6"/>
          <w:szCs w:val="16"/>
          <w:color w:val="auto"/>
        </w:rPr>
      </w:pPr>
    </w:p>
    <w:p>
      <w:pPr>
        <w:ind w:right="20" w:firstLine="1304"/>
        <w:spacing w:after="0" w:line="293" w:lineRule="auto"/>
        <w:tabs>
          <w:tab w:leader="none" w:pos="1935"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right="480" w:firstLine="1304"/>
        <w:spacing w:after="0" w:line="275" w:lineRule="auto"/>
        <w:tabs>
          <w:tab w:leader="none" w:pos="1944"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2023</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974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Jeff Lawson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Chief Executive Officer (Principal Executive Officer)</w:t>
      </w:r>
    </w:p>
    <w:p>
      <w:pPr>
        <w:sectPr>
          <w:pgSz w:w="11900" w:h="16838" w:orient="portrait"/>
          <w:cols w:equalWidth="0" w:num="1">
            <w:col w:w="11240"/>
          </w:cols>
          <w:pgMar w:left="320" w:top="107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 Aidan Viggiano, certify that:</w:t>
      </w:r>
    </w:p>
    <w:p>
      <w:pPr>
        <w:spacing w:after="0" w:line="194"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Twilio Inc.;</w:t>
      </w:r>
    </w:p>
    <w:p>
      <w:pPr>
        <w:spacing w:after="0" w:line="180" w:lineRule="exact"/>
        <w:rPr>
          <w:rFonts w:ascii="Arial" w:cs="Arial" w:eastAsia="Arial" w:hAnsi="Arial"/>
          <w:sz w:val="16"/>
          <w:szCs w:val="16"/>
          <w:color w:val="auto"/>
        </w:rPr>
      </w:pPr>
    </w:p>
    <w:p>
      <w:pPr>
        <w:ind w:right="520" w:firstLine="656"/>
        <w:spacing w:after="0" w:line="369" w:lineRule="auto"/>
        <w:tabs>
          <w:tab w:leader="none" w:pos="12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4"/>
          <w:szCs w:val="14"/>
          <w:color w:val="auto"/>
        </w:rPr>
      </w:pPr>
    </w:p>
    <w:p>
      <w:pPr>
        <w:ind w:right="480" w:firstLine="656"/>
        <w:spacing w:after="0" w:line="275" w:lineRule="auto"/>
        <w:tabs>
          <w:tab w:leader="none" w:pos="1296"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right="20" w:firstLine="656"/>
        <w:spacing w:after="0" w:line="261" w:lineRule="auto"/>
        <w:tabs>
          <w:tab w:leader="none" w:pos="129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jc w:val="both"/>
        <w:ind w:right="80" w:firstLine="1304"/>
        <w:spacing w:after="0" w:line="269" w:lineRule="auto"/>
        <w:tabs>
          <w:tab w:leader="none" w:pos="1935"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6"/>
          <w:szCs w:val="16"/>
          <w:color w:val="auto"/>
        </w:rPr>
      </w:pPr>
    </w:p>
    <w:p>
      <w:pPr>
        <w:ind w:right="200" w:firstLine="1304"/>
        <w:spacing w:after="0" w:line="261" w:lineRule="auto"/>
        <w:tabs>
          <w:tab w:leader="none" w:pos="1944"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right="560" w:firstLine="1304"/>
        <w:spacing w:after="0" w:line="328" w:lineRule="auto"/>
        <w:tabs>
          <w:tab w:leader="none" w:pos="1935"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5"/>
          <w:szCs w:val="15"/>
          <w:color w:val="auto"/>
        </w:rPr>
      </w:pPr>
    </w:p>
    <w:p>
      <w:pPr>
        <w:ind w:right="100" w:firstLine="1304"/>
        <w:spacing w:after="0" w:line="269" w:lineRule="auto"/>
        <w:tabs>
          <w:tab w:leader="none" w:pos="1944"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right="240" w:firstLine="656"/>
        <w:spacing w:after="0" w:line="275" w:lineRule="auto"/>
        <w:tabs>
          <w:tab w:leader="none" w:pos="129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right="20" w:firstLine="1304"/>
        <w:spacing w:after="0" w:line="275" w:lineRule="auto"/>
        <w:tabs>
          <w:tab w:leader="none" w:pos="1935"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right="480" w:firstLine="1304"/>
        <w:spacing w:after="0" w:line="275" w:lineRule="auto"/>
        <w:tabs>
          <w:tab w:leader="none" w:pos="1944"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2023</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0976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Aidan Viggiano</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Chief Financial Officer (Principal Accounting and Financial Officer)</w:t>
      </w:r>
    </w:p>
    <w:p>
      <w:pPr>
        <w:sectPr>
          <w:pgSz w:w="11900" w:h="16838" w:orient="portrait"/>
          <w:cols w:equalWidth="0" w:num="1">
            <w:col w:w="11240"/>
          </w:cols>
          <w:pgMar w:left="320" w:top="89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CERTIFICATION OF CHIEF EXECUTIVE OFFICER AND CHIEF FINANCIAL OFFICER</w:t>
      </w:r>
    </w:p>
    <w:p>
      <w:pPr>
        <w:spacing w:after="0" w:line="26"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PURSUANT TO</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18 U.S.C. SECTION 1350,</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20" w:firstLine="648"/>
        <w:spacing w:after="0" w:line="286" w:lineRule="auto"/>
        <w:rPr>
          <w:sz w:val="20"/>
          <w:szCs w:val="20"/>
          <w:color w:val="auto"/>
        </w:rPr>
      </w:pPr>
      <w:r>
        <w:rPr>
          <w:rFonts w:ascii="Arial" w:cs="Arial" w:eastAsia="Arial" w:hAnsi="Arial"/>
          <w:sz w:val="15"/>
          <w:szCs w:val="15"/>
          <w:color w:val="auto"/>
        </w:rPr>
        <w:t>Pursuant to the requirement set forth in Rule 13a-14(b) of the Securities Exchange Act of 1934, as amended, (the “Exchange Act”) and Section 1350 of Chapter 63 of Title 18 of the United States Code (18 U.S.C. §1350), as adopted pursuant to §906 of the Sarbanes-Oxley Act of 2002, Jeff Lawson, Chief Executive Officer of Twilio Inc. (the “Company”), and Aidan Viggiano, Chief Financial Officer of the Company, each hereby certifies that, to the best of their knowledge:</w:t>
      </w:r>
    </w:p>
    <w:p>
      <w:pPr>
        <w:spacing w:after="0" w:line="139" w:lineRule="exact"/>
        <w:rPr>
          <w:sz w:val="20"/>
          <w:szCs w:val="20"/>
          <w:color w:val="auto"/>
        </w:rPr>
      </w:pPr>
    </w:p>
    <w:p>
      <w:pPr>
        <w:ind w:right="240" w:firstLine="656"/>
        <w:spacing w:after="0" w:line="293" w:lineRule="auto"/>
        <w:tabs>
          <w:tab w:leader="none" w:pos="129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 ended September 30, 2023, to which this Certification is attached as Exhibit 32.1 (the “Periodic Report”), fully complies with the requirements of Section 13(a) or Section 15(d) of the Exchange Act; and</w:t>
      </w:r>
    </w:p>
    <w:p>
      <w:pPr>
        <w:spacing w:after="0" w:line="117" w:lineRule="exact"/>
        <w:rPr>
          <w:rFonts w:ascii="Arial" w:cs="Arial" w:eastAsia="Arial" w:hAnsi="Arial"/>
          <w:sz w:val="16"/>
          <w:szCs w:val="16"/>
          <w:color w:val="auto"/>
        </w:rPr>
      </w:pPr>
    </w:p>
    <w:p>
      <w:pPr>
        <w:ind w:left="1300" w:hanging="644"/>
        <w:spacing w:after="0"/>
        <w:tabs>
          <w:tab w:leader="none" w:pos="13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information contained in the Periodic Report fairly presents, in all material respects, the financial condition and results of operations of the</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2023</w:t>
      </w:r>
    </w:p>
    <w:p>
      <w:pPr>
        <w:spacing w:after="0" w:line="18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17780</wp:posOffset>
            </wp:positionV>
            <wp:extent cx="40976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Jeff Lawson</w:t>
      </w:r>
    </w:p>
    <w:p>
      <w:pPr>
        <w:spacing w:after="0" w:line="73"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auto"/>
        </w:rPr>
        <w:t>Chief Executive Officer (Principal Executive Officer)</w:t>
      </w:r>
    </w:p>
    <w:p>
      <w:pPr>
        <w:spacing w:after="0" w:line="28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17780</wp:posOffset>
            </wp:positionV>
            <wp:extent cx="40976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Aidan Viggiano</w:t>
      </w:r>
    </w:p>
    <w:p>
      <w:pPr>
        <w:spacing w:after="0" w:line="73"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auto"/>
        </w:rPr>
        <w:t>Chief Financial Officer (Principal Accounting and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2"/>
    </w:lvl>
    <w:lvl w:ilvl="1">
      <w:lvlJc w:val="left"/>
      <w:lvlText w:val="(%2)"/>
      <w:numFmt w:val="lowerLetter"/>
      <w:start w:val="1"/>
    </w:lvl>
  </w:abstractNum>
  <w:abstractNum w:abstractNumId="3">
    <w:nsid w:val="4353D0CD"/>
    <w:multiLevelType w:val="hybridMultilevel"/>
    <w:lvl w:ilvl="0">
      <w:lvlJc w:val="left"/>
      <w:lvlText w:val="(%1)"/>
      <w:numFmt w:val="lowerLetter"/>
      <w:start w:val="2"/>
    </w:lvl>
  </w:abstractNum>
  <w:abstractNum w:abstractNumId="4">
    <w:nsid w:val="B03E0C6"/>
    <w:multiLevelType w:val="hybridMultilevel"/>
    <w:lvl w:ilvl="0">
      <w:lvlJc w:val="left"/>
      <w:lvlText w:val="(%1)"/>
      <w:numFmt w:val="lowerLetter"/>
      <w:start w:val="3"/>
    </w:lvl>
  </w:abstractNum>
  <w:abstractNum w:abstractNumId="5">
    <w:nsid w:val="189A769B"/>
    <w:multiLevelType w:val="hybridMultilevel"/>
    <w:lvl w:ilvl="0">
      <w:lvlJc w:val="left"/>
      <w:lvlText w:val="(%1)"/>
      <w:numFmt w:val="lowerLetter"/>
      <w:start w:val="4"/>
    </w:lvl>
  </w:abstractNum>
  <w:abstractNum w:abstractNumId="6">
    <w:nsid w:val="54E49EB4"/>
    <w:multiLevelType w:val="hybridMultilevel"/>
    <w:lvl w:ilvl="0">
      <w:lvlJc w:val="left"/>
      <w:lvlText w:val="(%1)"/>
      <w:numFmt w:val="lowerLetter"/>
      <w:start w:val="5"/>
    </w:lvl>
  </w:abstractNum>
  <w:abstractNum w:abstractNumId="7">
    <w:nsid w:val="71F32454"/>
    <w:multiLevelType w:val="hybridMultilevel"/>
    <w:lvl w:ilvl="0">
      <w:lvlJc w:val="left"/>
      <w:lvlText w:val="(%1)"/>
      <w:numFmt w:val="lowerLetter"/>
      <w:start w:val="6"/>
    </w:lvl>
  </w:abstractNum>
  <w:abstractNum w:abstractNumId="8">
    <w:nsid w:val="2CA88611"/>
    <w:multiLevelType w:val="hybridMultilevel"/>
    <w:lvl w:ilvl="0">
      <w:lvlJc w:val="left"/>
      <w:lvlText w:val="(%1)"/>
      <w:numFmt w:val="lowerLetter"/>
      <w:start w:val="7"/>
    </w:lvl>
  </w:abstractNum>
  <w:abstractNum w:abstractNumId="9">
    <w:nsid w:val="836C40E"/>
    <w:multiLevelType w:val="hybridMultilevel"/>
    <w:lvl w:ilvl="0">
      <w:lvlJc w:val="left"/>
      <w:lvlText w:val="(%1)"/>
      <w:numFmt w:val="lowerLetter"/>
      <w:start w:val="8"/>
    </w:lvl>
  </w:abstractNum>
  <w:abstractNum w:abstractNumId="10">
    <w:nsid w:val="2901D82"/>
    <w:multiLevelType w:val="hybridMultilevel"/>
    <w:lvl w:ilvl="0">
      <w:lvlJc w:val="left"/>
      <w:lvlText w:val="(%1)"/>
      <w:numFmt w:val="lowerRoman"/>
      <w:start w:val="1"/>
    </w:lvl>
  </w:abstractNum>
  <w:abstractNum w:abstractNumId="11">
    <w:nsid w:val="3A95F874"/>
    <w:multiLevelType w:val="hybridMultilevel"/>
    <w:lvl w:ilvl="0">
      <w:lvlJc w:val="left"/>
      <w:lvlText w:val="%1."/>
      <w:numFmt w:val="decimal"/>
      <w:start w:val="3"/>
    </w:lvl>
  </w:abstractNum>
  <w:abstractNum w:abstractNumId="12">
    <w:nsid w:val="8138641"/>
    <w:multiLevelType w:val="hybridMultilevel"/>
    <w:lvl w:ilvl="0">
      <w:lvlJc w:val="left"/>
      <w:lvlText w:val="(%1)"/>
      <w:numFmt w:val="decimal"/>
      <w:start w:val="2"/>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2"/>
    </w:lvl>
  </w:abstractNum>
  <w:abstractNum w:abstractNumId="15">
    <w:nsid w:val="737B8DDC"/>
    <w:multiLevelType w:val="hybridMultilevel"/>
    <w:lvl w:ilvl="0">
      <w:lvlJc w:val="left"/>
      <w:lvlText w:val="(%1)"/>
      <w:numFmt w:val="lowerLetter"/>
      <w:start w:val="3"/>
    </w:lvl>
  </w:abstractNum>
  <w:abstractNum w:abstractNumId="16">
    <w:nsid w:val="6CEAF087"/>
    <w:multiLevelType w:val="hybridMultilevel"/>
    <w:lvl w:ilvl="0">
      <w:lvlJc w:val="left"/>
      <w:lvlText w:val="(%1)"/>
      <w:numFmt w:val="lowerLetter"/>
      <w:start w:val="4"/>
    </w:lvl>
  </w:abstractNum>
  <w:abstractNum w:abstractNumId="17">
    <w:nsid w:val="22221A70"/>
    <w:multiLevelType w:val="hybridMultilevel"/>
    <w:lvl w:ilvl="0">
      <w:lvlJc w:val="left"/>
      <w:lvlText w:val="%1."/>
      <w:numFmt w:val="decimal"/>
      <w:start w:val="15"/>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bullet"/>
      <w:start w:val="1"/>
    </w:lvl>
  </w:abstractNum>
  <w:abstractNum w:abstractNumId="21">
    <w:nsid w:val="419AC241"/>
    <w:multiLevelType w:val="hybridMultilevel"/>
    <w:lvl w:ilvl="0">
      <w:lvlJc w:val="left"/>
      <w:lvlText w:val="2"/>
      <w:numFmt w:val="bullet"/>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04"/>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2023-11-09T05:23:42Z</dcterms:created>
  <dcterms:modified xsi:type="dcterms:W3CDTF">2023-11-09T05:23:42Z</dcterms:modified>
</cp:coreProperties>
</file>