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207645</wp:posOffset>
            </wp:positionH>
            <wp:positionV relativeFrom="page">
              <wp:posOffset>817245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775335</wp:posOffset>
            </wp:positionV>
            <wp:extent cx="71342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6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315" w:lineRule="exact"/>
        <w:rPr>
          <w:sz w:val="24"/>
          <w:szCs w:val="24"/>
          <w:color w:val="auto"/>
        </w:rPr>
      </w:pPr>
    </w:p>
    <w:p>
      <w:pPr>
        <w:ind w:left="700" w:hanging="676"/>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43" w:lineRule="exact"/>
        <w:rPr>
          <w:sz w:val="24"/>
          <w:szCs w:val="24"/>
          <w:color w:val="auto"/>
        </w:rPr>
      </w:pPr>
    </w:p>
    <w:p>
      <w:pPr>
        <w:ind w:left="700" w:hanging="642"/>
        <w:spacing w:after="0"/>
        <w:tabs>
          <w:tab w:leader="none" w:pos="70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001-37806</w:t>
      </w:r>
    </w:p>
    <w:p>
      <w:pPr>
        <w:spacing w:after="0" w:line="2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3241040</wp:posOffset>
            </wp:positionH>
            <wp:positionV relativeFrom="paragraph">
              <wp:posOffset>45720</wp:posOffset>
            </wp:positionV>
            <wp:extent cx="661035" cy="288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035" cy="2882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TWILIO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ectPr>
          <w:pgSz w:w="11900" w:h="16838" w:orient="portrait"/>
          <w:cols w:equalWidth="0" w:num="1">
            <w:col w:w="11240"/>
          </w:cols>
          <w:pgMar w:left="320" w:top="1425" w:right="339" w:bottom="0" w:gutter="0" w:footer="0" w:header="0"/>
        </w:sectPr>
      </w:pPr>
    </w:p>
    <w:p>
      <w:pPr>
        <w:spacing w:after="0" w:line="162"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26-2574840</w:t>
      </w:r>
    </w:p>
    <w:p>
      <w:pPr>
        <w:spacing w:after="0" w:line="38" w:lineRule="exact"/>
        <w:rPr>
          <w:sz w:val="24"/>
          <w:szCs w:val="24"/>
          <w:color w:val="auto"/>
        </w:rPr>
      </w:pPr>
    </w:p>
    <w:p>
      <w:pPr>
        <w:sectPr>
          <w:pgSz w:w="11900" w:h="16838" w:orient="portrait"/>
          <w:cols w:equalWidth="0" w:num="2">
            <w:col w:w="7400" w:space="720"/>
            <w:col w:w="3120"/>
          </w:cols>
          <w:pgMar w:left="320" w:top="1425" w:right="339" w:bottom="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740" w:space="720"/>
            <w:col w:w="3780"/>
          </w:cols>
          <w:pgMar w:left="320" w:top="1425" w:right="339" w:bottom="0" w:gutter="0" w:footer="0" w:header="0"/>
          <w:type w:val="continuous"/>
        </w:sectPr>
      </w:pP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101 Spear Street, Fifth Floor</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 Francisco, California 94105</w:t>
      </w: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(415) 390-2337</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30"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4" w:lineRule="exact"/>
        <w:rPr>
          <w:sz w:val="24"/>
          <w:szCs w:val="24"/>
          <w:color w:val="auto"/>
        </w:rPr>
      </w:pPr>
    </w:p>
    <w:tbl>
      <w:tblPr>
        <w:tblLayout w:type="fixed"/>
        <w:tblInd w:w="240" w:type="dxa"/>
        <w:tblCellMar>
          <w:top w:w="0" w:type="dxa"/>
          <w:left w:w="0" w:type="dxa"/>
          <w:bottom w:w="0" w:type="dxa"/>
          <w:right w:w="0" w:type="dxa"/>
        </w:tblCellMar>
      </w:tblPr>
      <w:tr>
        <w:trPr>
          <w:trHeight w:val="213"/>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5"/>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TWLO</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w:t>
      </w:r>
    </w:p>
    <w:p>
      <w:pPr>
        <w:spacing w:after="0" w:line="212" w:lineRule="exact"/>
        <w:rPr>
          <w:sz w:val="24"/>
          <w:szCs w:val="24"/>
          <w:color w:val="auto"/>
        </w:rPr>
      </w:pPr>
    </w:p>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11" w:lineRule="exact"/>
        <w:rPr>
          <w:sz w:val="24"/>
          <w:szCs w:val="24"/>
          <w:color w:val="auto"/>
        </w:rPr>
      </w:pPr>
    </w:p>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5" w:lineRule="exact"/>
        <w:rPr>
          <w:sz w:val="24"/>
          <w:szCs w:val="24"/>
          <w:color w:val="auto"/>
        </w:rPr>
      </w:pPr>
    </w:p>
    <w:p>
      <w:pPr>
        <w:ind w:right="100" w:firstLine="64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74" w:lineRule="exact"/>
        <w:rPr>
          <w:sz w:val="24"/>
          <w:szCs w:val="24"/>
          <w:color w:val="auto"/>
        </w:rPr>
      </w:pPr>
    </w:p>
    <w:p>
      <w:pPr>
        <w:ind w:right="80" w:firstLine="64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1" w:lineRule="exact"/>
        <w:rPr>
          <w:sz w:val="24"/>
          <w:szCs w:val="24"/>
          <w:color w:val="auto"/>
        </w:rPr>
      </w:pPr>
    </w:p>
    <w:p>
      <w:pPr>
        <w:ind w:right="160" w:firstLine="64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1880" w:type="dxa"/>
        <w:tblCellMar>
          <w:top w:w="0" w:type="dxa"/>
          <w:left w:w="0" w:type="dxa"/>
          <w:bottom w:w="0" w:type="dxa"/>
          <w:right w:w="0" w:type="dxa"/>
        </w:tblCellMar>
      </w:tblPr>
      <w:tr>
        <w:trPr>
          <w:trHeight w:val="200"/>
        </w:trPr>
        <w:tc>
          <w:tcPr>
            <w:tcW w:w="2220" w:type="dxa"/>
            <w:vAlign w:val="bottom"/>
          </w:tcPr>
          <w:p>
            <w:pPr>
              <w:jc w:val="center"/>
              <w:ind w:right="869"/>
              <w:spacing w:after="0"/>
              <w:rPr>
                <w:sz w:val="20"/>
                <w:szCs w:val="20"/>
                <w:color w:val="auto"/>
              </w:rPr>
            </w:pPr>
            <w:r>
              <w:rPr>
                <w:rFonts w:ascii="Times New Roman" w:cs="Times New Roman" w:eastAsia="Times New Roman" w:hAnsi="Times New Roman"/>
                <w:sz w:val="14"/>
                <w:szCs w:val="14"/>
                <w:color w:val="auto"/>
              </w:rPr>
              <w:t>Large accelerated filer</w:t>
            </w:r>
          </w:p>
        </w:tc>
        <w:tc>
          <w:tcPr>
            <w:tcW w:w="22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Accelerated filer</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0"/>
        </w:trPr>
        <w:tc>
          <w:tcPr>
            <w:tcW w:w="2220" w:type="dxa"/>
            <w:vAlign w:val="bottom"/>
          </w:tcPr>
          <w:p>
            <w:pPr>
              <w:jc w:val="center"/>
              <w:ind w:right="869"/>
              <w:spacing w:after="0"/>
              <w:rPr>
                <w:sz w:val="20"/>
                <w:szCs w:val="20"/>
                <w:color w:val="auto"/>
              </w:rPr>
            </w:pPr>
            <w:r>
              <w:rPr>
                <w:rFonts w:ascii="Times New Roman" w:cs="Times New Roman" w:eastAsia="Times New Roman" w:hAnsi="Times New Roman"/>
                <w:sz w:val="14"/>
                <w:szCs w:val="14"/>
                <w:color w:val="auto"/>
              </w:rPr>
              <w:t>Non-accelerated filer</w:t>
            </w:r>
          </w:p>
        </w:tc>
        <w:tc>
          <w:tcPr>
            <w:tcW w:w="22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2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Emerging growth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4" w:lineRule="exact"/>
        <w:rPr>
          <w:sz w:val="24"/>
          <w:szCs w:val="24"/>
          <w:color w:val="auto"/>
        </w:rPr>
      </w:pPr>
    </w:p>
    <w:p>
      <w:pPr>
        <w:ind w:right="60" w:firstLine="640"/>
        <w:spacing w:after="0" w:line="313"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4" w:lineRule="exact"/>
        <w:rPr>
          <w:sz w:val="24"/>
          <w:szCs w:val="24"/>
          <w:color w:val="auto"/>
        </w:rPr>
      </w:pPr>
    </w:p>
    <w:p>
      <w:pPr>
        <w:ind w:firstLine="64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4" w:lineRule="exact"/>
        <w:rPr>
          <w:sz w:val="24"/>
          <w:szCs w:val="24"/>
          <w:color w:val="auto"/>
        </w:rPr>
      </w:pPr>
    </w:p>
    <w:p>
      <w:pPr>
        <w:ind w:right="80" w:firstLine="640"/>
        <w:spacing w:after="0" w:line="313"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47" w:lineRule="exact"/>
        <w:rPr>
          <w:sz w:val="24"/>
          <w:szCs w:val="24"/>
          <w:color w:val="auto"/>
        </w:rPr>
      </w:pPr>
    </w:p>
    <w:p>
      <w:pPr>
        <w:ind w:right="340" w:firstLine="640"/>
        <w:spacing w:after="0" w:line="293"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56" w:lineRule="exact"/>
        <w:rPr>
          <w:sz w:val="24"/>
          <w:szCs w:val="24"/>
          <w:color w:val="auto"/>
        </w:rPr>
      </w:pPr>
    </w:p>
    <w:p>
      <w:pPr>
        <w:ind w:left="64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27" w:lineRule="exact"/>
        <w:rPr>
          <w:sz w:val="24"/>
          <w:szCs w:val="24"/>
          <w:color w:val="auto"/>
        </w:rPr>
      </w:pPr>
    </w:p>
    <w:p>
      <w:pPr>
        <w:ind w:right="220" w:firstLine="640"/>
        <w:spacing w:after="0" w:line="276" w:lineRule="auto"/>
        <w:rPr>
          <w:sz w:val="20"/>
          <w:szCs w:val="20"/>
          <w:color w:val="auto"/>
        </w:rPr>
      </w:pPr>
      <w:r>
        <w:rPr>
          <w:rFonts w:ascii="Times New Roman" w:cs="Times New Roman" w:eastAsia="Times New Roman" w:hAnsi="Times New Roman"/>
          <w:sz w:val="14"/>
          <w:szCs w:val="14"/>
          <w:color w:val="auto"/>
        </w:rPr>
        <w:t>The aggregate market value of stock held by non-affiliates as of June 30, 2024 (the last business day of the registrant's most recently completed second quarter) was $9.1 billion based upon $56.81 per share, the closing price of the registrant’s Class A common stock on that date on the New York Stock Exchange. Determination of stock ownership by non-affiliates was made solely for the purpose of responding to this requirement and the registrant is not bound by this determination for any other purpose.</w:t>
      </w:r>
    </w:p>
    <w:p>
      <w:pPr>
        <w:spacing w:after="0" w:line="218"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color w:val="auto"/>
        </w:rPr>
        <w:t>As of February 14, 2025, 152,633,605 shares of the registrant’s Class A common stock were outstanding.</w:t>
      </w:r>
    </w:p>
    <w:p>
      <w:pPr>
        <w:sectPr>
          <w:pgSz w:w="11900" w:h="16838" w:orient="portrait"/>
          <w:cols w:equalWidth="0" w:num="1">
            <w:col w:w="11240"/>
          </w:cols>
          <w:pgMar w:left="320" w:top="1425" w:right="339" w:bottom="0" w:gutter="0" w:footer="0" w:header="0"/>
          <w:type w:val="continuous"/>
        </w:sectPr>
      </w:pPr>
    </w:p>
    <w:bookmarkStart w:id="1" w:name="page2"/>
    <w:bookmarkEnd w:id="1"/>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1" w:lineRule="exact"/>
        <w:rPr>
          <w:sz w:val="20"/>
          <w:szCs w:val="20"/>
          <w:color w:val="auto"/>
        </w:rPr>
      </w:pPr>
    </w:p>
    <w:p>
      <w:pPr>
        <w:ind w:firstLine="640"/>
        <w:spacing w:after="0" w:line="293"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2025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112395</wp:posOffset>
            </wp:positionV>
            <wp:extent cx="69678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7855" cy="17145"/>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86995</wp:posOffset>
            </wp:positionV>
            <wp:extent cx="6967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115"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740" w:type="dxa"/>
            <w:vAlign w:val="bottom"/>
            <w:gridSpan w:val="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8"/>
              </w:rPr>
              <w:t>TWILIO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Annual Report on Form 10-K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3"/>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97"/>
        </w:trPr>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4"/>
              </w:rPr>
              <w:t>Item 1.</w:t>
            </w:r>
          </w:p>
        </w:tc>
        <w:tc>
          <w:tcPr>
            <w:tcW w:w="80" w:type="dxa"/>
            <w:vAlign w:val="bottom"/>
            <w:vMerge w:val="restart"/>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00" w:type="dxa"/>
            <w:vAlign w:val="bottom"/>
            <w:gridSpan w:val="7"/>
          </w:tcPr>
          <w:p>
            <w:pPr>
              <w:jc w:val="center"/>
              <w:ind w:right="4100"/>
              <w:spacing w:after="0"/>
              <w:rPr>
                <w:sz w:val="20"/>
                <w:szCs w:val="20"/>
                <w:color w:val="auto"/>
              </w:rPr>
            </w:pPr>
            <w:r>
              <w:rPr>
                <w:rFonts w:ascii="Times New Roman" w:cs="Times New Roman" w:eastAsia="Times New Roman" w:hAnsi="Times New Roman"/>
                <w:sz w:val="17"/>
                <w:szCs w:val="17"/>
                <w:b w:val="1"/>
                <w:bCs w:val="1"/>
                <w:color w:val="2C2C2C"/>
                <w:w w:val="97"/>
              </w:rPr>
              <w:t>PART I</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960" w:type="dxa"/>
            <w:vAlign w:val="bottom"/>
            <w:gridSpan w:val="22"/>
          </w:tcPr>
          <w:p>
            <w:pPr>
              <w:ind w:left="380"/>
              <w:spacing w:after="0" w:line="190" w:lineRule="exact"/>
              <w:rPr>
                <w:sz w:val="20"/>
                <w:szCs w:val="20"/>
                <w:color w:val="auto"/>
              </w:rPr>
            </w:pPr>
            <w:r>
              <w:rPr>
                <w:rFonts w:ascii="Times New Roman" w:cs="Times New Roman" w:eastAsia="Times New Roman" w:hAnsi="Times New Roman"/>
                <w:sz w:val="17"/>
                <w:szCs w:val="17"/>
                <w:color w:val="0000FF"/>
              </w:rPr>
              <w:t>Business</w:t>
            </w:r>
          </w:p>
        </w:tc>
        <w:tc>
          <w:tcPr>
            <w:tcW w:w="10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7"/>
                <w:szCs w:val="17"/>
                <w:color w:val="0000FF"/>
                <w:w w:val="70"/>
              </w:rPr>
              <w:t>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8"/>
              </w:rPr>
              <w:t>Item 1A.</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Risk Factors</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11</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9"/>
              </w:rPr>
              <w:t>Item 1B.</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44</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8"/>
              </w:rPr>
              <w:t>Item 1C.</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Cybersecurity</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44</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2.</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Properties</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46</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3.</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Legal Proceedings</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46</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4"/>
              </w:rPr>
              <w:t>Item 4.</w:t>
            </w:r>
          </w:p>
        </w:tc>
        <w:tc>
          <w:tcPr>
            <w:tcW w:w="8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0000FF"/>
            </w:tcBorders>
            <w:gridSpan w:val="3"/>
            <w:shd w:val="clear" w:color="auto" w:fill="0000FF"/>
          </w:tcPr>
          <w:p>
            <w:pPr>
              <w:spacing w:after="0" w:line="20" w:lineRule="exact"/>
              <w:rPr>
                <w:sz w:val="1"/>
                <w:szCs w:val="1"/>
                <w:color w:val="auto"/>
              </w:rPr>
            </w:pPr>
          </w:p>
        </w:tc>
        <w:tc>
          <w:tcPr>
            <w:tcW w:w="500" w:type="dxa"/>
            <w:vAlign w:val="bottom"/>
            <w:tcBorders>
              <w:top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960" w:type="dxa"/>
            <w:vAlign w:val="bottom"/>
            <w:gridSpan w:val="22"/>
          </w:tcPr>
          <w:p>
            <w:pPr>
              <w:ind w:left="380"/>
              <w:spacing w:after="0" w:line="187" w:lineRule="exact"/>
              <w:rPr>
                <w:sz w:val="20"/>
                <w:szCs w:val="20"/>
                <w:color w:val="auto"/>
              </w:rPr>
            </w:pPr>
            <w:r>
              <w:rPr>
                <w:rFonts w:ascii="Times New Roman" w:cs="Times New Roman" w:eastAsia="Times New Roman" w:hAnsi="Times New Roman"/>
                <w:sz w:val="17"/>
                <w:szCs w:val="17"/>
                <w:color w:val="0000FF"/>
              </w:rPr>
              <w:t>Mine Safety Disclosures</w:t>
            </w:r>
          </w:p>
        </w:tc>
        <w:tc>
          <w:tcPr>
            <w:tcW w:w="200" w:type="dxa"/>
            <w:vAlign w:val="bottom"/>
            <w:gridSpan w:val="4"/>
          </w:tcPr>
          <w:p>
            <w:pPr>
              <w:ind w:left="20"/>
              <w:spacing w:after="0" w:line="187" w:lineRule="exact"/>
              <w:rPr>
                <w:sz w:val="20"/>
                <w:szCs w:val="20"/>
                <w:color w:val="auto"/>
              </w:rPr>
            </w:pPr>
            <w:r>
              <w:rPr>
                <w:rFonts w:ascii="Times New Roman" w:cs="Times New Roman" w:eastAsia="Times New Roman" w:hAnsi="Times New Roman"/>
                <w:sz w:val="17"/>
                <w:szCs w:val="17"/>
                <w:color w:val="0000FF"/>
                <w:w w:val="93"/>
              </w:rPr>
              <w:t>47</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gridSpan w:val="7"/>
          </w:tcPr>
          <w:p>
            <w:pPr>
              <w:jc w:val="center"/>
              <w:ind w:right="4080"/>
              <w:spacing w:after="0"/>
              <w:rPr>
                <w:sz w:val="20"/>
                <w:szCs w:val="20"/>
                <w:color w:val="auto"/>
              </w:rPr>
            </w:pPr>
            <w:r>
              <w:rPr>
                <w:rFonts w:ascii="Times New Roman" w:cs="Times New Roman" w:eastAsia="Times New Roman" w:hAnsi="Times New Roman"/>
                <w:sz w:val="17"/>
                <w:szCs w:val="17"/>
                <w:b w:val="1"/>
                <w:bCs w:val="1"/>
                <w:color w:val="auto"/>
                <w:w w:val="97"/>
              </w:rPr>
              <w:t>PART II</w:t>
            </w:r>
          </w:p>
        </w:tc>
        <w:tc>
          <w:tcPr>
            <w:tcW w:w="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sz w:val="20"/>
                <w:szCs w:val="20"/>
                <w:color w:val="auto"/>
              </w:rPr>
            </w:pPr>
            <w:r>
              <w:rPr>
                <w:rFonts w:ascii="Times New Roman" w:cs="Times New Roman" w:eastAsia="Times New Roman" w:hAnsi="Times New Roman"/>
                <w:sz w:val="17"/>
                <w:szCs w:val="17"/>
                <w:b w:val="1"/>
                <w:bCs w:val="1"/>
                <w:color w:val="0000FF"/>
                <w:w w:val="94"/>
              </w:rPr>
              <w:t>Item 5.</w:t>
            </w:r>
          </w:p>
        </w:tc>
        <w:tc>
          <w:tcPr>
            <w:tcW w:w="80" w:type="dxa"/>
            <w:vAlign w:val="bottom"/>
          </w:tcPr>
          <w:p>
            <w:pPr>
              <w:spacing w:after="0"/>
              <w:rPr>
                <w:sz w:val="16"/>
                <w:szCs w:val="16"/>
                <w:color w:val="auto"/>
              </w:rPr>
            </w:pPr>
          </w:p>
        </w:tc>
        <w:tc>
          <w:tcPr>
            <w:tcW w:w="9960" w:type="dxa"/>
            <w:vAlign w:val="bottom"/>
            <w:gridSpan w:val="22"/>
          </w:tcPr>
          <w:p>
            <w:pPr>
              <w:ind w:left="380"/>
              <w:spacing w:after="0" w:line="190"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200" w:type="dxa"/>
            <w:vAlign w:val="bottom"/>
            <w:gridSpan w:val="4"/>
          </w:tcPr>
          <w:p>
            <w:pPr>
              <w:ind w:left="20"/>
              <w:spacing w:after="0" w:line="190" w:lineRule="exact"/>
              <w:rPr>
                <w:sz w:val="20"/>
                <w:szCs w:val="20"/>
                <w:color w:val="auto"/>
              </w:rPr>
            </w:pPr>
            <w:r>
              <w:rPr>
                <w:rFonts w:ascii="Times New Roman" w:cs="Times New Roman" w:eastAsia="Times New Roman" w:hAnsi="Times New Roman"/>
                <w:sz w:val="17"/>
                <w:szCs w:val="17"/>
                <w:color w:val="0000FF"/>
                <w:w w:val="93"/>
              </w:rPr>
              <w:t>47</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6.</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[Reserved]</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48</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7.</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49</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bottom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bottom w:val="single" w:sz="8" w:color="0000FF"/>
            </w:tcBorders>
            <w:gridSpan w:val="2"/>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7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9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b w:val="1"/>
                <w:bCs w:val="1"/>
                <w:color w:val="0000FF"/>
                <w:w w:val="88"/>
              </w:rPr>
              <w:t>Item 7A.</w:t>
            </w:r>
          </w:p>
        </w:tc>
        <w:tc>
          <w:tcPr>
            <w:tcW w:w="9960" w:type="dxa"/>
            <w:vAlign w:val="bottom"/>
            <w:gridSpan w:val="22"/>
          </w:tcPr>
          <w:p>
            <w:pPr>
              <w:ind w:left="380"/>
              <w:spacing w:after="0" w:line="187"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0" w:type="dxa"/>
            <w:vAlign w:val="bottom"/>
            <w:gridSpan w:val="4"/>
          </w:tcPr>
          <w:p>
            <w:pPr>
              <w:ind w:left="20"/>
              <w:spacing w:after="0" w:line="187" w:lineRule="exact"/>
              <w:rPr>
                <w:sz w:val="20"/>
                <w:szCs w:val="20"/>
                <w:color w:val="auto"/>
              </w:rPr>
            </w:pPr>
            <w:r>
              <w:rPr>
                <w:rFonts w:ascii="Times New Roman" w:cs="Times New Roman" w:eastAsia="Times New Roman" w:hAnsi="Times New Roman"/>
                <w:sz w:val="17"/>
                <w:szCs w:val="17"/>
                <w:color w:val="0000FF"/>
                <w:w w:val="93"/>
              </w:rPr>
              <w:t>66</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8.</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67</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4"/>
              </w:rPr>
              <w:t>Item 9.</w:t>
            </w:r>
          </w:p>
        </w:tc>
        <w:tc>
          <w:tcPr>
            <w:tcW w:w="80" w:type="dxa"/>
            <w:vAlign w:val="bottom"/>
          </w:tcPr>
          <w:p>
            <w:pPr>
              <w:spacing w:after="0"/>
              <w:rPr>
                <w:sz w:val="17"/>
                <w:szCs w:val="17"/>
                <w:color w:val="auto"/>
              </w:rPr>
            </w:pP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6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109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8"/>
              </w:rPr>
              <w:t>Item 9A.</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109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9"/>
              </w:rPr>
              <w:t>Item 9B.</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Other Information</w:t>
            </w: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78"/>
              </w:rPr>
              <w:t>110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88"/>
              </w:rPr>
              <w:t>Item 9C.</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78"/>
              </w:rPr>
              <w:t>110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gridSpan w:val="7"/>
          </w:tcPr>
          <w:p>
            <w:pPr>
              <w:jc w:val="center"/>
              <w:ind w:right="4100"/>
              <w:spacing w:after="0"/>
              <w:rPr>
                <w:sz w:val="20"/>
                <w:szCs w:val="20"/>
                <w:color w:val="auto"/>
              </w:rPr>
            </w:pPr>
            <w:r>
              <w:rPr>
                <w:rFonts w:ascii="Times New Roman" w:cs="Times New Roman" w:eastAsia="Times New Roman" w:hAnsi="Times New Roman"/>
                <w:sz w:val="17"/>
                <w:szCs w:val="17"/>
                <w:b w:val="1"/>
                <w:bCs w:val="1"/>
                <w:color w:val="auto"/>
                <w:w w:val="96"/>
              </w:rPr>
              <w:t>PART III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b w:val="1"/>
                <w:bCs w:val="1"/>
                <w:color w:val="0000FF"/>
                <w:w w:val="94"/>
              </w:rPr>
              <w:t>Item 10.</w:t>
            </w:r>
          </w:p>
        </w:tc>
        <w:tc>
          <w:tcPr>
            <w:tcW w:w="9960" w:type="dxa"/>
            <w:vAlign w:val="bottom"/>
            <w:gridSpan w:val="22"/>
          </w:tcPr>
          <w:p>
            <w:pPr>
              <w:ind w:left="380"/>
              <w:spacing w:after="0" w:line="190"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260" w:type="dxa"/>
            <w:vAlign w:val="bottom"/>
            <w:gridSpan w:val="5"/>
          </w:tcPr>
          <w:p>
            <w:pPr>
              <w:ind w:left="20"/>
              <w:spacing w:after="0" w:line="190" w:lineRule="exact"/>
              <w:rPr>
                <w:sz w:val="20"/>
                <w:szCs w:val="20"/>
                <w:color w:val="auto"/>
              </w:rPr>
            </w:pPr>
            <w:r>
              <w:rPr>
                <w:rFonts w:ascii="Times New Roman" w:cs="Times New Roman" w:eastAsia="Times New Roman" w:hAnsi="Times New Roman"/>
                <w:sz w:val="17"/>
                <w:szCs w:val="17"/>
                <w:color w:val="0000FF"/>
                <w:w w:val="78"/>
              </w:rPr>
              <w:t>110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94"/>
              </w:rPr>
              <w:t>Item 11.</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Executive Compensation</w:t>
            </w: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78"/>
              </w:rPr>
              <w:t>110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94"/>
              </w:rPr>
              <w:t>Item 12.</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78"/>
              </w:rPr>
              <w:t>110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94"/>
              </w:rPr>
              <w:t>Item 13.</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78"/>
              </w:rPr>
              <w:t>110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94"/>
              </w:rPr>
              <w:t>Item 14.</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78"/>
              </w:rPr>
              <w:t>110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gridSpan w:val="7"/>
          </w:tcPr>
          <w:p>
            <w:pPr>
              <w:jc w:val="center"/>
              <w:ind w:right="4100"/>
              <w:spacing w:after="0"/>
              <w:rPr>
                <w:sz w:val="20"/>
                <w:szCs w:val="20"/>
                <w:color w:val="auto"/>
              </w:rPr>
            </w:pPr>
            <w:r>
              <w:rPr>
                <w:rFonts w:ascii="Times New Roman" w:cs="Times New Roman" w:eastAsia="Times New Roman" w:hAnsi="Times New Roman"/>
                <w:sz w:val="17"/>
                <w:szCs w:val="17"/>
                <w:b w:val="1"/>
                <w:bCs w:val="1"/>
                <w:color w:val="auto"/>
                <w:w w:val="97"/>
              </w:rPr>
              <w:t>PART IV</w:t>
            </w:r>
          </w:p>
        </w:tc>
        <w:tc>
          <w:tcPr>
            <w:tcW w:w="2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b w:val="1"/>
                <w:bCs w:val="1"/>
                <w:color w:val="0000FF"/>
                <w:w w:val="94"/>
              </w:rPr>
              <w:t>Item 15.</w:t>
            </w:r>
          </w:p>
        </w:tc>
        <w:tc>
          <w:tcPr>
            <w:tcW w:w="9960" w:type="dxa"/>
            <w:vAlign w:val="bottom"/>
            <w:gridSpan w:val="22"/>
          </w:tcPr>
          <w:p>
            <w:pPr>
              <w:ind w:left="380"/>
              <w:spacing w:after="0" w:line="190" w:lineRule="exact"/>
              <w:rPr>
                <w:sz w:val="20"/>
                <w:szCs w:val="20"/>
                <w:color w:val="auto"/>
              </w:rPr>
            </w:pPr>
            <w:r>
              <w:rPr>
                <w:rFonts w:ascii="Times New Roman" w:cs="Times New Roman" w:eastAsia="Times New Roman" w:hAnsi="Times New Roman"/>
                <w:sz w:val="17"/>
                <w:szCs w:val="17"/>
                <w:color w:val="0000FF"/>
              </w:rPr>
              <w:t>Exhibit and Financial Statement Schedules</w:t>
            </w:r>
          </w:p>
        </w:tc>
        <w:tc>
          <w:tcPr>
            <w:tcW w:w="260" w:type="dxa"/>
            <w:vAlign w:val="bottom"/>
            <w:gridSpan w:val="5"/>
          </w:tcPr>
          <w:p>
            <w:pPr>
              <w:ind w:left="20"/>
              <w:spacing w:after="0" w:line="190" w:lineRule="exact"/>
              <w:rPr>
                <w:sz w:val="20"/>
                <w:szCs w:val="20"/>
                <w:color w:val="auto"/>
              </w:rPr>
            </w:pPr>
            <w:r>
              <w:rPr>
                <w:rFonts w:ascii="Times New Roman" w:cs="Times New Roman" w:eastAsia="Times New Roman" w:hAnsi="Times New Roman"/>
                <w:sz w:val="17"/>
                <w:szCs w:val="17"/>
                <w:color w:val="0000FF"/>
                <w:w w:val="78"/>
              </w:rPr>
              <w:t>111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w w:val="94"/>
              </w:rPr>
              <w:t>Item 16.</w:t>
            </w:r>
          </w:p>
        </w:tc>
        <w:tc>
          <w:tcPr>
            <w:tcW w:w="9960" w:type="dxa"/>
            <w:vAlign w:val="bottom"/>
            <w:gridSpan w:val="22"/>
          </w:tcPr>
          <w:p>
            <w:pPr>
              <w:ind w:left="380"/>
              <w:spacing w:after="0"/>
              <w:rPr>
                <w:sz w:val="20"/>
                <w:szCs w:val="20"/>
                <w:color w:val="auto"/>
              </w:rPr>
            </w:pPr>
            <w:r>
              <w:rPr>
                <w:rFonts w:ascii="Times New Roman" w:cs="Times New Roman" w:eastAsia="Times New Roman" w:hAnsi="Times New Roman"/>
                <w:sz w:val="17"/>
                <w:szCs w:val="17"/>
                <w:color w:val="0000FF"/>
              </w:rPr>
              <w:t>Form 10-K Summary</w:t>
            </w: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78"/>
              </w:rPr>
              <w:t>113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40" w:top="87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4"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87" w:lineRule="exact"/>
        <w:rPr>
          <w:sz w:val="20"/>
          <w:szCs w:val="20"/>
          <w:color w:val="auto"/>
        </w:rPr>
      </w:pPr>
    </w:p>
    <w:p>
      <w:pPr>
        <w:ind w:left="960" w:right="60" w:hanging="313"/>
        <w:spacing w:after="0" w:line="25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expectations regarding our revenue, revenue growth, cost of revenue, gross profit, gross margin and operating expenses, our ability to generate positive cash flow and ability to achieve and sustain profitability on GAAP and non-GAAP bases, the factors affecting our results of operations, the timing of future expenses, the end dates for certain types of expenses, and the assumptions underlying such expectations;</w:t>
      </w:r>
    </w:p>
    <w:p>
      <w:pPr>
        <w:spacing w:after="0" w:line="180"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realignment of our business unit structure, including its expected costs and benefits and the related accounting determinations;</w:t>
      </w:r>
    </w:p>
    <w:p>
      <w:pPr>
        <w:spacing w:after="0" w:line="219" w:lineRule="exact"/>
        <w:rPr>
          <w:rFonts w:ascii="Times New Roman" w:cs="Times New Roman" w:eastAsia="Times New Roman" w:hAnsi="Times New Roman"/>
          <w:sz w:val="18"/>
          <w:szCs w:val="18"/>
          <w:color w:val="auto"/>
        </w:rPr>
      </w:pPr>
    </w:p>
    <w:p>
      <w:pPr>
        <w:ind w:left="960" w:right="140" w:hanging="313"/>
        <w:spacing w:after="0" w:line="27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vision for our platform, including delivering new product releases and enhancements, reducing friction across our platform and streamlining cross-channel orchestration;</w:t>
      </w:r>
    </w:p>
    <w:p>
      <w:pPr>
        <w:spacing w:after="0" w:line="162" w:lineRule="exact"/>
        <w:rPr>
          <w:rFonts w:ascii="Times New Roman" w:cs="Times New Roman" w:eastAsia="Times New Roman" w:hAnsi="Times New Roman"/>
          <w:sz w:val="18"/>
          <w:szCs w:val="18"/>
          <w:color w:val="auto"/>
        </w:rPr>
      </w:pPr>
    </w:p>
    <w:p>
      <w:pPr>
        <w:ind w:left="960" w:right="60" w:hanging="313"/>
        <w:spacing w:after="0" w:line="27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deliver an interoperable platform that allows businesses to harness the power of customer data and consumer insights to improve customer engagement;</w:t>
      </w:r>
    </w:p>
    <w:p>
      <w:pPr>
        <w:spacing w:after="0" w:line="162" w:lineRule="exact"/>
        <w:rPr>
          <w:rFonts w:ascii="Times New Roman" w:cs="Times New Roman" w:eastAsia="Times New Roman" w:hAnsi="Times New Roman"/>
          <w:sz w:val="18"/>
          <w:szCs w:val="18"/>
          <w:color w:val="auto"/>
        </w:rPr>
      </w:pPr>
    </w:p>
    <w:p>
      <w:pPr>
        <w:ind w:left="960" w:right="320" w:hanging="313"/>
        <w:spacing w:after="0" w:line="27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artificial intelligence and machine learning, including to develop products and features for our customers and internal applications for our own operational efficiency;</w:t>
      </w:r>
    </w:p>
    <w:p>
      <w:pPr>
        <w:spacing w:after="0" w:line="162" w:lineRule="exact"/>
        <w:rPr>
          <w:rFonts w:ascii="Times New Roman" w:cs="Times New Roman" w:eastAsia="Times New Roman" w:hAnsi="Times New Roman"/>
          <w:sz w:val="18"/>
          <w:szCs w:val="18"/>
          <w:color w:val="auto"/>
        </w:rPr>
      </w:pPr>
    </w:p>
    <w:p>
      <w:pPr>
        <w:ind w:left="960" w:right="80" w:hanging="313"/>
        <w:spacing w:after="0" w:line="262"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revenue growth, improve profitability and increase our market share, including by forming and expanding partnerships with independent software vendors and other partners, improving our self-service capabilities, cross-selling our products and expanding internationally;</w:t>
      </w:r>
    </w:p>
    <w:p>
      <w:pPr>
        <w:spacing w:after="0" w:line="17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simplify and modernize our business processes and improve our overall operating efficiency;</w:t>
      </w:r>
    </w:p>
    <w:p>
      <w:pPr>
        <w:spacing w:after="0" w:line="219" w:lineRule="exact"/>
        <w:rPr>
          <w:rFonts w:ascii="Times New Roman" w:cs="Times New Roman" w:eastAsia="Times New Roman" w:hAnsi="Times New Roman"/>
          <w:sz w:val="18"/>
          <w:szCs w:val="18"/>
          <w:color w:val="auto"/>
        </w:rPr>
      </w:pPr>
    </w:p>
    <w:p>
      <w:pPr>
        <w:jc w:val="both"/>
        <w:ind w:left="960" w:right="160" w:hanging="313"/>
        <w:spacing w:after="0" w:line="262"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an intensely competitive market, including our ability to set optimal prices for our products and adapt and respond effectively to rising costs, competing offerings, rapidly changing technology and technology trends, and evolving customer needs and preferences;</w:t>
      </w:r>
    </w:p>
    <w:p>
      <w:pPr>
        <w:spacing w:after="0" w:line="17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investments in sales and marketing, research and development and additional systems and processes to support our growth;</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reliable service levels for our customers;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modified or new industry standards, laws and regulations applying to our business;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changes in network service provider fees that we pay in connection with the delivery of communications on our platform;</w:t>
      </w:r>
    </w:p>
    <w:p>
      <w:pPr>
        <w:spacing w:after="0" w:line="231" w:lineRule="exact"/>
        <w:rPr>
          <w:rFonts w:ascii="Times New Roman" w:cs="Times New Roman" w:eastAsia="Times New Roman" w:hAnsi="Times New Roman"/>
          <w:sz w:val="17"/>
          <w:szCs w:val="17"/>
          <w:color w:val="auto"/>
        </w:rPr>
      </w:pPr>
    </w:p>
    <w:p>
      <w:pPr>
        <w:ind w:left="960" w:right="40" w:hanging="313"/>
        <w:spacing w:after="0" w:line="27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costs required to prevent, detect and remediate potential cybersecurity threats, incidents and breaches of ours or our customers’ systems or information;</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our network service provider coverage and connectivity;</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closely with email inbox service providers to maintain deliverability rates;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expected results from changes in our relationships with our larger customers;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conditions and uncertainties on our business, customers and partners;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share repurchases;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results of our foreign currency hedging activities;</w:t>
      </w:r>
    </w:p>
    <w:p>
      <w:pPr>
        <w:spacing w:after="0" w:line="219" w:lineRule="exact"/>
        <w:rPr>
          <w:rFonts w:ascii="Times New Roman" w:cs="Times New Roman" w:eastAsia="Times New Roman" w:hAnsi="Times New Roman"/>
          <w:sz w:val="18"/>
          <w:szCs w:val="18"/>
          <w:color w:val="auto"/>
        </w:rPr>
      </w:pPr>
    </w:p>
    <w:p>
      <w:pPr>
        <w:ind w:left="960" w:right="140" w:hanging="313"/>
        <w:spacing w:after="0" w:line="27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the interest on our 3.625% senior notes due 2029 (“2029 Notes”) and on our 3.875% notes due 2031 (“2031 Notes,” and together with the 2029 Notes, the “Notes”), and repay such Notes;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other platform users’ violation of our policies or other misuse of our platform; and</w:t>
      </w:r>
    </w:p>
    <w:p>
      <w:pPr>
        <w:spacing w:after="0" w:line="219" w:lineRule="exact"/>
        <w:rPr>
          <w:rFonts w:ascii="Times New Roman" w:cs="Times New Roman" w:eastAsia="Times New Roman" w:hAnsi="Times New Roman"/>
          <w:sz w:val="18"/>
          <w:szCs w:val="18"/>
          <w:color w:val="auto"/>
        </w:rPr>
      </w:pPr>
    </w:p>
    <w:p>
      <w:pPr>
        <w:ind w:left="960" w:right="460" w:hanging="313"/>
        <w:spacing w:after="0" w:line="27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realize the benefits of our past or future strategic acquisitions, divestitures or investments.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w:t>
      </w:r>
    </w:p>
    <w:p>
      <w:pPr>
        <w:spacing w:after="0" w:line="220"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 Item 1A,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0"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8"/>
          <w:szCs w:val="18"/>
          <w:color w:val="auto"/>
        </w:rPr>
        <w:t>We envision a world in which every digital interaction between businesses and their customers is amazing. By combining our leading communications capabilities, plus rich contextual data, plus generative and predictive artificial intelligence (“AI”), we enable businesses of all sizes to revolutionize how they engage with their customers by delivering seamless, trusted, and personalized customer experiences at scale. We offer communications application programming interfaces (“APIs”) that enable developers to embed numerous forms of messaging, voice, email, and video interactions into their customer-facing applications, as well as software products that target specific engagement needs, including our customer data platform, digital engagement centers, marketing campaigns, and user authentication and identity solutions. This combination of flexible APIs and software solutions helps businesses of all sizes and across numerous industries to benefit from smarter and more streamlined engagement at every step of the customer journey, including reduced customer acquisition costs, lasting loyalty, and increased customer value. Our platform, which combines our highly customizable communications APIs with customer data management capabilities and AI-powered predictions and recommendations, allows businesses to break down data silos and build a comprehensive single source for their customer data that is organized into unique profiles that are easily accessible by all their business teams. Empowered with this information and the insights it enables, businesses using our platform can provide robust, personalized, and effective communications to their customers at every stage of their customer relationships at scale. The value proposition of our offerings has become stronger and our products have become more strategic to our customers as businesses are increasingly prioritizing building more personalized and differentiated customer engagement experiences through digital channels.</w:t>
      </w:r>
    </w:p>
    <w:p>
      <w:pPr>
        <w:spacing w:after="0" w:line="223" w:lineRule="exact"/>
        <w:rPr>
          <w:sz w:val="20"/>
          <w:szCs w:val="20"/>
          <w:color w:val="auto"/>
        </w:rPr>
      </w:pPr>
    </w:p>
    <w:p>
      <w:pPr>
        <w:ind w:right="40" w:firstLine="480"/>
        <w:spacing w:after="0" w:line="258" w:lineRule="auto"/>
        <w:rPr>
          <w:sz w:val="20"/>
          <w:szCs w:val="20"/>
          <w:color w:val="auto"/>
        </w:rPr>
      </w:pPr>
      <w:r>
        <w:rPr>
          <w:rFonts w:ascii="Times New Roman" w:cs="Times New Roman" w:eastAsia="Times New Roman" w:hAnsi="Times New Roman"/>
          <w:sz w:val="17"/>
          <w:szCs w:val="17"/>
          <w:color w:val="auto"/>
        </w:rPr>
        <w:t>On January 1, 2025, we realigned our business unit structure into a functional support model under one organization. We believe that operating as one organization best positions us as we seek to deliver one trusted, smart and integrated platform that enables more personalized communications and engagements for customers. Despite realigning our organizational structure, we continue to have two reportable segments. Our Communications reportable segment consists of a variety of APIs and software solutions to optimize communications between our customers and their end users. Our key offerings in our Communications reportable segment include Messaging, Voice, Email (which includes Marketing Campaigns), Flex, and User Authentication and Identity. Our Segment reportable segment consists of software products that enable businesses to leverage their contextual data to create unique customer profiles and achieve more effective customer engagement. Our key offering in our Segment reportable segment is our Segment product.</w:t>
      </w:r>
    </w:p>
    <w:p>
      <w:pPr>
        <w:spacing w:after="0" w:line="18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8"/>
          <w:szCs w:val="18"/>
          <w:color w:val="auto"/>
        </w:rPr>
        <w:t>We have experienced substantial growth in our business since inception, and as of December 31, 2024, we had over 325,000 Active Customer Accounts representing organizations from small and medium-sized businesses to large enterprises across a broad range of industries. Our growth has predominantly been organic as a result of new customer acquisition, as well as customers increasing their usage of our products, extending their usage of our products to new applications, or adopting new products that we offer. We have also fueled our growth through strategic acquisitions and integrations of businesses that complemented our pre-existing products and allowed us to expand our platform and to add new customer accounts.</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4" w:lineRule="exact"/>
        <w:rPr>
          <w:sz w:val="20"/>
          <w:szCs w:val="20"/>
          <w:color w:val="auto"/>
        </w:rPr>
      </w:pPr>
    </w:p>
    <w:p>
      <w:pPr>
        <w:ind w:right="60" w:firstLine="480"/>
        <w:spacing w:after="0" w:line="236" w:lineRule="auto"/>
        <w:rPr>
          <w:sz w:val="20"/>
          <w:szCs w:val="20"/>
          <w:color w:val="auto"/>
        </w:rPr>
      </w:pPr>
      <w:r>
        <w:rPr>
          <w:rFonts w:ascii="Times New Roman" w:cs="Times New Roman" w:eastAsia="Times New Roman" w:hAnsi="Times New Roman"/>
          <w:sz w:val="18"/>
          <w:szCs w:val="18"/>
          <w:color w:val="auto"/>
        </w:rPr>
        <w:t>We aim to deliver the leading customer engagement platform that intelligently orchestrates customer engagement across the entire customer life cycle by combining our communications capabilities with rich contextual data and AI. Our trusted, simple, and smart platform provides developers with tools to build, scale, and deploy real-time communications within software applications, while simultaneously offering technology that allows businesses to harness the power of contextual data to develop more informed insights about their customers. The data that our platform securely collects, supported by our AI-powered predictions and recommendations, can inform interactions across the customer journey to achieve more personalized, timely, and impactful customer engagement. This in turn empowers businesses to build more productive and personalized one-to-one relationships, at scale, through both easy-to-use APIs and extensible software products. Trust in our platform is a top priority as we continue to innovate, and we prioritize trust through investments in system availability and security.</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80" w:firstLine="480"/>
        <w:spacing w:after="0" w:line="242" w:lineRule="auto"/>
        <w:rPr>
          <w:sz w:val="20"/>
          <w:szCs w:val="20"/>
          <w:color w:val="auto"/>
        </w:rPr>
      </w:pPr>
      <w:r>
        <w:rPr>
          <w:rFonts w:ascii="Times New Roman" w:cs="Times New Roman" w:eastAsia="Times New Roman" w:hAnsi="Times New Roman"/>
          <w:sz w:val="18"/>
          <w:szCs w:val="18"/>
          <w:color w:val="auto"/>
        </w:rPr>
        <w:t>We offer highly customizable APIs and products to build rich contextual communications within applications, allowing developers to build orchestrated engagements with customers worldwide. We also offer solutions for user authentication and identity, and advanced compliance and regulatory management software to support success within a changing ecosystem of regulations. Additionally, our customer data platform enables businesses to collect, contextualize, and leverage first-party and real-time customer data to create highly personalized experiences and campaigns across multiple channels. It also allows businesses to break down data silos across their organizations and to leverage a single unified source of customer data for their various business teams. Our products can be used individually or in combination to enable more personalized, timely, and impactful communications and engagements across the customer journey.</w:t>
      </w:r>
    </w:p>
    <w:p>
      <w:pPr>
        <w:spacing w:after="0" w:line="180"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Our platform is connected to our Super Network (“Super Network”), a software layer that enables our customers’ applications to communicate with devices globally. The Super Network interconnects communications networks and inbox services providers around the world and continually analyzes billions of data points to optimize the quality and cost of communications that flow through our platform. The Super Network also contains a set of APIs that gives our customers access to additional foundational components offered through our platform, such as phone numbers and session initiation protocol trunking.</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key products include:</w:t>
      </w:r>
    </w:p>
    <w:p>
      <w:pPr>
        <w:spacing w:after="0" w:line="216" w:lineRule="exact"/>
        <w:rPr>
          <w:sz w:val="20"/>
          <w:szCs w:val="20"/>
          <w:color w:val="auto"/>
        </w:rPr>
      </w:pPr>
    </w:p>
    <w:p>
      <w:pPr>
        <w:ind w:left="960" w:right="80" w:hanging="313"/>
        <w:spacing w:after="0" w:line="256"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Messaging. </w:t>
      </w:r>
      <w:r>
        <w:rPr>
          <w:rFonts w:ascii="Times New Roman" w:cs="Times New Roman" w:eastAsia="Times New Roman" w:hAnsi="Times New Roman"/>
          <w:sz w:val="18"/>
          <w:szCs w:val="18"/>
          <w:color w:val="auto"/>
        </w:rPr>
        <w:t>Twilio Programmable Messaging and Conversations (“Messaging”) are APIs to send and receive SMS, MMS, RCS, and over-the-top (e.g., WhatsApp and Facebook Messenger) messages globally over a variety of sender types. Messaging uses intelligent sending features to ensure messages reliably reach end users wherever they are. Our customers use these APIs to address numerous use cases, including account notifications, marketing, mass alerts, and order confirmations, as well as multi-party and conversational use cases, such as conversational marketing, sales support, and customer care.</w:t>
      </w:r>
    </w:p>
    <w:p>
      <w:pPr>
        <w:spacing w:after="0" w:line="176" w:lineRule="exact"/>
        <w:rPr>
          <w:rFonts w:ascii="Times New Roman" w:cs="Times New Roman" w:eastAsia="Times New Roman" w:hAnsi="Times New Roman"/>
          <w:sz w:val="18"/>
          <w:szCs w:val="18"/>
          <w:color w:val="auto"/>
        </w:rPr>
      </w:pPr>
    </w:p>
    <w:p>
      <w:pPr>
        <w:ind w:left="960" w:right="60" w:hanging="313"/>
        <w:spacing w:after="0" w:line="256"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Voice. </w:t>
      </w:r>
      <w:r>
        <w:rPr>
          <w:rFonts w:ascii="Times New Roman" w:cs="Times New Roman" w:eastAsia="Times New Roman" w:hAnsi="Times New Roman"/>
          <w:sz w:val="18"/>
          <w:szCs w:val="18"/>
          <w:color w:val="auto"/>
        </w:rPr>
        <w:t>Twilio Programmable Voice (“Voice”) is an API that allows developers to build solutions to make, manage, and receive phone calls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globally through a browser, application, phone, or other methods. Our voice software, which works over both the traditional public switched telephone network and over Internet Protocol (“VoIP”), allows developers to incorporate advanced voice functionality such as integrations with AI-based virtual agents, text-to-speech, global conferencing, emergency calling, call recording, and media streams, as well as address use cases such as contact centers, interactive voice response systems, call tracking, analytics solutions and anonymized communications.</w:t>
      </w:r>
    </w:p>
    <w:p>
      <w:pPr>
        <w:spacing w:after="0" w:line="176" w:lineRule="exact"/>
        <w:rPr>
          <w:rFonts w:ascii="Times New Roman" w:cs="Times New Roman" w:eastAsia="Times New Roman" w:hAnsi="Times New Roman"/>
          <w:sz w:val="18"/>
          <w:szCs w:val="18"/>
          <w:color w:val="auto"/>
        </w:rPr>
      </w:pPr>
    </w:p>
    <w:p>
      <w:pPr>
        <w:ind w:left="960" w:right="100" w:hanging="313"/>
        <w:spacing w:after="0" w:line="252"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Twilio SendGrid Email (“Email”) is an API and no-code user interface that solves email delivery challenges at scale. Built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mail transfer agent, Email enables customers to build customized solutions and optimize for inbox placement. Our Email API allows businesses to integrate with multiple leading development frameworks and client libraries in multiple languages as well as customize content. It also provides sender authentication, security, mailbox compliance, and delivery dashboards. Our Marketing Campaigns product, which features a no-code user interface and is built on top of our Email infrastructure, enables email campaign sending at scale. Marketing Campaigns includes email design and templates, list management, dynamic content and email testing. Businesses use our Email products for both marketing messages and transactional emails, including promotional offers, newsletters, shipping notifications, password resets, and sign-up confirmations.</w:t>
      </w:r>
    </w:p>
    <w:p>
      <w:pPr>
        <w:spacing w:after="0" w:line="182" w:lineRule="exact"/>
        <w:rPr>
          <w:rFonts w:ascii="Times New Roman" w:cs="Times New Roman" w:eastAsia="Times New Roman" w:hAnsi="Times New Roman"/>
          <w:sz w:val="18"/>
          <w:szCs w:val="18"/>
          <w:color w:val="auto"/>
        </w:rPr>
      </w:pPr>
    </w:p>
    <w:p>
      <w:pPr>
        <w:ind w:left="960" w:right="120" w:hanging="313"/>
        <w:spacing w:after="0" w:line="256"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Flex. </w:t>
      </w:r>
      <w:r>
        <w:rPr>
          <w:rFonts w:ascii="Times New Roman" w:cs="Times New Roman" w:eastAsia="Times New Roman" w:hAnsi="Times New Roman"/>
          <w:sz w:val="18"/>
          <w:szCs w:val="18"/>
          <w:color w:val="auto"/>
        </w:rPr>
        <w:t>Twilio Flex (“Flex”) is a digital engagement center for the entire customer journey—a sales tool for pre-purchase conversations, a cloud-based contact center, and an in-app digital concierge. Flex is built for the new world of tailored customer experiences and omnichannel communications, allowing businesses to deploy a broad array of personalized, data-driven customer engagement channels while providing the tools to easily create, change or extend any part of their custom solutions. With Flex, businesses can rapidly deploy a tailored cloud-based engagement center that addresses their specific needs.</w:t>
      </w:r>
    </w:p>
    <w:p>
      <w:pPr>
        <w:spacing w:after="0" w:line="176" w:lineRule="exact"/>
        <w:rPr>
          <w:rFonts w:ascii="Times New Roman" w:cs="Times New Roman" w:eastAsia="Times New Roman" w:hAnsi="Times New Roman"/>
          <w:sz w:val="18"/>
          <w:szCs w:val="18"/>
          <w:color w:val="auto"/>
        </w:rPr>
      </w:pPr>
    </w:p>
    <w:p>
      <w:pPr>
        <w:ind w:left="960" w:hanging="313"/>
        <w:spacing w:after="0" w:line="253"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User Authentication and Identity. </w:t>
      </w:r>
      <w:r>
        <w:rPr>
          <w:rFonts w:ascii="Times New Roman" w:cs="Times New Roman" w:eastAsia="Times New Roman" w:hAnsi="Times New Roman"/>
          <w:sz w:val="18"/>
          <w:szCs w:val="18"/>
          <w:color w:val="auto"/>
        </w:rPr>
        <w:t>Our User Authentication and Identity solutions enable registering, onboarding, and recognizing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Twilio Verify (“Verify”) is a managed solution for multi-channel user verification, which effectively adds security at the point of new user activation and onwards, providing a low-friction and secure login experience. Using Verify for two-factor authentication, businesses can add an extra layer of security to their applications with passwords sent to users via SMS, voice, email, or push notifications, as well as passkeys. Verify includes Fraud Guard, which is aimed at automatically blocking fraudulent messages resulting from artificially inflated traffic or SMS pumping. Additionally, Twilio Lookup API provides real-time mobile-based identity intelligence that can reduce fraud risks and improve message delivery.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60" w:right="40" w:hanging="313"/>
        <w:spacing w:after="0" w:line="278" w:lineRule="auto"/>
        <w:tabs>
          <w:tab w:leader="none" w:pos="955"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Segment. </w:t>
      </w:r>
      <w:r>
        <w:rPr>
          <w:rFonts w:ascii="Times New Roman" w:cs="Times New Roman" w:eastAsia="Times New Roman" w:hAnsi="Times New Roman"/>
          <w:sz w:val="17"/>
          <w:szCs w:val="17"/>
          <w:color w:val="auto"/>
        </w:rPr>
        <w:t>Twilio Segment is a leading customer data platform that provides businesses with the tools to harness the power of contextual data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unifying real-time information collected throughout each customer’s journey into a unique profile. Segment helps businesses create precise audiences, continuous experiences, and contextual personalization with a unified view of the customer, seamless journey orchestration, and easy-to-use AI based on data that can be trusted to save time and achieve results. The components of our customer data platform include:</w:t>
      </w:r>
    </w:p>
    <w:p>
      <w:pPr>
        <w:spacing w:after="0" w:line="161" w:lineRule="exact"/>
        <w:rPr>
          <w:rFonts w:ascii="Times New Roman" w:cs="Times New Roman" w:eastAsia="Times New Roman" w:hAnsi="Times New Roman"/>
          <w:sz w:val="17"/>
          <w:szCs w:val="17"/>
          <w:b w:val="1"/>
          <w:bCs w:val="1"/>
          <w:color w:val="auto"/>
        </w:rPr>
      </w:pPr>
    </w:p>
    <w:p>
      <w:pPr>
        <w:ind w:left="1600" w:right="40" w:hanging="312"/>
        <w:spacing w:after="0" w:line="264" w:lineRule="auto"/>
        <w:tabs>
          <w:tab w:leader="none" w:pos="15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Connections </w:t>
      </w:r>
      <w:r>
        <w:rPr>
          <w:rFonts w:ascii="Times New Roman" w:cs="Times New Roman" w:eastAsia="Times New Roman" w:hAnsi="Times New Roman"/>
          <w:sz w:val="18"/>
          <w:szCs w:val="18"/>
          <w:color w:val="auto"/>
        </w:rPr>
        <w:t>for integrating web and mobile app data with a single API, easily transforming and loading customer data into cloud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warehouses, activating data from the warehouse with Reverse ETL (Extract, Transform, Load), and customizing data pipelines. Segment Connections supports over 700 data sources and destinations out of the box.</w:t>
      </w:r>
    </w:p>
    <w:p>
      <w:pPr>
        <w:spacing w:after="0" w:line="170" w:lineRule="exact"/>
        <w:rPr>
          <w:rFonts w:ascii="Times New Roman" w:cs="Times New Roman" w:eastAsia="Times New Roman" w:hAnsi="Times New Roman"/>
          <w:sz w:val="18"/>
          <w:szCs w:val="18"/>
          <w:color w:val="auto"/>
        </w:rPr>
      </w:pPr>
    </w:p>
    <w:p>
      <w:pPr>
        <w:ind w:left="1600" w:right="20" w:hanging="312"/>
        <w:spacing w:after="0" w:line="312" w:lineRule="auto"/>
        <w:tabs>
          <w:tab w:leader="none" w:pos="1595"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Protocols </w:t>
      </w:r>
      <w:r>
        <w:rPr>
          <w:rFonts w:ascii="Times New Roman" w:cs="Times New Roman" w:eastAsia="Times New Roman" w:hAnsi="Times New Roman"/>
          <w:sz w:val="17"/>
          <w:szCs w:val="17"/>
          <w:color w:val="auto"/>
        </w:rPr>
        <w:t>to protect the integrity of data and user privacy and help businesses comply with various privacy laws, including the General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Data Protection Regulation, the California Consumer Privacy Act, and the Health Insurance Portability and Accountability Act.</w:t>
      </w:r>
    </w:p>
    <w:p>
      <w:pPr>
        <w:spacing w:after="0" w:line="132" w:lineRule="exact"/>
        <w:rPr>
          <w:rFonts w:ascii="Times New Roman" w:cs="Times New Roman" w:eastAsia="Times New Roman" w:hAnsi="Times New Roman"/>
          <w:sz w:val="17"/>
          <w:szCs w:val="17"/>
          <w:color w:val="auto"/>
        </w:rPr>
      </w:pPr>
    </w:p>
    <w:p>
      <w:pPr>
        <w:ind w:left="1600" w:right="240" w:hanging="312"/>
        <w:spacing w:after="0" w:line="281" w:lineRule="auto"/>
        <w:tabs>
          <w:tab w:leader="none" w:pos="15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Unify </w:t>
      </w:r>
      <w:r>
        <w:rPr>
          <w:rFonts w:ascii="Times New Roman" w:cs="Times New Roman" w:eastAsia="Times New Roman" w:hAnsi="Times New Roman"/>
          <w:sz w:val="18"/>
          <w:szCs w:val="18"/>
          <w:color w:val="auto"/>
        </w:rPr>
        <w:t>for combining customer data from across every channel into trusted customer profiles, and syncing those profiles to the cloud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warehouse for enrichment and machine learning (“ML”) modeling.</w:t>
      </w:r>
    </w:p>
    <w:p>
      <w:pPr>
        <w:spacing w:after="0" w:line="155" w:lineRule="exact"/>
        <w:rPr>
          <w:rFonts w:ascii="Times New Roman" w:cs="Times New Roman" w:eastAsia="Times New Roman" w:hAnsi="Times New Roman"/>
          <w:sz w:val="18"/>
          <w:szCs w:val="18"/>
          <w:color w:val="auto"/>
        </w:rPr>
      </w:pPr>
    </w:p>
    <w:p>
      <w:pPr>
        <w:ind w:left="1600" w:right="400" w:hanging="312"/>
        <w:spacing w:after="0" w:line="281" w:lineRule="auto"/>
        <w:tabs>
          <w:tab w:leader="none" w:pos="15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Engage </w:t>
      </w:r>
      <w:r>
        <w:rPr>
          <w:rFonts w:ascii="Times New Roman" w:cs="Times New Roman" w:eastAsia="Times New Roman" w:hAnsi="Times New Roman"/>
          <w:sz w:val="18"/>
          <w:szCs w:val="18"/>
          <w:color w:val="auto"/>
        </w:rPr>
        <w:t>to deepen customer relationships by personalizing customer interactions on every channel, build dynamic audiences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real-time, profiles and orchestrate cross-channel customer journeys.</w:t>
      </w:r>
    </w:p>
    <w:p>
      <w:pPr>
        <w:spacing w:after="0" w:line="155" w:lineRule="exact"/>
        <w:rPr>
          <w:rFonts w:ascii="Times New Roman" w:cs="Times New Roman" w:eastAsia="Times New Roman" w:hAnsi="Times New Roman"/>
          <w:sz w:val="18"/>
          <w:szCs w:val="18"/>
          <w:color w:val="auto"/>
        </w:rPr>
      </w:pPr>
    </w:p>
    <w:p>
      <w:pPr>
        <w:jc w:val="both"/>
        <w:ind w:left="1600" w:right="220" w:hanging="312"/>
        <w:spacing w:after="0" w:line="264" w:lineRule="auto"/>
        <w:tabs>
          <w:tab w:leader="none" w:pos="15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capabilities </w:t>
      </w:r>
      <w:r>
        <w:rPr>
          <w:rFonts w:ascii="Times New Roman" w:cs="Times New Roman" w:eastAsia="Times New Roman" w:hAnsi="Times New Roman"/>
          <w:sz w:val="18"/>
          <w:szCs w:val="18"/>
          <w:color w:val="auto"/>
        </w:rPr>
        <w:t>to provide 1:1 interactions at scale, including the utilization of generative AI to create targeted audiences and launch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personalized customer journeys using simple text prompts, and predictive AI to predict customer behavior, build targeted audiences and deliver more personalized campaigns.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generate revenue from our platform through a combination of usage-based and subscription-based fees. Revenue generated from Messaging,</w:t>
      </w:r>
    </w:p>
    <w:p>
      <w:pPr>
        <w:spacing w:after="0" w:line="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Voice, and User Authentication and Identity is primarily recognized on a usage basis. Revenue generated from Email (which includes Marketing Campaigns), Flex, and Segment is primarily recognized on a subscription basis. We experience seasonal trends due to increased consumer activity in the fourth quarter.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51" w:lineRule="exact"/>
        <w:rPr>
          <w:sz w:val="20"/>
          <w:szCs w:val="20"/>
          <w:color w:val="auto"/>
        </w:rPr>
      </w:pPr>
    </w:p>
    <w:p>
      <w:pPr>
        <w:ind w:right="80" w:firstLine="480"/>
        <w:spacing w:after="0" w:line="244" w:lineRule="auto"/>
        <w:rPr>
          <w:sz w:val="20"/>
          <w:szCs w:val="20"/>
          <w:color w:val="auto"/>
        </w:rPr>
      </w:pPr>
      <w:r>
        <w:rPr>
          <w:rFonts w:ascii="Times New Roman" w:cs="Times New Roman" w:eastAsia="Times New Roman" w:hAnsi="Times New Roman"/>
          <w:sz w:val="18"/>
          <w:szCs w:val="18"/>
          <w:color w:val="auto"/>
        </w:rPr>
        <w:t>Our strategy is rooted in simplifying our offerings to deliver a trusted, intuitive customer and end-consumer experience. By enhancing the capabilities we already have and building new ones, we plan to offer our customers a more powerful, cohesive platform that continues to set us apart in the market. Our goal is to offer one trusted, simple, and smart platform that enables more personalized, timely, and impactful communications and engagements across the customer journey. We are combining our leading communications capabilities, plus rich contextual data, plus the power of AI. This powerful combination positions us to unlock smarter and more personalized interactions for businesses. We are concentrating on the highest-impact product areas for our future, and we intend to pursue the following strategies:</w:t>
      </w:r>
    </w:p>
    <w:p>
      <w:pPr>
        <w:spacing w:after="0" w:line="214" w:lineRule="exact"/>
        <w:rPr>
          <w:sz w:val="20"/>
          <w:szCs w:val="20"/>
          <w:color w:val="auto"/>
        </w:rPr>
      </w:pPr>
    </w:p>
    <w:p>
      <w:pPr>
        <w:ind w:left="960" w:right="20" w:hanging="313"/>
        <w:spacing w:after="0" w:line="241" w:lineRule="auto"/>
        <w:tabs>
          <w:tab w:leader="none" w:pos="9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One Trusted, Simple, and Smart Platform. </w:t>
      </w:r>
      <w:r>
        <w:rPr>
          <w:rFonts w:ascii="Times New Roman" w:cs="Times New Roman" w:eastAsia="Times New Roman" w:hAnsi="Times New Roman"/>
          <w:sz w:val="18"/>
          <w:szCs w:val="18"/>
          <w:color w:val="auto"/>
        </w:rPr>
        <w:t>We are harnessing Twilio’s foundational strengths in communication channel offerings,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scale, developer loyalty, and contextual data assets to deliver a more holistic, trusted, simple, and smart platform. Our investments in innovation now include vertical products along with the components and characteristics of a horizontal platform, including cross-channel orchestration capabilities. Our aim for our platform innovation is to help customers reduce friction and streamline how customers add communication channels, enabling more personalized interactions and deeper engagement with their end customers.</w:t>
      </w:r>
    </w:p>
    <w:p>
      <w:pPr>
        <w:spacing w:after="0" w:line="218" w:lineRule="exact"/>
        <w:rPr>
          <w:rFonts w:ascii="Times New Roman" w:cs="Times New Roman" w:eastAsia="Times New Roman" w:hAnsi="Times New Roman"/>
          <w:sz w:val="20"/>
          <w:szCs w:val="20"/>
          <w:color w:val="auto"/>
        </w:rPr>
      </w:pPr>
    </w:p>
    <w:p>
      <w:pPr>
        <w:ind w:left="960" w:right="160" w:hanging="313"/>
        <w:spacing w:after="0" w:line="244" w:lineRule="auto"/>
        <w:tabs>
          <w:tab w:leader="none" w:pos="9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Winning in Customer Data. </w:t>
      </w:r>
      <w:r>
        <w:rPr>
          <w:rFonts w:ascii="Times New Roman" w:cs="Times New Roman" w:eastAsia="Times New Roman" w:hAnsi="Times New Roman"/>
          <w:sz w:val="18"/>
          <w:szCs w:val="18"/>
          <w:color w:val="auto"/>
        </w:rPr>
        <w:t>We are focused on Segment’s interoperability across the data ecosystem to support growth in our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We also continue to innovate with predictive and generative AI to help customers increase the value and impact of Segment in customer engagement. We believe we can improve engagement using insights from communications data and consumer insights to offer more proactive and personalized experiences, resulting in more effective marketing, sales, and customer support.</w:t>
      </w:r>
    </w:p>
    <w:p>
      <w:pPr>
        <w:spacing w:after="0" w:line="215" w:lineRule="exact"/>
        <w:rPr>
          <w:rFonts w:ascii="Times New Roman" w:cs="Times New Roman" w:eastAsia="Times New Roman" w:hAnsi="Times New Roman"/>
          <w:sz w:val="20"/>
          <w:szCs w:val="20"/>
          <w:color w:val="auto"/>
        </w:rPr>
      </w:pPr>
    </w:p>
    <w:p>
      <w:pPr>
        <w:ind w:left="960" w:right="20" w:hanging="313"/>
        <w:spacing w:after="0" w:line="243" w:lineRule="auto"/>
        <w:tabs>
          <w:tab w:leader="none" w:pos="9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Leveraging AI. </w:t>
      </w:r>
      <w:r>
        <w:rPr>
          <w:rFonts w:ascii="Times New Roman" w:cs="Times New Roman" w:eastAsia="Times New Roman" w:hAnsi="Times New Roman"/>
          <w:sz w:val="18"/>
          <w:szCs w:val="18"/>
          <w:color w:val="auto"/>
        </w:rPr>
        <w:t>We believe AI and ML have the potential to increase the value and reach of our platform capabilities, and make every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interaction more personalized and intelligent. We are continuing to invest in AI-enabled products and features for our customers, as well as internal applications to automate processes and help our business run more efficiently.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960" w:right="40" w:hanging="313"/>
        <w:spacing w:after="0" w:line="243" w:lineRule="auto"/>
        <w:tabs>
          <w:tab w:leader="none" w:pos="9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Efficient Go-to-Market Execution. </w:t>
      </w:r>
      <w:r>
        <w:rPr>
          <w:rFonts w:ascii="Times New Roman" w:cs="Times New Roman" w:eastAsia="Times New Roman" w:hAnsi="Times New Roman"/>
          <w:sz w:val="18"/>
          <w:szCs w:val="18"/>
          <w:color w:val="auto"/>
        </w:rPr>
        <w:t>We are focused on improving profitability and growing our market share. To achieve this, we are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bolstering our independent software vendor (“ISV”) and other partner relationships, improving our self-service capabilities, cross-selling our products, and expanding internationally.</w:t>
      </w:r>
    </w:p>
    <w:p>
      <w:pPr>
        <w:spacing w:after="0" w:line="228" w:lineRule="exact"/>
        <w:rPr>
          <w:rFonts w:ascii="Times New Roman" w:cs="Times New Roman" w:eastAsia="Times New Roman" w:hAnsi="Times New Roman"/>
          <w:sz w:val="20"/>
          <w:szCs w:val="20"/>
          <w:color w:val="auto"/>
        </w:rPr>
      </w:pPr>
    </w:p>
    <w:p>
      <w:pPr>
        <w:ind w:left="960" w:right="60" w:hanging="313"/>
        <w:spacing w:after="0" w:line="243" w:lineRule="auto"/>
        <w:tabs>
          <w:tab w:leader="none" w:pos="9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Driving Operating Leverage Across our Business. </w:t>
      </w:r>
      <w:r>
        <w:rPr>
          <w:rFonts w:ascii="Times New Roman" w:cs="Times New Roman" w:eastAsia="Times New Roman" w:hAnsi="Times New Roman"/>
          <w:sz w:val="18"/>
          <w:szCs w:val="18"/>
          <w:color w:val="auto"/>
        </w:rPr>
        <w:t>We are implementing several organizational initiatives targeted at simplifying,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modernizing and improving the efficiency of our business processes, introducing automation and AI into our internal operations, enhancing our fiscal discipline on all levels, and enacting workforce planning initiatives.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1" w:lineRule="exact"/>
        <w:rPr>
          <w:sz w:val="20"/>
          <w:szCs w:val="20"/>
          <w:color w:val="auto"/>
        </w:rPr>
      </w:pPr>
    </w:p>
    <w:p>
      <w:pPr>
        <w:ind w:right="140" w:firstLine="480"/>
        <w:spacing w:after="0" w:line="247" w:lineRule="auto"/>
        <w:rPr>
          <w:sz w:val="20"/>
          <w:szCs w:val="20"/>
          <w:color w:val="auto"/>
        </w:rPr>
      </w:pPr>
      <w:r>
        <w:rPr>
          <w:rFonts w:ascii="Times New Roman" w:cs="Times New Roman" w:eastAsia="Times New Roman" w:hAnsi="Times New Roman"/>
          <w:sz w:val="18"/>
          <w:szCs w:val="18"/>
          <w:color w:val="auto"/>
        </w:rPr>
        <w:t>The markets for our products are rapidly evolving and are increasingly competitive. Our competitors are primarily (i) communications platform-as-a-service (“CPaaS”) companies that offer communications products and applications, (ii) other software companies that compete with portions of our communications product line, (iii) regional network service providers that offer limited developer functionality on top of their own physical infrastructure, (iv) customer relationship management and customer experience vendors and (v) standalone customer data platform vendors.</w:t>
      </w:r>
    </w:p>
    <w:p>
      <w:pPr>
        <w:spacing w:after="0" w:line="202" w:lineRule="exact"/>
        <w:rPr>
          <w:sz w:val="20"/>
          <w:szCs w:val="20"/>
          <w:color w:val="auto"/>
        </w:rPr>
      </w:pPr>
    </w:p>
    <w:p>
      <w:pPr>
        <w:ind w:right="200" w:firstLine="480"/>
        <w:spacing w:after="0" w:line="247" w:lineRule="auto"/>
        <w:rPr>
          <w:sz w:val="20"/>
          <w:szCs w:val="20"/>
          <w:color w:val="auto"/>
        </w:rPr>
      </w:pPr>
      <w:r>
        <w:rPr>
          <w:rFonts w:ascii="Times New Roman" w:cs="Times New Roman" w:eastAsia="Times New Roman" w:hAnsi="Times New Roman"/>
          <w:sz w:val="18"/>
          <w:szCs w:val="18"/>
          <w:color w:val="auto"/>
        </w:rPr>
        <w:t>The principal competitive factors in these markets include completeness of offering, credibility with customers, ability to differentiate our products against competing offerings,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w:t>
      </w:r>
    </w:p>
    <w:p>
      <w:pPr>
        <w:spacing w:after="0" w:line="189" w:lineRule="exact"/>
        <w:rPr>
          <w:sz w:val="20"/>
          <w:szCs w:val="20"/>
          <w:color w:val="auto"/>
        </w:rPr>
      </w:pPr>
    </w:p>
    <w:p>
      <w:pPr>
        <w:ind w:right="320" w:firstLine="480"/>
        <w:spacing w:after="0" w:line="262" w:lineRule="auto"/>
        <w:rPr>
          <w:sz w:val="20"/>
          <w:szCs w:val="20"/>
          <w:color w:val="auto"/>
        </w:rPr>
      </w:pPr>
      <w:r>
        <w:rPr>
          <w:rFonts w:ascii="Times New Roman" w:cs="Times New Roman" w:eastAsia="Times New Roman" w:hAnsi="Times New Roman"/>
          <w:sz w:val="18"/>
          <w:szCs w:val="18"/>
          <w:color w:val="auto"/>
        </w:rPr>
        <w:t>We believe that we compete favorably on the basis of the factors listed above and that none of our competitors currently compete directly with us across all of our product offerings. With the introduction of new products and services and new market entrants, we expect competition to intensify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p>
      <w:pPr>
        <w:ind w:right="140" w:firstLine="480"/>
        <w:spacing w:after="0" w:line="277" w:lineRule="auto"/>
        <w:rPr>
          <w:sz w:val="20"/>
          <w:szCs w:val="20"/>
          <w:color w:val="auto"/>
        </w:rPr>
      </w:pPr>
      <w:r>
        <w:rPr>
          <w:rFonts w:ascii="Times New Roman" w:cs="Times New Roman" w:eastAsia="Times New Roman" w:hAnsi="Times New Roman"/>
          <w:sz w:val="18"/>
          <w:szCs w:val="18"/>
          <w:color w:val="auto"/>
        </w:rPr>
        <w:t>Our research and development efforts are focused on building one holistic trusted, simple, and smart customer engagement platform while enhancing our existing products and developing new products and features.</w:t>
      </w:r>
    </w:p>
    <w:p>
      <w:pPr>
        <w:spacing w:after="0" w:line="163"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Our research and development organization is predominantly built around small development teams. Our small development teams foster greater agility, which enables us to develop new, innovative products and make rapid changes to our infrastructure that increase resiliency and operational efficiency. Our development teams designed and built much of our customer engagement platform and our core platforms stack. These teams continue to focus on the highest impact product areas for our future, which includes focusing on continued innovation in the face of rapid technological change and changing industry practices. We are continuing to invest in AI-powered capabilities, which we believe have the potential to enhance our offerings’ value to customers, as well as to automate processes and help our business run more efficiently.</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we had 2,581 employees in our research and development organization.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p>
      <w:pPr>
        <w:jc w:val="both"/>
        <w:ind w:right="180" w:firstLine="480"/>
        <w:spacing w:after="0" w:line="262" w:lineRule="auto"/>
        <w:rPr>
          <w:sz w:val="20"/>
          <w:szCs w:val="20"/>
          <w:color w:val="auto"/>
        </w:rPr>
      </w:pPr>
      <w:r>
        <w:rPr>
          <w:rFonts w:ascii="Times New Roman" w:cs="Times New Roman" w:eastAsia="Times New Roman" w:hAnsi="Times New Roman"/>
          <w:sz w:val="18"/>
          <w:szCs w:val="18"/>
          <w:color w:val="auto"/>
        </w:rPr>
        <w:t>Our sales and marketing teams work closely together to drive awareness and adoption of our platform. We leverage our brand, marketing programs, developer network, and conferences, such as SIGNAL, to expand our go-to-market motions. Our go-to-market model has three motions: self-service, sales-led, and partner-led.</w:t>
      </w:r>
    </w:p>
    <w:p>
      <w:pPr>
        <w:spacing w:after="0" w:line="176" w:lineRule="exact"/>
        <w:rPr>
          <w:sz w:val="20"/>
          <w:szCs w:val="20"/>
          <w:color w:val="auto"/>
        </w:rPr>
      </w:pPr>
    </w:p>
    <w:p>
      <w:pPr>
        <w:ind w:right="80" w:firstLine="480"/>
        <w:spacing w:after="0" w:line="284" w:lineRule="auto"/>
        <w:rPr>
          <w:sz w:val="20"/>
          <w:szCs w:val="20"/>
          <w:color w:val="auto"/>
        </w:rPr>
      </w:pPr>
      <w:r>
        <w:rPr>
          <w:rFonts w:ascii="Times New Roman" w:cs="Times New Roman" w:eastAsia="Times New Roman" w:hAnsi="Times New Roman"/>
          <w:sz w:val="17"/>
          <w:szCs w:val="17"/>
          <w:color w:val="auto"/>
        </w:rPr>
        <w:t>Developers, marketers, and other technical users are able to access our easy-to-configure APIs and tools along with our extensive self-service documentation and customer support team, to embed our products into their applications. These self-service customers can then provide their billing information to either make an upfront prepayment that is drawn down as they use our products, or subscribe to a plan, depending on the product they deploy.</w:t>
      </w:r>
    </w:p>
    <w:p>
      <w:pPr>
        <w:spacing w:after="0" w:line="160"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Our enterprise and commercial customers have access to our sales and solutions team to support their businesses across their customer journey. This is a direct sales motion and is supported by sales development, field marketing, and solution engineers. This model emphasizes value-based discovery, technical proof of concept, and building strong customer relationships. Our sales organization targets technical, marketing, and business leaders who are seeking to leverage software to drive superior customer engagement and competitive differentiation. Our sales and solutions teams also support our ISV partners, who leverage our APIs to build software and services that they can resell to their customers across a varying number of use cases and verticals.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When potential customers do not have the available developer resources or expertise to build our products into their own applications, we refer them to one of our partners to help deliver their solution. Depending on their use case and available resources, we may refer them to an ISV partner who offers the solution, a consulting partner or a systems integrator who provides consulting and development services to build their solution, or our professional services team who can provide expert guidance on achieving their solution.</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we had 2,294 employees in our sales and marketing organization.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 and Services</w:t>
      </w:r>
    </w:p>
    <w:p>
      <w:pPr>
        <w:spacing w:after="0" w:line="224"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To make learning how to use our products straightforward, we provide all users with comprehensive documentation, how-to guides, and tutorials. These resources are further enriched by contributions from our active customer community. Additionally, we offer support options tailored to meet individual customer needs including both free and paid personalized plans.</w:t>
      </w:r>
    </w:p>
    <w:p>
      <w:pPr>
        <w:spacing w:after="0" w:line="203" w:lineRule="exact"/>
        <w:rPr>
          <w:sz w:val="20"/>
          <w:szCs w:val="20"/>
          <w:color w:val="auto"/>
        </w:rPr>
      </w:pPr>
    </w:p>
    <w:p>
      <w:pPr>
        <w:ind w:right="40" w:firstLine="480"/>
        <w:spacing w:after="0" w:line="247" w:lineRule="auto"/>
        <w:rPr>
          <w:sz w:val="20"/>
          <w:szCs w:val="20"/>
          <w:color w:val="auto"/>
        </w:rPr>
      </w:pPr>
      <w:r>
        <w:rPr>
          <w:rFonts w:ascii="Times New Roman" w:cs="Times New Roman" w:eastAsia="Times New Roman" w:hAnsi="Times New Roman"/>
          <w:sz w:val="18"/>
          <w:szCs w:val="18"/>
          <w:color w:val="auto"/>
        </w:rPr>
        <w:t>All customers receive free support through our chatbots, Help Center Assistant, and access to technical documentation. We also maintain a status page on our website that provides real-time updates on any known incidents, outages or degradation on our API platform and external carrier connections. Customers can also sign up to receive automatic updates and notifications without needing to contact customer support. Furthermore, customers can engage with the wider Twilio community for guidance and assistance in resolving API-related issues.</w:t>
      </w:r>
    </w:p>
    <w:p>
      <w:pPr>
        <w:spacing w:after="0" w:line="175"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For our Communications products, we generally offer three paid tiers of support with increasing levels of availability and guaranteed response times. Our highest tier plan, intended for our largest customers, includes a technical account manager, duty manager coverage, and quarterly status reviews. Similarly, our subscription products generally feature a base level of customer support plus premium, paid support options. Our support model is global, with coverage available 24x7. We currently derive an insignificant amount of revenue from fees for customer support.</w:t>
      </w:r>
    </w:p>
    <w:p>
      <w:pPr>
        <w:spacing w:after="0" w:line="181"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We also offer professional services which provide in-depth, hands-on, fee-based packages of advisory, software architecture, integration and coding services to existing and prospective customers and partners to optimize their use of the Twilio platform. For Flex and Segment, offerings include services for implementing digital engagement center solutions and customer data platform design. For our other Communications products, offerings include email implementation and deliverability, and configuration and integration of our communications channels.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4"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We rely on a combination of patent, copyright, trademark, trade secret and other intellectual property laws in the United States and other jurisdictions, as well as license agreements, other contractual protections, and internal processes, procedures, and controls, to protect, establish, maintain, and enforce our intellectual property and other proprietary rights technology. We also rely on a number of registered trademarks, applications for trademarks and common law protections afforded to certain unregistered trademarks to protect our brand.</w:t>
      </w:r>
    </w:p>
    <w:p>
      <w:pPr>
        <w:spacing w:after="0" w:line="181"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As of December 31, 2024, in the United States, we have been issued 320 patents, which expire between 2029 and 2043. As of such date, we also had 40 issued patents in foreign jurisdictions, all of which are related to our U.S. patents and patent applications. We have also filed various applications for protection of certain aspects of our intellectual property in the United States and internationally. In addition, as of December 31, 2024, we had 54 registered trademarks in the United States and 569 registered trademarks in foreign jurisdictions.</w:t>
      </w:r>
    </w:p>
    <w:p>
      <w:pPr>
        <w:spacing w:after="0" w:line="181" w:lineRule="exact"/>
        <w:rPr>
          <w:sz w:val="20"/>
          <w:szCs w:val="20"/>
          <w:color w:val="auto"/>
        </w:rPr>
      </w:pPr>
    </w:p>
    <w:p>
      <w:pPr>
        <w:ind w:right="200" w:firstLine="480"/>
        <w:spacing w:after="0" w:line="254" w:lineRule="auto"/>
        <w:rPr>
          <w:sz w:val="20"/>
          <w:szCs w:val="20"/>
          <w:color w:val="auto"/>
        </w:rPr>
      </w:pPr>
      <w:r>
        <w:rPr>
          <w:rFonts w:ascii="Times New Roman" w:cs="Times New Roman" w:eastAsia="Times New Roman" w:hAnsi="Times New Roman"/>
          <w:sz w:val="18"/>
          <w:szCs w:val="18"/>
          <w:color w:val="auto"/>
        </w:rPr>
        <w:t>We currently, and will continue to, seek to protect our intellectual property and other proprietary rights by, among other things, implementing, maintaining, and enforcing a policy that requires our employees, independent contractors and certain suppliers involved in developing intellectual property for us or on our behalf to enter into agreements acknowledging that all work product or other forms of intellectual property generated, created, reduced to practice, conceived, or otherwise developed by them on our behalf are owned by us such that we can use the intellectual property they develop for our business purposes.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211" w:lineRule="exact"/>
        <w:rPr>
          <w:sz w:val="20"/>
          <w:szCs w:val="20"/>
          <w:color w:val="auto"/>
        </w:rPr>
      </w:pPr>
    </w:p>
    <w:p>
      <w:pPr>
        <w:ind w:right="240" w:firstLine="480"/>
        <w:spacing w:after="0" w:line="239" w:lineRule="auto"/>
        <w:rPr>
          <w:sz w:val="20"/>
          <w:szCs w:val="20"/>
          <w:color w:val="auto"/>
        </w:rPr>
      </w:pPr>
      <w:r>
        <w:rPr>
          <w:rFonts w:ascii="Times New Roman" w:cs="Times New Roman" w:eastAsia="Times New Roman" w:hAnsi="Times New Roman"/>
          <w:sz w:val="18"/>
          <w:szCs w:val="18"/>
          <w:color w:val="auto"/>
        </w:rPr>
        <w:t>We are subject to a number of U.S. federal, U.S. state and foreign laws and regulations that involve matters central to our business. These laws and regulations may involve privacy, data protection, data security, intellectual property, competition, telecommunications, broadband, VoIP, consumer protection, export controls, economic sanctions, anti-bribery, anti-corruption, anti-money laundering, taxation, or other subjects. Many of the laws and regulations to which we are subject are still evolving and we expect to become subject to additional laws and regulations in the future. The application and interpretation of these laws and regulations often are uncertain, particularly in the new and rapidly evolving industry in which we operate.</w:t>
      </w:r>
    </w:p>
    <w:p>
      <w:pPr>
        <w:spacing w:after="0" w:line="184" w:lineRule="exact"/>
        <w:rPr>
          <w:sz w:val="20"/>
          <w:szCs w:val="20"/>
          <w:color w:val="auto"/>
        </w:rPr>
      </w:pPr>
    </w:p>
    <w:p>
      <w:pPr>
        <w:ind w:right="160" w:firstLine="480"/>
        <w:spacing w:after="0" w:line="237" w:lineRule="auto"/>
        <w:rPr>
          <w:sz w:val="20"/>
          <w:szCs w:val="20"/>
          <w:color w:val="auto"/>
        </w:rPr>
      </w:pPr>
      <w:r>
        <w:rPr>
          <w:rFonts w:ascii="Times New Roman" w:cs="Times New Roman" w:eastAsia="Times New Roman" w:hAnsi="Times New Roman"/>
          <w:sz w:val="18"/>
          <w:szCs w:val="18"/>
          <w:color w:val="auto"/>
        </w:rPr>
        <w:t>Compliance with current and future laws and regulations, and changes in their enforcement and interpretation, may significantly increase our compliance costs and otherwise adversely affect our business and results of operations. For additional information about laws and regulations applicable to our business, see Part I, Item 1A, “Risk Factors-Risks Related to Cybersecurity, Data Privacy and Intellectual Property” and “Risk Factors-Risks Related to Legal and Regulatory Matters” in this Annual Report on Form 10-K.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Twilio Magic</w:t>
      </w:r>
    </w:p>
    <w:p>
      <w:pPr>
        <w:spacing w:after="0" w:line="224"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We believe there is a unique spirit to Twilio, manifested in who we are and how we work together. We value and invest in a positive culture of optimism, innovation, and accountability. Our values, which we call the Twilio Magic, remind us every day who we are at our core and guide how we act and how we make decisions.</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We are </w:t>
      </w:r>
      <w:r>
        <w:rPr>
          <w:rFonts w:ascii="Times New Roman" w:cs="Times New Roman" w:eastAsia="Times New Roman" w:hAnsi="Times New Roman"/>
          <w:sz w:val="18"/>
          <w:szCs w:val="18"/>
          <w:b w:val="1"/>
          <w:bCs w:val="1"/>
          <w:color w:val="auto"/>
        </w:rPr>
        <w:t>Builders</w:t>
      </w:r>
      <w:r>
        <w:rPr>
          <w:rFonts w:ascii="Times New Roman" w:cs="Times New Roman" w:eastAsia="Times New Roman" w:hAnsi="Times New Roman"/>
          <w:sz w:val="18"/>
          <w:szCs w:val="18"/>
          <w:color w:val="auto"/>
        </w:rPr>
        <w:t xml:space="preserve">. We are </w:t>
      </w:r>
      <w:r>
        <w:rPr>
          <w:rFonts w:ascii="Times New Roman" w:cs="Times New Roman" w:eastAsia="Times New Roman" w:hAnsi="Times New Roman"/>
          <w:sz w:val="18"/>
          <w:szCs w:val="18"/>
          <w:b w:val="1"/>
          <w:bCs w:val="1"/>
          <w:color w:val="auto"/>
        </w:rPr>
        <w:t>Owners</w:t>
      </w:r>
      <w:r>
        <w:rPr>
          <w:rFonts w:ascii="Times New Roman" w:cs="Times New Roman" w:eastAsia="Times New Roman" w:hAnsi="Times New Roman"/>
          <w:sz w:val="18"/>
          <w:szCs w:val="18"/>
          <w:color w:val="auto"/>
        </w:rPr>
        <w:t xml:space="preserve">. We are </w:t>
      </w:r>
      <w:r>
        <w:rPr>
          <w:rFonts w:ascii="Times New Roman" w:cs="Times New Roman" w:eastAsia="Times New Roman" w:hAnsi="Times New Roman"/>
          <w:sz w:val="18"/>
          <w:szCs w:val="18"/>
          <w:b w:val="1"/>
          <w:bCs w:val="1"/>
          <w:color w:val="auto"/>
        </w:rPr>
        <w:t>Curious</w:t>
      </w:r>
      <w:r>
        <w:rPr>
          <w:rFonts w:ascii="Times New Roman" w:cs="Times New Roman" w:eastAsia="Times New Roman" w:hAnsi="Times New Roman"/>
          <w:sz w:val="18"/>
          <w:szCs w:val="18"/>
          <w:color w:val="auto"/>
        </w:rPr>
        <w:t xml:space="preserve">. We are </w:t>
      </w:r>
      <w:r>
        <w:rPr>
          <w:rFonts w:ascii="Times New Roman" w:cs="Times New Roman" w:eastAsia="Times New Roman" w:hAnsi="Times New Roman"/>
          <w:sz w:val="18"/>
          <w:szCs w:val="18"/>
          <w:b w:val="1"/>
          <w:bCs w:val="1"/>
          <w:color w:val="auto"/>
        </w:rPr>
        <w:t>Positrons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Twilio.org</w:t>
      </w:r>
    </w:p>
    <w:p>
      <w:pPr>
        <w:spacing w:after="0" w:line="224" w:lineRule="exact"/>
        <w:rPr>
          <w:sz w:val="20"/>
          <w:szCs w:val="20"/>
          <w:color w:val="auto"/>
        </w:rPr>
      </w:pPr>
    </w:p>
    <w:p>
      <w:pPr>
        <w:ind w:right="120" w:firstLine="480"/>
        <w:spacing w:after="0" w:line="252" w:lineRule="auto"/>
        <w:rPr>
          <w:sz w:val="20"/>
          <w:szCs w:val="20"/>
          <w:color w:val="auto"/>
        </w:rPr>
      </w:pPr>
      <w:r>
        <w:rPr>
          <w:rFonts w:ascii="Times New Roman" w:cs="Times New Roman" w:eastAsia="Times New Roman" w:hAnsi="Times New Roman"/>
          <w:sz w:val="18"/>
          <w:szCs w:val="18"/>
          <w:color w:val="auto"/>
        </w:rPr>
        <w:t>Communications play a critical role in solving some of the world’s toughest social challenges—it is the foundation for engaging individuals or communities and guiding them toward the resources they need. From empowering people affected by violence with critical resources, to streamlining staff and volunteer coordination, nonprofits leverage communication technology to help individuals build long term well-being and to help communities recover from humanitarian crises. Through Twilio.org, which is a part of our company and not a separate legal entity, we donate and sell our products at a reduced rate to nonprofits and offer grant funding to help scale these organizations’ missions. In 2015, we reserved 1% of Twilio's common stock to fund Twilio.org. As of December 31, 2024, 353,633 shares of Twilio Class A common stock were set aside for Twilio.org charitable activities. In 2024, over 25,000 social impact customers used Twilio products and funding to reach more than 716 million people worldwide.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 and Human Capital Resources</w:t>
      </w:r>
    </w:p>
    <w:p>
      <w:pPr>
        <w:spacing w:after="0" w:line="224"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8"/>
          <w:szCs w:val="18"/>
          <w:color w:val="auto"/>
        </w:rPr>
        <w:t>We believe that our employees are critical to our success, and in the importance of making sure they are equipped, enabled and empowered to have an impact. As of December 31, 2024, we had a total of 5,535 employees, including 2,470 employees located outside of the United States.</w:t>
      </w:r>
    </w:p>
    <w:p>
      <w:pPr>
        <w:spacing w:after="0" w:line="163"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We are committed to delivering a comprehensive compensation and benefits program that provides support for all of our employees’ well-being. We provide competitive compensation to attract and retain talented employees, including market-competitive pay, incentive compensation in the form of bonuses or sales commissions, and equity compensation for certain employees. In addition, we offer competitive benefits packages to our full-time employees, subject to the satisfaction of certain eligibility requirements, that are aligned with industry standards and local market practices in each of the countries in which we operate. We ensure that our compensation is fair for all employees, regardless of background. We routinely run a rigorous statistical analysis to ensure compensation is fair, taking into account factors that should impact pay, like role, level, location, and performance. Twilio is an equal opportunity employer, and we are committed to ensuring that Twilio is an inclusive workplace where everyone, regardless of background, is treated fairly and has access to the opportunities, systems, and resources to do their best work.</w:t>
      </w:r>
    </w:p>
    <w:p>
      <w:pPr>
        <w:spacing w:after="0" w:line="190"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Although we have works council, statutory and/or collective bargaining employee representation obligations in certain countries outside of the United States, none of our U.S. employees are represented by a labor union with respect to their employment. Employees in certain of our non-U.S. subsidiaries have the benefits of collective bargaining arrangements at the national level. We consider our relations with our employees to be good and have not experienced interruptions of operations or work stoppages due to labor disagreements.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4" w:lineRule="exact"/>
        <w:rPr>
          <w:sz w:val="20"/>
          <w:szCs w:val="20"/>
          <w:color w:val="auto"/>
        </w:rPr>
      </w:pPr>
    </w:p>
    <w:p>
      <w:pPr>
        <w:jc w:val="both"/>
        <w:ind w:right="220" w:firstLine="480"/>
        <w:spacing w:after="0" w:line="262" w:lineRule="auto"/>
        <w:rPr>
          <w:sz w:val="20"/>
          <w:szCs w:val="20"/>
          <w:color w:val="auto"/>
        </w:rPr>
      </w:pPr>
      <w:r>
        <w:rPr>
          <w:rFonts w:ascii="Times New Roman" w:cs="Times New Roman" w:eastAsia="Times New Roman" w:hAnsi="Times New Roman"/>
          <w:sz w:val="18"/>
          <w:szCs w:val="18"/>
          <w:color w:val="auto"/>
        </w:rPr>
        <w:t>Twilio Inc. was incorporated in Delaware in March 2008. Our principal executive offices are located at 101 Spear Street, Fifth Floor, San Francisco, California 94105, and our telephone number is (415) 390-2337. Our website address is www.twilio.com. Information contained on, or that can be accessed through, our website does not constitute part of this Annual Report on Form 10-K.</w:t>
      </w:r>
    </w:p>
    <w:p>
      <w:pPr>
        <w:spacing w:after="0" w:line="176"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Twilio, the Twilio logo and other trademarks or service marks of Twilio appearing in this Annual Report on Form 10-K are the intellectual property of Twilio. Trade names, trademarks and service marks of other companies appearing in this Annual Report on Form 10-K are the intellectual property of their respective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Geographic Revenue</w:t>
      </w:r>
    </w:p>
    <w:p>
      <w:pPr>
        <w:spacing w:after="0" w:line="224" w:lineRule="exact"/>
        <w:rPr>
          <w:sz w:val="20"/>
          <w:szCs w:val="20"/>
          <w:color w:val="auto"/>
        </w:rPr>
      </w:pPr>
    </w:p>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Information about geographic revenue is set forth in Note 16 of our Notes to Consolidated Financial Statements included in Part II, Item 8, “Financial Statements and Supplementary Data” of this Annual Report on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4" w:lineRule="exact"/>
        <w:rPr>
          <w:sz w:val="20"/>
          <w:szCs w:val="20"/>
          <w:color w:val="auto"/>
        </w:rPr>
      </w:pPr>
    </w:p>
    <w:p>
      <w:pPr>
        <w:jc w:val="both"/>
        <w:ind w:right="40" w:firstLine="480"/>
        <w:spacing w:after="0" w:line="254" w:lineRule="auto"/>
        <w:rPr>
          <w:sz w:val="20"/>
          <w:szCs w:val="20"/>
          <w:color w:val="auto"/>
        </w:rPr>
      </w:pPr>
      <w:r>
        <w:rPr>
          <w:rFonts w:ascii="Times New Roman" w:cs="Times New Roman" w:eastAsia="Times New Roman" w:hAnsi="Times New Roman"/>
          <w:sz w:val="18"/>
          <w:szCs w:val="18"/>
          <w:color w:val="auto"/>
        </w:rPr>
        <w:t>Our filings are available to be viewed and downloaded free of charge through our investor relations website after we file them with the Securities and Exchange Commission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an Internet website that contains periodic and current reports, proxy statements and other information about issuers, like us, that file electronically with the SEC. The address of that website is www.sec.gov.</w:t>
      </w:r>
    </w:p>
    <w:p>
      <w:pPr>
        <w:spacing w:after="0" w:line="186"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Annual Report on Form 10-K or in any other report or document we file with the SEC, and any references to our websites herein are provided for convenience only and intended to be inactive textual references only.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2"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1"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Our business operations are subject to numerous risks and uncertainties, including those outside of our control, that could cause our business, results of operations, and financial condition to be harmed, including risks regarding the following: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Industry</w:t>
      </w:r>
    </w:p>
    <w:p>
      <w:pPr>
        <w:spacing w:after="0" w:line="58"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increase our customers’ usage of our platform;</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new customers effectively and in a cost-efficient manner;</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increase adoption of our products by new customers, including enterprises;</w:t>
      </w:r>
    </w:p>
    <w:p>
      <w:pPr>
        <w:spacing w:after="0" w:line="59" w:lineRule="exact"/>
        <w:rPr>
          <w:rFonts w:ascii="Times New Roman" w:cs="Times New Roman" w:eastAsia="Times New Roman" w:hAnsi="Times New Roman"/>
          <w:sz w:val="18"/>
          <w:szCs w:val="18"/>
          <w:i w:val="1"/>
          <w:iCs w:val="1"/>
          <w:color w:val="auto"/>
        </w:rPr>
      </w:pPr>
    </w:p>
    <w:p>
      <w:pPr>
        <w:ind w:left="640" w:right="80" w:hanging="313"/>
        <w:spacing w:after="0" w:line="278" w:lineRule="auto"/>
        <w:tabs>
          <w:tab w:leader="none" w:pos="63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develop new products and enhancements that achieve market acceptance and adapt to changing technology, regulations, and industry standards;</w:t>
      </w:r>
    </w:p>
    <w:p>
      <w:pPr>
        <w:ind w:left="640" w:hanging="313"/>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our products with third-party products and ensure they operate effectively;</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global economic and political conditions, including macroeconomic and political uncertainties;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our quarterly results and our ability to meet securities analysts’ and investors’ expectations;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effectively manage our growth and strategic changes to our business;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compete effectively in intensely competitive markets;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evolution of the markets for our products;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history of losses and uncertainty about our future profitability;</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hire, integrate and retain highly skilled personnel;</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and enhance our brand and increase market awareness of our company and products;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disruptions or deterioration in quality of service and connectivity by third-party service providers;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set optimal prices for our products;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international operations;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and achieve the expected benefits of acquisitions, partnerships and investments;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Cybersecurity, Data Privacy and Intellectual Property</w:t>
      </w:r>
    </w:p>
    <w:p>
      <w:pPr>
        <w:spacing w:after="0" w:line="58"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breaches of or incidents impacting our networks or systems, or those of our third-party service providers;</w:t>
      </w:r>
    </w:p>
    <w:p>
      <w:pPr>
        <w:spacing w:after="0" w:line="59" w:lineRule="exact"/>
        <w:rPr>
          <w:rFonts w:ascii="Times New Roman" w:cs="Times New Roman" w:eastAsia="Times New Roman" w:hAnsi="Times New Roman"/>
          <w:sz w:val="18"/>
          <w:szCs w:val="18"/>
          <w:i w:val="1"/>
          <w:iCs w:val="1"/>
          <w:color w:val="auto"/>
        </w:rPr>
      </w:pPr>
    </w:p>
    <w:p>
      <w:pPr>
        <w:ind w:left="640" w:right="340" w:hanging="313"/>
        <w:spacing w:after="0" w:line="278" w:lineRule="auto"/>
        <w:tabs>
          <w:tab w:leader="none" w:pos="63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actual or perceived failure to comply with increasingly stringent laws, regulations and obligations relating to privacy, data protection and cybersecurity;</w:t>
      </w:r>
    </w:p>
    <w:p>
      <w:pPr>
        <w:ind w:left="640" w:hanging="313"/>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protect our intellectual property rights;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use of open source software;</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third-party technology and intellectual property;</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use of AI technologies in our platform and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Legal and Regulatory Matters</w:t>
      </w:r>
    </w:p>
    <w:p>
      <w:pPr>
        <w:spacing w:after="0" w:line="58" w:lineRule="exact"/>
        <w:rPr>
          <w:sz w:val="20"/>
          <w:szCs w:val="20"/>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comply with telecommunications-related regulations, and the impact of future legislative or regulatory actions;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line="278" w:lineRule="auto"/>
        <w:tabs>
          <w:tab w:leader="none" w:pos="63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or retain geographical, mobile, regional, local or toll-free numbers and to effectively process requests to port such numbers in a timely manner due to industry regulations;</w:t>
      </w: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federal and state legislation and international laws imposing obligations on the senders of commercial emails;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unwanted, fraudulent or illegal usage of or activity relating to our products;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laws and regulations related to the internet or its infrastructure;</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applicable laws and regulations, including export controls, economic sanctions, customs and anti-corruption regulations;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standards imposed by private entities and inbox service providers that interfere with the effectiveness of our platform;</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legal proceedings or claims against 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Financial and Accounting Matters</w:t>
      </w:r>
    </w:p>
    <w:p>
      <w:pPr>
        <w:spacing w:after="0" w:line="58"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exposure to foreign currency exchange rate fluctuations;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substantial indebtedness that may decrease our business flexibility;</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additional capital to support our business and its availability on acceptable terms;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accuracy of our metrics, and assumptions and estimates used to calculate them;</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accuracy of our estimates and judgments related to our critical accounting policies;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standards that may cause adverse financial reporting fluctuations;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our goodwill or intangible assets could become impaired;</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maintain an effective system of disclosure controls and internal control over financial reporting;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Tax Matters</w:t>
      </w:r>
    </w:p>
    <w:p>
      <w:pPr>
        <w:spacing w:after="0" w:line="58"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use our net operating losses and certain other tax attributes to offset future taxable income and taxes;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additional tax liabilities or potentially adverse tax consequences of our global operations and structure;</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rules and regulations;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Ownership of Our Common Stock</w:t>
      </w:r>
    </w:p>
    <w:p>
      <w:pPr>
        <w:spacing w:after="0" w:line="58"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volatility of the trading price of our common stock;</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decline in the market price of our common stock due to substantial future sales of shares;</w:t>
      </w:r>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we may not realize the anticipated long-term stockholder value of our share repurchase programs;</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securities or industry analysts changing their recommendations regarding our common stock;</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anti-takeover provisions contained in our governing documents and the exclusive forum provision in our bylaws;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Risks</w:t>
      </w:r>
    </w:p>
    <w:p>
      <w:pPr>
        <w:spacing w:after="0" w:line="58" w:lineRule="exact"/>
        <w:rPr>
          <w:sz w:val="20"/>
          <w:szCs w:val="20"/>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occurrence of natural catastrophic events and other events beyond our control; and</w:t>
      </w:r>
    </w:p>
    <w:p>
      <w:pPr>
        <w:spacing w:after="0" w:line="59"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environmental, social and governance (“ESG”) matters.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0" w:lineRule="exact"/>
        <w:rPr>
          <w:sz w:val="20"/>
          <w:szCs w:val="20"/>
          <w:color w:val="auto"/>
        </w:rPr>
      </w:pPr>
    </w:p>
    <w:p>
      <w:pPr>
        <w:ind w:right="1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our customers terminate or reduce their usage of our products, our business, results of operations and financial condition would be adversely affected.</w:t>
      </w:r>
    </w:p>
    <w:p>
      <w:pPr>
        <w:spacing w:after="0" w:line="160"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Our revenue grows as customers increase their usage of a product, extend their usage of a product to new applications or adopt a new product that we offer. The majority of our revenue is usage-based, and if our customers do not increase their use of our products or maintain their usage of our products at existing levels,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w:t>
      </w:r>
    </w:p>
    <w:p>
      <w:pPr>
        <w:spacing w:after="0" w:line="185" w:lineRule="exact"/>
        <w:rPr>
          <w:sz w:val="20"/>
          <w:szCs w:val="20"/>
          <w:color w:val="auto"/>
        </w:rPr>
      </w:pPr>
    </w:p>
    <w:p>
      <w:pPr>
        <w:ind w:right="320" w:firstLine="480"/>
        <w:spacing w:after="0" w:line="252" w:lineRule="auto"/>
        <w:rPr>
          <w:sz w:val="20"/>
          <w:szCs w:val="20"/>
          <w:color w:val="auto"/>
        </w:rPr>
      </w:pPr>
      <w:r>
        <w:rPr>
          <w:rFonts w:ascii="Times New Roman" w:cs="Times New Roman" w:eastAsia="Times New Roman" w:hAnsi="Times New Roman"/>
          <w:sz w:val="18"/>
          <w:szCs w:val="18"/>
          <w:color w:val="auto"/>
        </w:rPr>
        <w:t>Customers may terminate or reduce their use of our products, or we may fail to attract new customers, for any number of reasons, including dissatisfaction with our products or with the value proposition of our products, our inability to meet their needs and expectations, our failure to maintain performance, reliability, security, integrity or availability of our products and infrastructure to the satisfaction of our customers, or customers’ use of competitors’ products. For example, prior instances of disruptions in our cloud communications platform have impacted our customers’ ability to use products on our platform for up to several hours at a time. Issues with our products have had, and in the future may have, an adverse impact on customer satisfaction and our ability to retain or attract customers and have caused, and may in the future cause, us to incur certain costs associated with offering credits to our affected customers.</w:t>
      </w:r>
    </w:p>
    <w:p>
      <w:pPr>
        <w:spacing w:after="0" w:line="18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Additionally, we believe our ability to provide customers with high-quality, effective customer support services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 Moreover, even if we succeed in providing and maintaining high-quality customer support, there is no guarantee that it will generate increased customer usage of our products or lead to long-term or meaningful customer retention.</w:t>
      </w:r>
    </w:p>
    <w:p>
      <w:pPr>
        <w:spacing w:after="0" w:line="192"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Customer usage of our products depends on factors generally outside of our control, so it is difficult to accurately predict customers’ usage levels. Our Dollar-Based Net Expansion Rate may decline for a number of reasons, including if customers are not satisfied with our products and related customer service experience, the value proposition of our products or our ability to meet their needs and expectations, due to reductions in customers’ budgets or as a result of adverse macroeconomic conditions. If we lose customers, or if our customers reduce their usage levels of our products, our business, results of operations and financial condition could be adversely affected.</w:t>
      </w:r>
    </w:p>
    <w:p>
      <w:pPr>
        <w:spacing w:after="0" w:line="182" w:lineRule="exact"/>
        <w:rPr>
          <w:sz w:val="20"/>
          <w:szCs w:val="20"/>
          <w:color w:val="auto"/>
        </w:rPr>
      </w:pPr>
    </w:p>
    <w:p>
      <w:pPr>
        <w:ind w:right="2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our sales and marketing efforts do not attract new customers or we are unable to sell additional products to our existing customers effectively and in a cost-efficient manner, our business, results of operations and financial condition would be adversely affected.</w:t>
      </w:r>
    </w:p>
    <w:p>
      <w:pPr>
        <w:spacing w:after="0" w:line="146"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8"/>
          <w:szCs w:val="18"/>
          <w:color w:val="auto"/>
        </w:rPr>
        <w:t>To grow our business, we must continue to attract new customers, increase usage of our existing products and new product adoption by existing customers, and successfully market new products, including products with higher gross margins, in a cost-effective manner. Our sales and marketing teams work closely together to drive awareness and adoption of our platform. We leverage our brand, marketing programs, developer network and conferences, such as SIGNAL, to expand our go-</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to-market motions. Our go-to-market model has three motions: our self-service platform, primarily aimed at developers, marketers, and other technical users; our direct sales motion, primarily aimed at enterprise and commercial customers; and our partner-led motion, including resellers, distributors, and strategic partners, such as independent software vendors, technology partners and systems integrators, which is primarily aimed at customers who do not have the available developer resources to build their own applications. If the costs of the marketing channels we use increase, then we may choose to use alternative or less expensive channels, which may not be as effective as the channels we currently use. We have made in the past, and may make in the future, significant expenditures and investments of time and resources in new marketing campaigns and sales motions, and changes to the organization of our sales force, and we cannot guarantee that any such investments or changes will lead to wider adoption of our products or to the cost-effective acquisition of additional customers or increased revenue from existing customers as quickly or to the extent that we expect, or at all. In addition, new products that we develop or markets that we pursue may require increasingly sophisticated and more costly sales efforts and result in a longer sales cycle. If we are unable to maintain effective sales and marketing programs, our ability to efficiently attract new customers and increase revenue from existing customers could be adversely affected.</w:t>
      </w:r>
    </w:p>
    <w:p>
      <w:pPr>
        <w:spacing w:after="0" w:line="208"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8"/>
          <w:szCs w:val="18"/>
          <w:color w:val="auto"/>
        </w:rPr>
        <w:t>In addition, in recent years, we have reduced the size of our sales force to drive further efficiencies in our sales operations. With a more streamlined workforce, we are continuing to improve and rely more heavily on our use of self-service capabilities to drive sales of our products to customers that do not require direct account coverage. Additionally, we are introducing AI and automation in our self-service platform aimed at improving sales and customer support. Our self-service capabilities may not be as effective as we anticipate in driving adoption or increased usage of our products, or may take longer than we expect to drive growth.</w:t>
      </w:r>
    </w:p>
    <w:p>
      <w:pPr>
        <w:spacing w:after="0" w:line="210" w:lineRule="exact"/>
        <w:rPr>
          <w:sz w:val="20"/>
          <w:szCs w:val="20"/>
          <w:color w:val="auto"/>
        </w:rPr>
      </w:pPr>
    </w:p>
    <w:p>
      <w:pPr>
        <w:ind w:right="740" w:firstLine="480"/>
        <w:spacing w:after="0" w:line="291" w:lineRule="auto"/>
        <w:rPr>
          <w:sz w:val="20"/>
          <w:szCs w:val="20"/>
          <w:color w:val="auto"/>
        </w:rPr>
      </w:pPr>
      <w:r>
        <w:rPr>
          <w:rFonts w:ascii="Times New Roman" w:cs="Times New Roman" w:eastAsia="Times New Roman" w:hAnsi="Times New Roman"/>
          <w:sz w:val="17"/>
          <w:szCs w:val="17"/>
          <w:color w:val="auto"/>
        </w:rPr>
        <w:t>If our efforts to increase the adoption and usage of our products or sell additional products to existing customers are more expensive or time-consuming than we expect or otherwise ineffective, then our business, results of operations and financial condition would be adversely affected.</w:t>
      </w:r>
    </w:p>
    <w:p>
      <w:pPr>
        <w:spacing w:after="0" w:line="149" w:lineRule="exact"/>
        <w:rPr>
          <w:sz w:val="20"/>
          <w:szCs w:val="20"/>
          <w:color w:val="auto"/>
        </w:rPr>
      </w:pPr>
    </w:p>
    <w:p>
      <w:pPr>
        <w:ind w:right="2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increase adoption of our products by new customers, including enterprises, our business, results of operations and financial condition may be adversely affected.</w:t>
      </w:r>
    </w:p>
    <w:p>
      <w:pPr>
        <w:spacing w:after="0" w:line="146" w:lineRule="exact"/>
        <w:rPr>
          <w:sz w:val="20"/>
          <w:szCs w:val="20"/>
          <w:color w:val="auto"/>
        </w:rPr>
      </w:pPr>
    </w:p>
    <w:p>
      <w:pPr>
        <w:ind w:right="120" w:firstLine="480"/>
        <w:spacing w:after="0" w:line="261" w:lineRule="auto"/>
        <w:rPr>
          <w:sz w:val="20"/>
          <w:szCs w:val="20"/>
          <w:color w:val="auto"/>
        </w:rPr>
      </w:pPr>
      <w:r>
        <w:rPr>
          <w:rFonts w:ascii="Times New Roman" w:cs="Times New Roman" w:eastAsia="Times New Roman" w:hAnsi="Times New Roman"/>
          <w:sz w:val="18"/>
          <w:szCs w:val="18"/>
          <w:color w:val="auto"/>
        </w:rPr>
        <w:t>Historically, a majority of our Active Customer Accounts have been acquired through the adoption of our Communications API products by software developers using our self-service model.</w:t>
      </w:r>
    </w:p>
    <w:p>
      <w:pPr>
        <w:spacing w:after="0" w:line="177" w:lineRule="exact"/>
        <w:rPr>
          <w:sz w:val="20"/>
          <w:szCs w:val="20"/>
          <w:color w:val="auto"/>
        </w:rPr>
      </w:pPr>
    </w:p>
    <w:p>
      <w:pPr>
        <w:ind w:right="60" w:firstLine="480"/>
        <w:spacing w:after="0" w:line="238" w:lineRule="auto"/>
        <w:rPr>
          <w:sz w:val="20"/>
          <w:szCs w:val="20"/>
          <w:color w:val="auto"/>
        </w:rPr>
      </w:pPr>
      <w:r>
        <w:rPr>
          <w:rFonts w:ascii="Times New Roman" w:cs="Times New Roman" w:eastAsia="Times New Roman" w:hAnsi="Times New Roman"/>
          <w:sz w:val="18"/>
          <w:szCs w:val="18"/>
          <w:color w:val="auto"/>
        </w:rPr>
        <w:t>As our platform and market evolves and we seek to increase our customer base and achieve broader market acceptance of our products, we must effectively adapt our sales motions and navigate challenges presented by these customers and markets. In addition to continuing to improve our self-service platform aimed at developers, marketers, and other technical users, we are also focusing increasingly on sales to enterprises, such as through our Segment product, which is primarily aimed at complex customer data platform implementations at larger companies, and additional product innovations combining our communications products with contextual data and AI. As we seek to increase the adoption of our products by enterprises, we expect to encounter higher costs and more complex sales efforts for these customers.</w:t>
      </w:r>
    </w:p>
    <w:p>
      <w:pPr>
        <w:spacing w:after="0" w:line="209" w:lineRule="exact"/>
        <w:rPr>
          <w:sz w:val="20"/>
          <w:szCs w:val="20"/>
          <w:color w:val="auto"/>
        </w:rPr>
      </w:pPr>
    </w:p>
    <w:p>
      <w:pPr>
        <w:ind w:right="140" w:firstLine="480"/>
        <w:spacing w:after="0" w:line="238" w:lineRule="auto"/>
        <w:rPr>
          <w:sz w:val="20"/>
          <w:szCs w:val="20"/>
          <w:color w:val="auto"/>
        </w:rPr>
      </w:pPr>
      <w:r>
        <w:rPr>
          <w:rFonts w:ascii="Times New Roman" w:cs="Times New Roman" w:eastAsia="Times New Roman" w:hAnsi="Times New Roman"/>
          <w:sz w:val="18"/>
          <w:szCs w:val="18"/>
          <w:color w:val="auto"/>
        </w:rPr>
        <w:t>Our ability to expand our customer base, including among enterprises, and to succeed in evolving markets will also depend, in part, on our ability to effectively attract and retain sales employees with relevant experience and organize, focus and train our sales, marketing and other employees. We have made, and may in the future make, changes to the organization of our sales force and sales motions in response to changes in company strategy, new market opportunities, new products or features, sales performance or effectiveness, changes in sales headcount, changes to the compensation structure of our sales organization, or other factors. Such changes have resulted, and may in the future result, in a reduction of productivity, which could negatively impact our growth rate and results of operations.</w:t>
      </w:r>
    </w:p>
    <w:p>
      <w:pPr>
        <w:spacing w:after="0" w:line="209" w:lineRule="exact"/>
        <w:rPr>
          <w:sz w:val="20"/>
          <w:szCs w:val="20"/>
          <w:color w:val="auto"/>
        </w:rPr>
      </w:pPr>
    </w:p>
    <w:p>
      <w:pPr>
        <w:ind w:right="160" w:firstLine="480"/>
        <w:spacing w:after="0" w:line="248" w:lineRule="auto"/>
        <w:rPr>
          <w:sz w:val="20"/>
          <w:szCs w:val="20"/>
          <w:color w:val="auto"/>
        </w:rPr>
      </w:pPr>
      <w:r>
        <w:rPr>
          <w:rFonts w:ascii="Times New Roman" w:cs="Times New Roman" w:eastAsia="Times New Roman" w:hAnsi="Times New Roman"/>
          <w:sz w:val="17"/>
          <w:szCs w:val="17"/>
          <w:color w:val="auto"/>
        </w:rPr>
        <w:t>For enterprises, the decision to adopt our products may require the approval of multiple technical and business decision makers, including legal, security, compliance, procurement, operations and information technology (“IT”). In addition, while enterprise customers may quickly deploy our products on a limited basis, before they will commit to deploying our products at scale, they often require extensive education about our products and significant customer support time and also engage in protracted pricing and contract negotiations, which may result in higher costs and longer sales cycles. In addition, some enterprise customers may not use our products enough for us to generate revenue that justifies our cost to obtain such customers. These complex and resource-intensive sales efforts could place additional strain on our product and engineering resources. Further, enterprises, including some of our existing customers or partners,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 If we are unable to successfully navigate the challenges posed by enterprise customers, our ability to acquire or benefit from enterprise customer relationships may be undermined and our business, results of operations and financial condition may be adversely affected.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our ability to develop new products and product enhancements that achieve market acceptance, as well as adapt and respond effectively to rapidly changing technology, regulations, and industry standards.</w:t>
      </w:r>
    </w:p>
    <w:p>
      <w:pPr>
        <w:spacing w:after="0" w:line="146" w:lineRule="exact"/>
        <w:rPr>
          <w:sz w:val="20"/>
          <w:szCs w:val="20"/>
          <w:color w:val="auto"/>
        </w:rPr>
      </w:pPr>
    </w:p>
    <w:p>
      <w:pPr>
        <w:ind w:right="180" w:firstLine="480"/>
        <w:spacing w:after="0" w:line="258" w:lineRule="auto"/>
        <w:rPr>
          <w:sz w:val="20"/>
          <w:szCs w:val="20"/>
          <w:color w:val="auto"/>
        </w:rPr>
      </w:pPr>
      <w:r>
        <w:rPr>
          <w:rFonts w:ascii="Times New Roman" w:cs="Times New Roman" w:eastAsia="Times New Roman" w:hAnsi="Times New Roman"/>
          <w:sz w:val="17"/>
          <w:szCs w:val="17"/>
          <w:color w:val="auto"/>
        </w:rPr>
        <w:t>Our ability to attract new customers and increase revenue from existing customers depends in large part on our ability to enhance and improve our existing products and to introduce compelling new products and enhancements that reflect the changing nature of our markets, technology, industry standards, and customer needs and preferences. For example, we are focused on continued product innovations to combine our communications products with contextual data and AI in order to address evolving customer needs and expectations. The success of any enhancements or new products we introduce</w:t>
      </w:r>
    </w:p>
    <w:p>
      <w:pPr>
        <w:jc w:val="both"/>
        <w:ind w:right="180"/>
        <w:spacing w:after="0" w:line="247" w:lineRule="auto"/>
        <w:rPr>
          <w:sz w:val="20"/>
          <w:szCs w:val="20"/>
          <w:color w:val="auto"/>
        </w:rPr>
      </w:pPr>
      <w:r>
        <w:rPr>
          <w:rFonts w:ascii="Times New Roman" w:cs="Times New Roman" w:eastAsia="Times New Roman" w:hAnsi="Times New Roman"/>
          <w:sz w:val="17"/>
          <w:szCs w:val="17"/>
          <w:color w:val="auto"/>
        </w:rPr>
        <w:t>depends on several factors, including timely completion, adequate quality testing, actual performance quality, market-accepted pricing levels, the ability to provide rapid time-to-value for our customers,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w:t>
      </w:r>
    </w:p>
    <w:p>
      <w:pPr>
        <w:spacing w:after="0" w:line="2"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18"/>
          <w:szCs w:val="18"/>
          <w:color w:val="auto"/>
        </w:rPr>
        <w:t>Furthermore, our ability to increase the usage of our products depends, in part, on the development of new use cases for our products, which is at times driven by our developer community and may be outside of our control.</w:t>
      </w:r>
    </w:p>
    <w:p>
      <w:pPr>
        <w:spacing w:after="0" w:line="195"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17"/>
          <w:szCs w:val="17"/>
          <w:color w:val="auto"/>
        </w:rPr>
        <w:t>The current and prospective markets for our products are subject to rapid technological change, evolving industry standards, and changing regulations, as well as changing customer needs, requirements and preferences. These are all uncertain and we cannot predict the consequences, effects, or introduction of new, disruptive, emerging technologies or the manner and pace at which our markets develop over time, and our ability to compete in these markets depends on predicting and adapting to these changing circumstances to meet current and prospective customer needs. The success of our business will depend, in part, on our ability to adapt and respond effectively to these changes on a timely basis, and anticipating these factors requires that we allocate significant resources without any guarantee that any such investments and efforts will result in increased adoption of our products in the marketplace. For example, with the development of next-generation solutions that utilize new and advanced features, including AI and ML, we have committed, and expect to continue to commit, significant resources to developing new products and enhancements and there is no guarantee that our investments and efforts will result in wider adoption of our products in the marketplace. If new technologies emerge that are able to deliver competitive products and services at lower prices, or more efficiently, quickly, conveniently or securely, or if new products are introduced into the market that could render our existing products obsolete, such technologies and products could adversely impact our ability to compete effectively and may lead to customers reducing or terminating their usage of our products. For example, if user authentication practices evolve to reduce or eliminate the use of one-time passwords, our revenue could be adversely affected.</w:t>
      </w:r>
    </w:p>
    <w:p>
      <w:pPr>
        <w:spacing w:after="0" w:line="175"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If we are unable to successfully and cost-effectively increase adoption and usage of our existing products, develop and drive adoption of new products, anticipate and keep pace with changes in technology, customers’ needs and expectations, and industry standards, or provide rapid time-to-value to our current and prospective customers, our business, results of operations and financial condition would be adversely affected.</w:t>
      </w:r>
    </w:p>
    <w:p>
      <w:pPr>
        <w:spacing w:after="0" w:line="172" w:lineRule="exact"/>
        <w:rPr>
          <w:sz w:val="20"/>
          <w:szCs w:val="20"/>
          <w:color w:val="auto"/>
        </w:rPr>
      </w:pPr>
    </w:p>
    <w:p>
      <w:pPr>
        <w:ind w:right="1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depends, in part, on our ability to integrate them with third-party products used by us or our customers and to ensure that they operate effectively with evolving platforms and technologies.</w:t>
      </w:r>
    </w:p>
    <w:p>
      <w:pPr>
        <w:spacing w:after="0" w:line="160"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The providers of third-party products with which our products are integrated may modify the features, functionality, pricing, and other terms and conditions with respect to such products in a manner adverse to us and to our customers. If we are unable to maintain the integrations between our products and such third-party products, our ability to meet the needs and expectations of our customers could be adversely affected, which could adversely affect our business. Our platform must integrate with and leverage a variety of infrastructure, network, hardware, mobile and software platforms and technologies, and we need to continuously modify and enhance our products and platform to adapt to changes and innovation in these technologies. For example, last year we launched a new channel using Rich Communication Services (“RCS”) and we are working on a channel for Apple Messages for Business. We are also focused on Segment’s interoperability across the data ecosystem. Third-party platforms may also implement changes to their policies or practices regarding privacy or other matters that may adversely impact us or our customers. In addition, our network service providers, mobile device operating system providers or inbox service providers may adopt new filtering technologies in an effort to combat spam or robocalling. For example, Apple, Google, Yahoo and other mobile device operating system providers or inbox service providers have developed, and may in the future develop, new applications or functions intended to filter spam and unwanted phone calls, messages or emails. Such technologies may inadvertently filter desired messages or calls to or from our customers. If mobile device operating system providers, inbox service providers or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99" w:lineRule="exact"/>
        <w:rPr>
          <w:sz w:val="20"/>
          <w:szCs w:val="20"/>
          <w:color w:val="auto"/>
        </w:rPr>
      </w:pPr>
    </w:p>
    <w:p>
      <w:pPr>
        <w:ind w:right="1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macroeconomic and political uncertainties, have had, and may continue to have, an adverse impact on our business, results of operations and financial condition.</w:t>
      </w:r>
    </w:p>
    <w:p>
      <w:pPr>
        <w:spacing w:after="0" w:line="173"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7"/>
          <w:szCs w:val="17"/>
          <w:color w:val="auto"/>
        </w:rPr>
        <w:t>Global economic and business activities continue to face widespread macroeconomic uncertainties, including changes in the labor market and supply chain disruptions, inflation and monetary supply shifts, volatility in the banking and financial services sectors, and recession risks, which may continue for an extended period. Additionally, the instability in the geopolitical environment in many parts of the world, changes in public policy, international trade relations, actual or potential tariffs, and other disruptions to global and regional economies and markets may continue to cause or exacerbate uncertain economic conditions. Given that a majority of our revenue is usage-based and impacted by general consumer sentiment and activity, our business may be more immediately and severely impacted by adverse macroeconomic conditions than those that rely primarily on subscription revenue.</w:t>
      </w:r>
    </w:p>
    <w:p>
      <w:pPr>
        <w:spacing w:after="0" w:line="186" w:lineRule="exact"/>
        <w:rPr>
          <w:sz w:val="20"/>
          <w:szCs w:val="20"/>
          <w:color w:val="auto"/>
        </w:rPr>
      </w:pPr>
    </w:p>
    <w:p>
      <w:pPr>
        <w:ind w:right="40" w:firstLine="480"/>
        <w:spacing w:after="0" w:line="269" w:lineRule="auto"/>
        <w:rPr>
          <w:sz w:val="20"/>
          <w:szCs w:val="20"/>
          <w:color w:val="auto"/>
        </w:rPr>
      </w:pPr>
      <w:r>
        <w:rPr>
          <w:rFonts w:ascii="Times New Roman" w:cs="Times New Roman" w:eastAsia="Times New Roman" w:hAnsi="Times New Roman"/>
          <w:sz w:val="17"/>
          <w:szCs w:val="17"/>
          <w:color w:val="auto"/>
        </w:rPr>
        <w:t>Adverse macroeconomic conditions have resulted in, and may continue to result in, decreased or delayed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negatively affect revenue and revenue growth. Additionally, changes in the U.S. political environment could lead to changes in macroeconomic conditions and to the legal and regulatory environment in the United States and globally, including changes to international trade relations, economic and monetary policies or other legislation, regulations, executive orders, directives or enforcement priorities, any of which could have an adverse impact on the global economy and/or our business.</w:t>
      </w:r>
    </w:p>
    <w:p>
      <w:pPr>
        <w:spacing w:after="0" w:line="174"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If customers fail to pay us or reduce their spending with us as a result of adverse macroeconomic or geopolitical conditions or otherwise, we may be required to take steps to enforce the terms of our contracts and collect amounts due, including through litigation, which could increase our operating expenses. For example, in February 2023, one of our customers, Oi SA, a Brazilian telecom company, initiated reorganization proceedings in a Brazilian bankruptcy court as well as a secondary proceeding under Chapter 15 in the United States and exposed us to risks on collections of pre-petition receivables and ongoing revenue, as detailed in Part II, Item 7, “Management’s Discussion and Analysis of Financial Condition and Results of Operations—Factors Affecting Our Results of Operations.” If macroeconomic and geopolitical conditions and uncertainties adversely affect our business and the businesses of our current and prospective customers, our results of operations and financial condition may continue to be harmed, and many of the other risks described in this “Risk Factors” section will be exacerbated.</w:t>
      </w:r>
    </w:p>
    <w:p>
      <w:pPr>
        <w:spacing w:after="0" w:line="186" w:lineRule="exact"/>
        <w:rPr>
          <w:sz w:val="20"/>
          <w:szCs w:val="20"/>
          <w:color w:val="auto"/>
        </w:rPr>
      </w:pPr>
    </w:p>
    <w:p>
      <w:pPr>
        <w:ind w:right="2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of operations have fluctuated in the past and may continue to do so in the future. As a result, we may fail to meet securities analysts’ and investors’ expectations, which could cause the price of our common stock to decline.</w:t>
      </w:r>
    </w:p>
    <w:p>
      <w:pPr>
        <w:spacing w:after="0" w:line="146"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8"/>
          <w:szCs w:val="18"/>
          <w:color w:val="auto"/>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experience declines. In addition to the other risks described in this “Risk Factors” section, some of the factors that may result in fluctuations to our results of operations include:</w:t>
      </w:r>
    </w:p>
    <w:p>
      <w:pPr>
        <w:spacing w:after="0" w:line="196" w:lineRule="exact"/>
        <w:rPr>
          <w:sz w:val="20"/>
          <w:szCs w:val="20"/>
          <w:color w:val="auto"/>
        </w:rPr>
      </w:pPr>
    </w:p>
    <w:p>
      <w:pPr>
        <w:ind w:left="960" w:hanging="313"/>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pricing of, or usage of, our products;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features and enhancements;</w:t>
      </w:r>
    </w:p>
    <w:p>
      <w:pPr>
        <w:spacing w:after="0" w:line="219" w:lineRule="exact"/>
        <w:rPr>
          <w:rFonts w:ascii="Times New Roman" w:cs="Times New Roman" w:eastAsia="Times New Roman" w:hAnsi="Times New Roman"/>
          <w:sz w:val="18"/>
          <w:szCs w:val="18"/>
          <w:color w:val="auto"/>
        </w:rPr>
      </w:pPr>
    </w:p>
    <w:p>
      <w:pPr>
        <w:ind w:left="960" w:right="440" w:hanging="313"/>
        <w:spacing w:after="0" w:line="277"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new customers, obtain renewals from existing customers and cross-sell or otherwise increase revenue from existing customers;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automate, and leverage more of our self-service capabilities for customers;</w:t>
      </w:r>
    </w:p>
    <w:p>
      <w:pPr>
        <w:spacing w:after="0" w:line="219" w:lineRule="exact"/>
        <w:rPr>
          <w:rFonts w:ascii="Times New Roman" w:cs="Times New Roman" w:eastAsia="Times New Roman" w:hAnsi="Times New Roman"/>
          <w:sz w:val="18"/>
          <w:szCs w:val="18"/>
          <w:color w:val="auto"/>
        </w:rPr>
      </w:pPr>
    </w:p>
    <w:p>
      <w:pPr>
        <w:ind w:left="960" w:right="380" w:hanging="313"/>
        <w:spacing w:after="0" w:line="277"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relationships with resellers, distributors, and strategic partners, including independent software vendors, technology partners, and systems integrators;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customer base and the markets that our products address;</w:t>
      </w:r>
    </w:p>
    <w:p>
      <w:pPr>
        <w:spacing w:after="0" w:line="219" w:lineRule="exact"/>
        <w:rPr>
          <w:rFonts w:ascii="Times New Roman" w:cs="Times New Roman" w:eastAsia="Times New Roman" w:hAnsi="Times New Roman"/>
          <w:sz w:val="18"/>
          <w:szCs w:val="18"/>
          <w:color w:val="auto"/>
        </w:rPr>
      </w:pPr>
    </w:p>
    <w:p>
      <w:pPr>
        <w:ind w:left="960" w:right="260" w:hanging="313"/>
        <w:spacing w:after="0" w:line="277"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combine our communications products with contextual data and AI and introduce compelling new products and enhancements that address the changing nature of our markets and customer needs and preferences;</w:t>
      </w:r>
    </w:p>
    <w:p>
      <w:pPr>
        <w:spacing w:after="0" w:line="162" w:lineRule="exact"/>
        <w:rPr>
          <w:rFonts w:ascii="Times New Roman" w:cs="Times New Roman" w:eastAsia="Times New Roman" w:hAnsi="Times New Roman"/>
          <w:sz w:val="18"/>
          <w:szCs w:val="18"/>
          <w:color w:val="auto"/>
        </w:rPr>
      </w:pPr>
    </w:p>
    <w:p>
      <w:pPr>
        <w:ind w:left="960" w:right="360" w:hanging="313"/>
        <w:spacing w:after="0" w:line="277"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the actions of our competitors, including pricing changes and the introduction of new technologies, products, services and geographies;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or incidents impacting our platform, or interruptions to the delivery and use of our products;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cloud infrastructure, network services and other third-party technology, including the fees charged by their providers;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the productivity of our sales force;</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complexity of the sales cycle for certain of our products or customers;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products that our customers use during a particular period;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trends in consumer activity;</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or amount of products sold in the United States versus internationally;</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operations and expansion of our business;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payments and our ability to collect accounts receivable from customers;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existing employees;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mergers, acquisitions, dispositions, or other strategic transactions;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and our ability to effectively hedge our foreign currency exposure;</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other dispute-related settlement payments;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industry standards and regulations that affect our business;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heightened inflation or interest rates, and geopolitical uncertainty or instability.</w:t>
      </w:r>
    </w:p>
    <w:p>
      <w:pPr>
        <w:spacing w:after="0" w:line="233"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8"/>
          <w:szCs w:val="18"/>
          <w:color w:val="auto"/>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could face costly lawsuits, including securities class action suits, which, in turn, could harm our business, results of operations and financial condition.</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and strategic changes to our business, then our business, results of operations and financial condition could be adversely affected.</w:t>
      </w:r>
    </w:p>
    <w:p>
      <w:pPr>
        <w:spacing w:after="0" w:line="160"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have experienced substantial growth in our business and operations, which has placed, and may continue to place, significant demands on our management, operational and financial resources and systems, especially as we continue to focus on 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To manage our current and anticipated future growth effectively, we must continue to improve our operational, financial and management controls as well as our reporting systems and procedures, which has required, and will continue to require, us to commit substantial financial, operational, and technical resources.</w:t>
      </w:r>
    </w:p>
    <w:p>
      <w:pPr>
        <w:spacing w:after="0" w:line="199"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8"/>
          <w:szCs w:val="18"/>
          <w:color w:val="auto"/>
        </w:rPr>
        <w:t>As part of our growth strategy, we have in the past reorganized, and may in the future reorganize, our business or change our reporting structure, which requires significant expenditures, allocation of valuable management resources and significant demands on our operational and financial infrastructure. Any anticipated benefits from any restructuring initiatives we may take may be realized later than expected or not at all, and the ongoing costs of implementing these measures may be greater than anticipated. Additionally, if we are unable to maintain reliable service levels for our customers or if the level of efficiency in our organization suffers as we grow and transform our business and operating model, then our business, results of operations and financial condition could also be adversely affected.</w:t>
      </w:r>
    </w:p>
    <w:p>
      <w:pPr>
        <w:spacing w:after="0" w:line="223" w:lineRule="exact"/>
        <w:rPr>
          <w:sz w:val="20"/>
          <w:szCs w:val="20"/>
          <w:color w:val="auto"/>
        </w:rPr>
      </w:pPr>
    </w:p>
    <w:p>
      <w:pPr>
        <w:ind w:right="400" w:firstLine="480"/>
        <w:spacing w:after="0" w:line="254" w:lineRule="auto"/>
        <w:rPr>
          <w:sz w:val="20"/>
          <w:szCs w:val="20"/>
          <w:color w:val="auto"/>
        </w:rPr>
      </w:pPr>
      <w:r>
        <w:rPr>
          <w:rFonts w:ascii="Times New Roman" w:cs="Times New Roman" w:eastAsia="Times New Roman" w:hAnsi="Times New Roman"/>
          <w:sz w:val="18"/>
          <w:szCs w:val="18"/>
          <w:color w:val="auto"/>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spacing w:after="0" w:line="182" w:lineRule="exact"/>
        <w:rPr>
          <w:sz w:val="20"/>
          <w:szCs w:val="20"/>
          <w:color w:val="auto"/>
        </w:rPr>
      </w:pPr>
    </w:p>
    <w:p>
      <w:pPr>
        <w:ind w:right="64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intensely competitive, and if we do not compete effectively, our business, results of operations and financial condition could be harmed.</w:t>
      </w:r>
    </w:p>
    <w:p>
      <w:pPr>
        <w:spacing w:after="0" w:line="160" w:lineRule="exact"/>
        <w:rPr>
          <w:sz w:val="20"/>
          <w:szCs w:val="20"/>
          <w:color w:val="auto"/>
        </w:rPr>
      </w:pPr>
    </w:p>
    <w:p>
      <w:pPr>
        <w:ind w:right="260" w:firstLine="480"/>
        <w:spacing w:after="0" w:line="251" w:lineRule="auto"/>
        <w:rPr>
          <w:sz w:val="20"/>
          <w:szCs w:val="20"/>
          <w:color w:val="auto"/>
        </w:rPr>
      </w:pPr>
      <w:r>
        <w:rPr>
          <w:rFonts w:ascii="Times New Roman" w:cs="Times New Roman" w:eastAsia="Times New Roman" w:hAnsi="Times New Roman"/>
          <w:sz w:val="18"/>
          <w:szCs w:val="18"/>
          <w:color w:val="auto"/>
        </w:rPr>
        <w:t>The current and prospective markets for our products are rapidly evolving, significantly fragmented and highly competitive, with relatively low barriers to entry in some segments. The principal competitive factors these markets include completeness of offering, credibility with customers, ability to differentiate our products against competing offerings,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Our competitors are primarily (i) CPaaS companies that offer communications products and applications, (ii) other software companies that compete with portions of our communications product line, (iii) regional network service providers that offer limited developer functionality on top of their own physical infrastructure, (iv) customer relationship management and customer experience vendors and (v) standalone customer data platform vendors.</w:t>
      </w:r>
    </w:p>
    <w:p>
      <w:pPr>
        <w:spacing w:after="0" w:line="190"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have in the past and may in the future develop and market products and services with comparable functionality to our products, and this could lead us to decrease prices in order to remain competitive.</w:t>
      </w:r>
    </w:p>
    <w:p>
      <w:pPr>
        <w:spacing w:after="0" w:line="185"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40" w:firstLine="480"/>
        <w:spacing w:after="0" w:line="277" w:lineRule="auto"/>
        <w:rPr>
          <w:sz w:val="20"/>
          <w:szCs w:val="20"/>
          <w:color w:val="auto"/>
        </w:rPr>
      </w:pPr>
      <w:r>
        <w:rPr>
          <w:rFonts w:ascii="Times New Roman" w:cs="Times New Roman" w:eastAsia="Times New Roman" w:hAnsi="Times New Roman"/>
          <w:sz w:val="17"/>
          <w:szCs w:val="17"/>
          <w:color w:val="auto"/>
        </w:rPr>
        <w:t>Our business, results of operations and financial condition also depends, in part, on our ability to establish, maintain and expand relationships through resellers, distributors, and strategic partners, including independent software vendors, technology partners and systems integrators. A portion of our revenue is derived from sales made by these partners and any one of them may later decide to sell their own products or those of third parties that may be competitive with our products. A loss or reduction in sales of our products through these third parties could adversely affect our revenue and other results of operations.</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products continue to evolve and may decline or experience limited growth.</w:t>
      </w:r>
    </w:p>
    <w:p>
      <w:pPr>
        <w:spacing w:after="0" w:line="224"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The markets for our products continue to evolve, which makes our business and future prospects difficult to evaluate. If current and prospective customers do not recognize the need for and benefits of our products and platform, they may decide to adopt alternative products and services to satisfy some portion of their business needs. In order to grow our business and extend our market position, we intend to focus on educating customers about the benefits of our products and platform, expanding and improving the functionality of our products and bringing new technologies to market to increase market acceptance and use of our platform. Our growth will depend, in part, on our ability to expand the markets that our products address and to enter into new markets. Our ability to do so depends upon a number of factors, including the cost, performance and perceived value associated with our products and platform. The markets for our products and platform could fail to grow significantly, or at all, or there could be a reduction in demand for our products as a result of any number of factors, including a lack of customer acceptance, technological challenges, competing products and services, decreases in spending by current and prospective customers, weakening macroeconomic conditions, and other causes. If these markets do not grow or demand for our products decreases, then our business, results of operations and financial condition could be adversely affected.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achieve or sustain profitability in the future.</w:t>
      </w:r>
    </w:p>
    <w:p>
      <w:pPr>
        <w:spacing w:after="0" w:line="224"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We have incurred net losses in each year since our inception, including net losses of $109.4 million, $1.0 billion and $1.3 billion in the years ended December 31, 2024, 2023 and 2022, respectively. We had an accumulated deficit of $7.5 billion as of December 31, 2024. In addition, while we have experienced revenue growth in prior periods, it is not indicative of future revenue growth, and our revenue and revenue growth for any quarterly or annual period should not be relied upon as an indication of our future revenue or revenue growth for any future period. If we are unable to generate and sustain increased revenue levels and manage our operating expenses, we may not become profitable and achieve our stated profitability goals and, even if we do, we may not be able to maintain or increase our level of profitability. As we implement additional initiatives to increase revenue, our operating expenses may continue to rise over the long term, potentially including, among other things: investments in our engineering team; improvements in security and data protection; the development of new products, features and functionality and enhancements to our platform;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if our revenue growth does not meet estimates, we may not be able to offset our associated operating expenses, which could prevent us from achieving and sustaining profitability, or maintaining or increasing cash flow.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common stock may significantly decrease.</w:t>
      </w:r>
    </w:p>
    <w:p>
      <w:pPr>
        <w:spacing w:after="0" w:line="192" w:lineRule="exact"/>
        <w:rPr>
          <w:sz w:val="20"/>
          <w:szCs w:val="20"/>
          <w:color w:val="auto"/>
        </w:rPr>
      </w:pPr>
    </w:p>
    <w:p>
      <w:pPr>
        <w:ind w:right="4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spacing w:after="0" w:line="160"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in the future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financial and operational targets, as well as our corporate culture, employee morale, productivity and retention, could suffer, and our business and operating results would be adversely impacted.</w:t>
      </w:r>
    </w:p>
    <w:p>
      <w:pPr>
        <w:spacing w:after="0" w:line="187" w:lineRule="exact"/>
        <w:rPr>
          <w:sz w:val="20"/>
          <w:szCs w:val="20"/>
          <w:color w:val="auto"/>
        </w:rPr>
      </w:pPr>
    </w:p>
    <w:p>
      <w:pPr>
        <w:ind w:right="440" w:firstLine="480"/>
        <w:spacing w:after="0" w:line="277" w:lineRule="auto"/>
        <w:rPr>
          <w:sz w:val="20"/>
          <w:szCs w:val="20"/>
          <w:color w:val="auto"/>
        </w:rPr>
      </w:pPr>
      <w:r>
        <w:rPr>
          <w:rFonts w:ascii="Times New Roman" w:cs="Times New Roman" w:eastAsia="Times New Roman" w:hAnsi="Times New Roman"/>
          <w:sz w:val="18"/>
          <w:szCs w:val="18"/>
          <w:color w:val="auto"/>
        </w:rPr>
        <w:t>Any of our executive officers may terminate employment with us at any time with no advance notice. We have experienced, and may continue to experience, high attrition among our senior management team and key employees. The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replacement of any of our senior management or other key employees will involve significant time and costs, and any loss of services of any such key employee for any reason could significantly delay or prevent the achievement of our business objectives and our financial and operational targets, and could adversely affect our business, results of operations and financial condition.</w:t>
      </w:r>
    </w:p>
    <w:p>
      <w:pPr>
        <w:spacing w:after="0" w:line="176"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Additionally, we have implemented several reductions in workforce and efforts to restructure our business in the past and may in the future implement other reductions in force. Our reductions in force may result in unintended consequences, including employee attrition beyond the intended reduction in force, damage to our corporate culture and decreased employee morale among remaining employees, diversion of management attention, damage to our reputation as an employer, which could make it more difficult for us to hire new employees in the future, delays in meeting our financial and operational targets, and the loss of institutional knowledge and expertise of departing employees.</w:t>
      </w:r>
    </w:p>
    <w:p>
      <w:pPr>
        <w:spacing w:after="0" w:line="186"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w:t>
      </w:r>
    </w:p>
    <w:p>
      <w:pPr>
        <w:spacing w:after="0" w:line="181" w:lineRule="exact"/>
        <w:rPr>
          <w:sz w:val="20"/>
          <w:szCs w:val="20"/>
          <w:color w:val="auto"/>
        </w:rPr>
      </w:pPr>
    </w:p>
    <w:p>
      <w:pPr>
        <w:ind w:right="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60"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87" w:lineRule="exact"/>
        <w:rPr>
          <w:sz w:val="20"/>
          <w:szCs w:val="20"/>
          <w:color w:val="auto"/>
        </w:rPr>
      </w:pPr>
    </w:p>
    <w:p>
      <w:pPr>
        <w:ind w:right="140" w:firstLine="480"/>
        <w:spacing w:after="0" w:line="262" w:lineRule="auto"/>
        <w:rPr>
          <w:sz w:val="20"/>
          <w:szCs w:val="20"/>
          <w:color w:val="auto"/>
        </w:rPr>
      </w:pPr>
      <w:r>
        <w:rPr>
          <w:rFonts w:ascii="Times New Roman" w:cs="Times New Roman" w:eastAsia="Times New Roman" w:hAnsi="Times New Roman"/>
          <w:sz w:val="18"/>
          <w:szCs w:val="18"/>
          <w:color w:val="auto"/>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spacing w:after="0" w:line="172" w:lineRule="exact"/>
        <w:rPr>
          <w:sz w:val="20"/>
          <w:szCs w:val="20"/>
          <w:color w:val="auto"/>
        </w:rPr>
      </w:pPr>
    </w:p>
    <w:p>
      <w:pPr>
        <w:ind w:right="100" w:firstLine="4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To deliver our products, we rely on network service providers and internet service providers for our network service and connectivity, and disruption or deterioration in the quality of these services or changes in provider fees that we pay in connection with the delivery of communications on our platform could adversely affect our business, results of operations and financial condition.</w:t>
      </w:r>
    </w:p>
    <w:p>
      <w:pPr>
        <w:spacing w:after="0" w:line="175"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We currently interconnect with fixed and mobile network service providers around the world to enable our customers to use our products over their networks. Although we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and we can be subject to the imposition of additional fees, penalties, or other administrative or technical requirements, and even service interruption, due to regulatory, competitive, or other industry related changes over which we have little to no control.</w:t>
      </w:r>
    </w:p>
    <w:p>
      <w:pPr>
        <w:spacing w:after="0" w:line="187"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For example, in recent years, multiple major U.S. mobile carriers have introduced A2P SMS service offerings that added a new fee for A2P SMS messages delivered to their respective subscribers, and, from time to time, other U.S. mobile carriers have added similar fees. While we have historically responded to these types of fee increases through a combination of further negotiating efforts with our network service providers, absorbing the increased costs or passing the fees through to customers, there is no guarantee that we will continue to be able to respond in these ways in the future without a material negative impact to our business. We typically do not change our customers’ pricing as rapidly and, as a result, such fee increases could adversely affect our business and results of operations. In addition, passing these fees through to our customers typically has the</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effect of increasing our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81"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such problems have in the past caused, and may in the future cause, errors, service outages, security incidents, or poor-quality communications on our products, and we could encounter difficulty identifying the source of the problem. The occurrence of errors, service outages, security incidents,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87"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86" w:lineRule="exact"/>
        <w:rPr>
          <w:sz w:val="20"/>
          <w:szCs w:val="20"/>
          <w:color w:val="auto"/>
        </w:rPr>
      </w:pPr>
    </w:p>
    <w:p>
      <w:pPr>
        <w:ind w:right="220" w:firstLine="480"/>
        <w:spacing w:after="0" w:line="251" w:lineRule="auto"/>
        <w:rPr>
          <w:sz w:val="20"/>
          <w:szCs w:val="20"/>
          <w:color w:val="auto"/>
        </w:rPr>
      </w:pPr>
      <w:r>
        <w:rPr>
          <w:rFonts w:ascii="Times New Roman" w:cs="Times New Roman" w:eastAsia="Times New Roman" w:hAnsi="Times New Roman"/>
          <w:sz w:val="18"/>
          <w:szCs w:val="18"/>
          <w:color w:val="auto"/>
        </w:rPr>
        <w:t>We also interconnect with internet service providers around the world to enable the use of our email products by our customers, and we expect to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Failure to set optimal prices for our products could adversely impact our business, results of operations and financial condition.</w:t>
      </w:r>
    </w:p>
    <w:p>
      <w:pPr>
        <w:spacing w:after="0" w:line="224" w:lineRule="exact"/>
        <w:rPr>
          <w:sz w:val="20"/>
          <w:szCs w:val="20"/>
          <w:color w:val="auto"/>
        </w:rPr>
      </w:pPr>
    </w:p>
    <w:p>
      <w:pPr>
        <w:ind w:right="260" w:firstLine="480"/>
        <w:spacing w:after="0" w:line="253" w:lineRule="auto"/>
        <w:rPr>
          <w:sz w:val="20"/>
          <w:szCs w:val="20"/>
          <w:color w:val="auto"/>
        </w:rPr>
      </w:pPr>
      <w:r>
        <w:rPr>
          <w:rFonts w:ascii="Times New Roman" w:cs="Times New Roman" w:eastAsia="Times New Roman" w:hAnsi="Times New Roman"/>
          <w:sz w:val="18"/>
          <w:szCs w:val="18"/>
          <w:color w:val="auto"/>
        </w:rPr>
        <w:t>For certain of our products, we primarily charge our customers based on their usage of such products. One of the challenges of this usage-based pricing model is the variability of the fees that we pay to network service providers over whose networks we transmit communications. Such network fees can vary daily or weekly, differ across countries,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spacing w:after="0" w:line="185"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We adjust the pricing models for our products from time to time and expect that we will continue to do so. Many of our usage-based customers enter into contracts with negotiated pricing, and our subscription customers are also subject to negotiated pricing. As competitors introduce new products or services that compete with ours or reduce their prices, we may be unable to attract new customers or retain existing customers based on our historical pricing. If we are required or choose to reduce our prices, it could adversely affect our business, results of operations and financial condition.</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inherent in global operations.</w:t>
      </w:r>
    </w:p>
    <w:p>
      <w:pPr>
        <w:spacing w:after="0" w:line="224"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In the years ended December 31, 2024, 2023 and 2022, we derived 35%, 34% and 34% of our revenue from customer accounts located outside the United States, respectively.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addition, we face risks in doing business internationally that could adversely affect our business, including:</w:t>
      </w:r>
    </w:p>
    <w:p>
      <w:pPr>
        <w:spacing w:after="0" w:line="220" w:lineRule="exact"/>
        <w:rPr>
          <w:sz w:val="20"/>
          <w:szCs w:val="20"/>
          <w:color w:val="auto"/>
        </w:rPr>
      </w:pPr>
    </w:p>
    <w:p>
      <w:pPr>
        <w:ind w:left="960" w:right="60" w:hanging="313"/>
        <w:spacing w:after="0" w:line="257"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staffing international operations and the increased operations, travel and infrastructure and other costs associated with servicing international customers and operating numerous international locations, including collecting accounts receivable and having longer payment cycles, higher or more variable network service provider fees and other costs associated with the need to adapt and localize our products and support for foreign countries;</w:t>
      </w:r>
    </w:p>
    <w:p>
      <w:pPr>
        <w:spacing w:after="0" w:line="180"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global competition affecting our ability to effectively price our products in competitive international markets;</w:t>
      </w:r>
    </w:p>
    <w:p>
      <w:pPr>
        <w:spacing w:after="0" w:line="219" w:lineRule="exact"/>
        <w:rPr>
          <w:rFonts w:ascii="Times New Roman" w:cs="Times New Roman" w:eastAsia="Times New Roman" w:hAnsi="Times New Roman"/>
          <w:sz w:val="18"/>
          <w:szCs w:val="18"/>
          <w:color w:val="auto"/>
        </w:rPr>
      </w:pPr>
    </w:p>
    <w:p>
      <w:pPr>
        <w:ind w:left="960" w:right="140" w:hanging="313"/>
        <w:spacing w:after="0" w:line="262"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reconciling technical controls to address different technical standards, data privacy, data protection and telecommunications regulations, and registration and certification requirements outside the United States, which could prevent customers from deploying our products or limit their usage;</w:t>
      </w:r>
    </w:p>
    <w:p>
      <w:pPr>
        <w:spacing w:after="0" w:line="176" w:lineRule="exact"/>
        <w:rPr>
          <w:rFonts w:ascii="Times New Roman" w:cs="Times New Roman" w:eastAsia="Times New Roman" w:hAnsi="Times New Roman"/>
          <w:sz w:val="18"/>
          <w:szCs w:val="18"/>
          <w:color w:val="auto"/>
        </w:rPr>
      </w:pPr>
    </w:p>
    <w:p>
      <w:pPr>
        <w:jc w:val="both"/>
        <w:ind w:left="960" w:right="60" w:hanging="313"/>
        <w:spacing w:after="0" w:line="257"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customs and industry standards in countries and other regions in which we operate or do business, and the associated costs and management attention required to support such compliance, including with respect to data privacy, data protection, data localization, cybersecurity, intellectual property rights, environmental and sustainability matters, as well as export controls, sanctions, anti-bribery and anti-corruption matters;</w:t>
      </w:r>
    </w:p>
    <w:p>
      <w:pPr>
        <w:spacing w:after="0" w:line="180"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tax and trade policies, tariffs, and other non-tariff barriers;</w:t>
      </w:r>
    </w:p>
    <w:p>
      <w:pPr>
        <w:spacing w:after="0" w:line="219" w:lineRule="exact"/>
        <w:rPr>
          <w:rFonts w:ascii="Times New Roman" w:cs="Times New Roman" w:eastAsia="Times New Roman" w:hAnsi="Times New Roman"/>
          <w:sz w:val="18"/>
          <w:szCs w:val="18"/>
          <w:color w:val="auto"/>
        </w:rPr>
      </w:pPr>
    </w:p>
    <w:p>
      <w:pPr>
        <w:ind w:left="960" w:hanging="313"/>
        <w:spacing w:after="0" w:line="277"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 regulations, which might restrict or prohibit our conversion of other currencies into U.S. dollars;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and</w:t>
      </w:r>
    </w:p>
    <w:p>
      <w:pPr>
        <w:spacing w:after="0" w:line="219" w:lineRule="exact"/>
        <w:rPr>
          <w:rFonts w:ascii="Times New Roman" w:cs="Times New Roman" w:eastAsia="Times New Roman" w:hAnsi="Times New Roman"/>
          <w:sz w:val="18"/>
          <w:szCs w:val="18"/>
          <w:color w:val="auto"/>
        </w:rPr>
      </w:pPr>
    </w:p>
    <w:p>
      <w:pPr>
        <w:ind w:left="960" w:right="20" w:hanging="313"/>
        <w:spacing w:after="0" w:line="262"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spacing w:after="0" w:line="176"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Also, due to costs from our international operations and network service provider fees outside of the United States, which generally are higher than domestic rates, our gross margin for messages terminating internationally is typically lower than our gross margin for messages terminating domestically. As a result, our gross margin has been, and may continue to be, adversely impacted by our international operations. Our failure to manage any of these risks successfully could harm our international operations, and adversely affect our business, results of operations and financial condition.</w:t>
      </w:r>
    </w:p>
    <w:p>
      <w:pPr>
        <w:spacing w:after="0" w:line="177" w:lineRule="exact"/>
        <w:rPr>
          <w:sz w:val="20"/>
          <w:szCs w:val="20"/>
          <w:color w:val="auto"/>
        </w:rPr>
      </w:pPr>
    </w:p>
    <w:p>
      <w:pPr>
        <w:ind w:right="6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potential benefits from our acquisitions, partnerships and investments because of difficulties related to integration, the achievement of synergies, and other challenges.</w:t>
      </w:r>
    </w:p>
    <w:p>
      <w:pPr>
        <w:spacing w:after="0" w:line="160" w:lineRule="exact"/>
        <w:rPr>
          <w:sz w:val="20"/>
          <w:szCs w:val="20"/>
          <w:color w:val="auto"/>
        </w:rPr>
      </w:pPr>
    </w:p>
    <w:p>
      <w:pPr>
        <w:ind w:right="60" w:firstLine="480"/>
        <w:spacing w:after="0" w:line="271" w:lineRule="auto"/>
        <w:rPr>
          <w:sz w:val="20"/>
          <w:szCs w:val="20"/>
          <w:color w:val="auto"/>
        </w:rPr>
      </w:pPr>
      <w:r>
        <w:rPr>
          <w:rFonts w:ascii="Times New Roman" w:cs="Times New Roman" w:eastAsia="Times New Roman" w:hAnsi="Times New Roman"/>
          <w:sz w:val="17"/>
          <w:szCs w:val="17"/>
          <w:color w:val="auto"/>
        </w:rPr>
        <w:t>Our success will depend, in part, on our ability to expand our products and grow our business to meet the needs of current and prospective customers. In some circumstances, we may determine to do so through acquisitions, partnerships or investments in businesses and technologies that are complementary to our business. There can be no assurances that such acquisitions will result in the anticipated benefits and it is possible that there could be a loss of our key employees and customers, disruption of ongoing businesses or unexpected issues, higher than expected costs, the diversion of management attention and resources from day-to-day business operations and an overall post-completion process that takes longer than originally anticipated. In addition, the following issues, among others, may need to be addressed in order to realize the anticipated benefits of any acquisitions, partnerships or investments:</w:t>
      </w:r>
    </w:p>
    <w:p>
      <w:pPr>
        <w:spacing w:after="0" w:line="170" w:lineRule="exact"/>
        <w:rPr>
          <w:sz w:val="20"/>
          <w:szCs w:val="20"/>
          <w:color w:val="auto"/>
        </w:rPr>
      </w:pPr>
    </w:p>
    <w:p>
      <w:pPr>
        <w:ind w:left="960" w:hanging="313"/>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acquired businesses’ corporate functions with our corporate functions;</w:t>
      </w:r>
    </w:p>
    <w:p>
      <w:pPr>
        <w:spacing w:after="0" w:line="219" w:lineRule="exact"/>
        <w:rPr>
          <w:rFonts w:ascii="Times New Roman" w:cs="Times New Roman" w:eastAsia="Times New Roman" w:hAnsi="Times New Roman"/>
          <w:sz w:val="18"/>
          <w:szCs w:val="18"/>
          <w:color w:val="auto"/>
        </w:rPr>
      </w:pPr>
    </w:p>
    <w:p>
      <w:pPr>
        <w:ind w:left="960" w:right="240" w:hanging="313"/>
        <w:spacing w:after="0" w:line="262"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right="820" w:hanging="313"/>
        <w:spacing w:after="0" w:line="277"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distributors, providers, talent and vendors and avoiding delays in entering into new agreements with prospective customers, distributors, providers, talent and vendors;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and how to address possible differences in corporate cultures and management philosophies;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product, compliance, administrative and IT infrastructure;</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 and technology that allow value to be unlocked in the future;</w:t>
      </w:r>
    </w:p>
    <w:p>
      <w:pPr>
        <w:spacing w:after="0" w:line="219" w:lineRule="exact"/>
        <w:rPr>
          <w:rFonts w:ascii="Times New Roman" w:cs="Times New Roman" w:eastAsia="Times New Roman" w:hAnsi="Times New Roman"/>
          <w:sz w:val="18"/>
          <w:szCs w:val="18"/>
          <w:color w:val="auto"/>
        </w:rPr>
      </w:pPr>
    </w:p>
    <w:p>
      <w:pPr>
        <w:ind w:left="960" w:right="60" w:hanging="313"/>
        <w:spacing w:after="0" w:line="277"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significant, nonrecurring costs to integrate our operations with those of acquired businesses, including the costs to maintain employee morale and retain key employees;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forecasting the financial impact of such acquisitions, partnerships and investments, including accounting charges;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potential actions that may be required in connection with obtaining regulatory approvals.</w:t>
      </w:r>
    </w:p>
    <w:p>
      <w:pPr>
        <w:spacing w:after="0" w:line="220"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From time to time, we may also divest or stop investing in certain businesses or products. For example, in 2023 we divested our Internet of Things and ValueFirst businesses, and in 2024 we wound down the software component of our Zipwhip business. The sale of a business or product has in the past and may in the future require us to restructure operations and/or terminate employees, and could expose us to unanticipated ongoing obligations and liabilities, including as a result of our indemnification obligations. During the pendency of a divestiture, we may be subject to risks related to a decline in the business, loss of employees, customers, or suppliers, and that the transaction may not close, which could have an adverse effect on the business to be divested and on us. Divestitures or winding down businesses or products can also disrupt our customer, supplier and/or employee relationships and divert the time and attention of our management and employees. Additionally, we may experience harm to our financial results, including loss of revenue, and we may not realize the expected benefits and cost savings of these actions and our operating results may be adversely impacted.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Cybersecurity, Data Privacy and Intellectual Property</w:t>
      </w:r>
    </w:p>
    <w:p>
      <w:pPr>
        <w:spacing w:after="0" w:line="220" w:lineRule="exact"/>
        <w:rPr>
          <w:sz w:val="20"/>
          <w:szCs w:val="20"/>
          <w:color w:val="auto"/>
        </w:rPr>
      </w:pPr>
    </w:p>
    <w:p>
      <w:pPr>
        <w:jc w:val="both"/>
        <w:ind w:right="6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Breaches of or incidents impacting our networks or systems, or those of our third-party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spacing w:after="0" w:line="181"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We depend upon our IT systems to conduct virtually all of our business operations, ranging from our internal operations and research and development activities to our marketing and sales efforts and communications with our customers and business partners. We have in the past and will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or service provider misconduct or error, ransomware attacks, supply-chain attacks, software bugs, server malfunctions, software or hardware failures, loss or unavailability of data or other information technology assets, adware, telecommunications failures, earthquakes, fires, floods, natural disasters, and other similar threats.</w:t>
      </w:r>
    </w:p>
    <w:p>
      <w:pPr>
        <w:spacing w:after="0" w:line="187" w:lineRule="exact"/>
        <w:rPr>
          <w:sz w:val="20"/>
          <w:szCs w:val="20"/>
          <w:color w:val="auto"/>
        </w:rPr>
      </w:pPr>
    </w:p>
    <w:p>
      <w:pPr>
        <w:ind w:right="40" w:firstLine="480"/>
        <w:spacing w:after="0" w:line="266" w:lineRule="auto"/>
        <w:rPr>
          <w:sz w:val="20"/>
          <w:szCs w:val="20"/>
          <w:color w:val="auto"/>
        </w:rPr>
      </w:pPr>
      <w:r>
        <w:rPr>
          <w:rFonts w:ascii="Times New Roman" w:cs="Times New Roman" w:eastAsia="Times New Roman" w:hAnsi="Times New Roman"/>
          <w:sz w:val="17"/>
          <w:szCs w:val="17"/>
          <w:color w:val="auto"/>
        </w:rPr>
        <w:t>Individuals or entities have in the past attempted and will in the future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software vulnerabilities, supply chain attacks and vulnerabilities through our third-party partners, employee theft or misuse, password spraying, phishing, smishing, vishing,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cloud services), internal networks, our customers’ systems, our service providers’ networks,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Geopolitical tensions and events may further heighten risks we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our service providers face from these and other types of attacks. Because the techniques used to access, disrupt or sabotage devices, systems and networks change frequently and may not be recognized until launched against a target, we expect to be required to make further investments over time to protect data and infrastructure as cybersecurity threats develop, evolve and grow more complex over time. We may also be unable to anticipate these techniques, and we may not become aware in a timely manner of any security breach or incident, which could exacerbate any damage we experience.</w:t>
      </w:r>
    </w:p>
    <w:p>
      <w:pPr>
        <w:spacing w:after="0" w:line="181"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We also continue to incorporate AI solutions and features into our platform, which may result in security incidents or otherwise increase cybersecurity risks. Further, AI technologies may be used in connection with certain cybersecurity attacks, resulting in heightened risks of security breaches and incidents. Any security incidents, including internal malfeasance or inadvertent disclosures by our employees or a third-party’s fraudulent inducement of our employees to disclose information, unauthorized access or usage, the introduction of viruses or other malicious code or any other breach or incident or disruption of our platform, systems, or networks or those of our service providers, could result in loss, corruption, unavailability, or other unauthorized processing of confidential information, and any such event, or the perception that it has occurred, may result in damage to our reputation, erosion of customer trust, loss of customers, litigation, regulatory investigations, fines, penalties and other liabilities. For example, in June and August 2022, we became aware that threat actors had conducted sophisticated social engineering campaigns against some of our employees after having obtained employee names and mobile phone numbers from unknown sources. The attack identified in August 2022,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also took steps to remediate the incident, including enhancing our security training, improving our two factor authentication requirements, implementing additional layers of control within our VPN, reducing access to certain internal applications and tools, running simulated phishing attempts to increase employee security awareness, and increasing the refresh frequency for access to certain internal applications. Industry reports indicate that the threat actors also attacked other technology, telecommunication and cryptocurrency companies.</w:t>
      </w:r>
    </w:p>
    <w:p>
      <w:pPr>
        <w:spacing w:after="0" w:line="189"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We also rely on various third-party service providers to operate our platform and deliver our products, including network service providers, internet service providers, telecommunications carriers, providers of cloud infrastructure and cloud communications, and third-party technology and intellectual property. Our service providers (or their sub-service providers) have in the past experienced, and may in the future experience, security breaches and incidents, including unauthorized access or inadvertent disclosures, that have exposed and may expose or make available to threat actors our data or that of our customers. Even when our systems are not compromised, if our service providers experience breaches or incidents that impact our data or our customers’ data, then our reputation, customer trust, business, results of operations and financial condition could be adversely affected.</w:t>
      </w:r>
    </w:p>
    <w:p>
      <w:pPr>
        <w:spacing w:after="0" w:line="185" w:lineRule="exact"/>
        <w:rPr>
          <w:sz w:val="20"/>
          <w:szCs w:val="20"/>
          <w:color w:val="auto"/>
        </w:rPr>
      </w:pPr>
    </w:p>
    <w:p>
      <w:pPr>
        <w:ind w:right="40" w:firstLine="480"/>
        <w:spacing w:after="0" w:line="265" w:lineRule="auto"/>
        <w:rPr>
          <w:sz w:val="20"/>
          <w:szCs w:val="20"/>
          <w:color w:val="auto"/>
        </w:rPr>
      </w:pPr>
      <w:r>
        <w:rPr>
          <w:rFonts w:ascii="Times New Roman" w:cs="Times New Roman" w:eastAsia="Times New Roman" w:hAnsi="Times New Roman"/>
          <w:sz w:val="17"/>
          <w:szCs w:val="17"/>
          <w:color w:val="auto"/>
        </w:rPr>
        <w:t>Furthermore, we are required to comply with laws and regulations that require us to maintain security measures designed to protect personal information and we may have contractual and other legal obligations to notify customers, regulators, government agencies, impacted individuals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Consequences associated with such security incidents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our third-party service providers fail to protect against unauthorized access, attacks (which may include sophisticated cyberattacks), or if our employees or contractors compromise or mishandle data, then our reputation, customer trust, business, results of operations and financial condition could be adversely affected.</w:t>
      </w:r>
    </w:p>
    <w:p>
      <w:pPr>
        <w:spacing w:after="0" w:line="183" w:lineRule="exact"/>
        <w:rPr>
          <w:sz w:val="20"/>
          <w:szCs w:val="20"/>
          <w:color w:val="auto"/>
        </w:rPr>
      </w:pPr>
    </w:p>
    <w:p>
      <w:pPr>
        <w:ind w:right="240" w:firstLine="480"/>
        <w:spacing w:after="0" w:line="277" w:lineRule="auto"/>
        <w:rPr>
          <w:sz w:val="20"/>
          <w:szCs w:val="20"/>
          <w:color w:val="auto"/>
        </w:rPr>
      </w:pPr>
      <w:r>
        <w:rPr>
          <w:rFonts w:ascii="Times New Roman" w:cs="Times New Roman" w:eastAsia="Times New Roman" w:hAnsi="Times New Roman"/>
          <w:sz w:val="18"/>
          <w:szCs w:val="18"/>
          <w:color w:val="auto"/>
        </w:rPr>
        <w:t>While we maintain errors, omissions and cyber liability insurance policies covering certain security and privacy damages, we cannot be certain that our existing insurance coverage will continue to be available on acceptable terms or will be</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available, and in sufficient amounts, to cover the potentially significant losses that may result from a security incident or breach or that the insurer will not deny coverage as to any future claim.</w:t>
      </w:r>
    </w:p>
    <w:p>
      <w:pPr>
        <w:spacing w:after="0" w:line="159" w:lineRule="exact"/>
        <w:rPr>
          <w:sz w:val="20"/>
          <w:szCs w:val="20"/>
          <w:color w:val="auto"/>
        </w:rPr>
      </w:pPr>
    </w:p>
    <w:p>
      <w:pPr>
        <w:ind w:right="6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increasingly stringent laws, regulations and contractual obligations relating to privacy, data protection and cybersecurity could harm our reputation and subject us to significant fines and liability or loss of business.</w:t>
      </w:r>
    </w:p>
    <w:p>
      <w:pPr>
        <w:spacing w:after="0" w:line="160"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and our customers are subject to numerous domestic (for example, the California Consumer Privacy Act (“CCPA”)) and foreign (for example, the General Data Protection Regulation (“GDPR”) in the European Union (“EU”)) privacy, data protection and cybersecurity laws and regulations that restrict the collection, use, disclosure and processing of personal information, including financial and health data. These laws and regulations are expanding globally, evolving, and being tested in courts, may result in increasing regulatory and public scrutiny of our practices relating to personal information and may increase our exposure to regulatory enforcement action, sanctions and litigation. The breadth and depth of changes in data protection obligations has required significant time and resources, including a review of our technology and systems against the requirements of the GDPR.</w:t>
      </w:r>
    </w:p>
    <w:p>
      <w:pPr>
        <w:spacing w:after="0" w:line="185" w:lineRule="exact"/>
        <w:rPr>
          <w:sz w:val="20"/>
          <w:szCs w:val="20"/>
          <w:color w:val="auto"/>
        </w:rPr>
      </w:pPr>
    </w:p>
    <w:p>
      <w:pPr>
        <w:ind w:right="220" w:firstLine="480"/>
        <w:spacing w:after="0" w:line="269" w:lineRule="auto"/>
        <w:rPr>
          <w:sz w:val="20"/>
          <w:szCs w:val="20"/>
          <w:color w:val="auto"/>
        </w:rPr>
      </w:pPr>
      <w:r>
        <w:rPr>
          <w:rFonts w:ascii="Times New Roman" w:cs="Times New Roman" w:eastAsia="Times New Roman" w:hAnsi="Times New Roman"/>
          <w:sz w:val="17"/>
          <w:szCs w:val="17"/>
          <w:color w:val="auto"/>
        </w:rPr>
        <w:t>The CCPA (as amended by the California Privacy Rights Act of 2020) imposes obligations on businesses to which it applies. These obligations include, but are not limited to, providing specific disclosures in privacy notices and affording California residents (both consumers and employees) certain rights related to their personal information. The CCPA allows for statutory fines for noncompliance. Similar laws have been enacted in 18 other states with</w:t>
      </w:r>
    </w:p>
    <w:p>
      <w:pPr>
        <w:spacing w:after="0" w:line="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13 laws currently in effect and the remainder becoming effective later in 2025 and 2026. Numerous other states, and the U.S. federal government, also have proposed general privacy legislation recently. Additionally, other states have proposed, and in certain cases enacted, other laws and regulations addressing privacy and cybersecurity, such as Washington’s My Health, My Data Act, which includes a private right of action. If we become subject to new privacy, data protection or cybersecurity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75"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privacy, data protection and cybersecurity. For example, the GDPR, the United Kingdom’s General Data Protection Regulation and Data Protection Act 2018 (“UK GDPR”) and the Swiss Federal Act on Data Protection, impose strict requirements for processing the personal information of individuals protected by the legislation, whether their data is processed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re-usage, data retention, security of processing and international data transfers. Under the GDPR and UK GDPR, government regulators may impose temporary or definitive bans on data processing or data transfers, require a company to delete data, as well as impose significant fines, potentially ranging up to 20 million Euros under the GDPR, 17.5 million GBP under the UK GDPR, or 4% of a company’s worldwide revenue, whichever is higher. Further, individuals may initiate compensation claims or litigation related to our processing of their personal information. Other privacy and data protection laws in Europe impose strict requirements around marketing communications and the deployment of cookies on users’ devices.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 Additionally, we expect an increase in the regulation of the use of AI and ML in products and services. For example, in Europe, the Artificial Intelligence Act (“AI Act”), once effective, will impose onerous obligations related to the development, placing on the market and use of AI-related systems. In the United States, numerous states have established study commissions that could lead to regulation of AI, and certain states have enacted legislation regulating aspects of AI. Other countries also are contemplating laws regulating AI and ML. We may have to change our business practices to comply with obligations under these or other new and evolving regimes.</w:t>
      </w:r>
    </w:p>
    <w:p>
      <w:pPr>
        <w:spacing w:after="0" w:line="177" w:lineRule="exact"/>
        <w:rPr>
          <w:sz w:val="20"/>
          <w:szCs w:val="20"/>
          <w:color w:val="auto"/>
        </w:rPr>
      </w:pPr>
    </w:p>
    <w:p>
      <w:pPr>
        <w:ind w:right="40" w:firstLine="480"/>
        <w:spacing w:after="0" w:line="238" w:lineRule="auto"/>
        <w:rPr>
          <w:sz w:val="20"/>
          <w:szCs w:val="20"/>
          <w:color w:val="auto"/>
        </w:rPr>
      </w:pPr>
      <w:r>
        <w:rPr>
          <w:rFonts w:ascii="Times New Roman" w:cs="Times New Roman" w:eastAsia="Times New Roman" w:hAnsi="Times New Roman"/>
          <w:sz w:val="18"/>
          <w:szCs w:val="18"/>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 For example, the EU’s Digital Services Act, Digital Markets Act and Data Act entered into force in 2024, and the EU’s Network and Information Security Directive II, adopted in 2023, provides for EU member states to have issued implementing legislation by October 2024. Additionally, the EU’s Digital Operational Resiliency Act entered into force on January 17, 2025.</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Similarly, with our registration as an interconnected VoIP provider for certain products with the Federal Communications Commission (“FCC”), we also must comply with privacy laws associated with customer proprietary network information rules in the United States. In addition, states such as California have increasingly adopted or proposed, or may propose, regulations that may classify our services in such a manner as to subject us to additional privacy-related compliance obligations under state law. If we fail or are perceived to have failed to maintain compliance with these requirements, we could be subject to regulatory audits or inquiries, civil and criminal penalties, fines and breach of contract claims, as well as reputational damage, which could impact the willingness of customers to do business with us.</w:t>
      </w:r>
    </w:p>
    <w:p>
      <w:pPr>
        <w:spacing w:after="0" w:line="185" w:lineRule="exact"/>
        <w:rPr>
          <w:sz w:val="20"/>
          <w:szCs w:val="20"/>
          <w:color w:val="auto"/>
        </w:rPr>
      </w:pPr>
    </w:p>
    <w:p>
      <w:pPr>
        <w:ind w:right="180" w:firstLine="480"/>
        <w:spacing w:after="0" w:line="253" w:lineRule="auto"/>
        <w:rPr>
          <w:sz w:val="20"/>
          <w:szCs w:val="20"/>
          <w:color w:val="auto"/>
        </w:rPr>
      </w:pPr>
      <w:r>
        <w:rPr>
          <w:rFonts w:ascii="Times New Roman" w:cs="Times New Roman" w:eastAsia="Times New Roman" w:hAnsi="Times New Roman"/>
          <w:sz w:val="18"/>
          <w:szCs w:val="18"/>
          <w:color w:val="auto"/>
        </w:rPr>
        <w:t>In addition to our legal obligations, our contractual obligations relating to privacy, data protection and cybersecurity have become increasingly stringent due to changes in laws and regulations and the expansion of our offerings. Certain privacy, data protection and cybersecurity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spacing w:after="0" w:line="185" w:lineRule="exact"/>
        <w:rPr>
          <w:sz w:val="20"/>
          <w:szCs w:val="20"/>
          <w:color w:val="auto"/>
        </w:rPr>
      </w:pPr>
    </w:p>
    <w:p>
      <w:pPr>
        <w:jc w:val="both"/>
        <w:ind w:right="260" w:firstLine="480"/>
        <w:spacing w:after="0" w:line="284" w:lineRule="auto"/>
        <w:rPr>
          <w:sz w:val="20"/>
          <w:szCs w:val="20"/>
          <w:color w:val="auto"/>
        </w:rPr>
      </w:pPr>
      <w:r>
        <w:rPr>
          <w:rFonts w:ascii="Times New Roman" w:cs="Times New Roman" w:eastAsia="Times New Roman" w:hAnsi="Times New Roman"/>
          <w:sz w:val="17"/>
          <w:szCs w:val="17"/>
          <w:color w:val="auto"/>
        </w:rPr>
        <w:t>Our actual or perceived failure to comply with laws, regulations, contractual commitments, or other actual or asserted obligations, including certain industry standards, regarding privacy, data protection and cybersecurity could lead to costly legal action, adverse publicity, significant liability, inability to process data, and decreased demand for our services, which could adversely affect our business, results of operations and financial condition.</w:t>
      </w:r>
    </w:p>
    <w:p>
      <w:pPr>
        <w:spacing w:after="0" w:line="160"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As a cumulative example of these risks, because our primary data processing facilities are in the United States, we have experienced hesitancy, reluctance, or refusal by European or multinational customers to continue to use our services due to potential risks arising from the Court of Justice’s July 2020 ruling in the “Schrems II” case, as well as related guidance from regulators and enforcement action against Meta by the Irish Data Protection Commission. For example, absent appropriate safeguards or other circumstances, the GDPR and laws in Switzerland and the UK generally restrict the transfer of personal information to many countries outside of such jurisdictions, such as the United States. On July 10, 2023, the European Commission adopted its adequacy decision for the EU-U.S. Data Privacy Framework. Based on this decision, personal information can flow from the EU to U.S. companies participating in the EU-U.S. Data Privacy Framework without having to put in place additional data protection safeguards. We are certified under the EU-U.S. Data Privacy Framework, the UK Extension to the EU-U.S. Data Privacy Framework, and the Swiss-U.S. Data Privacy Framework. If we cannot maintain a valid mechanism for cross-border data transfers, we and our customers may face increased exposure to regulatory actions, substantial fines, and injunctions against processing or transferring personal information from Europe or elsewhere. The inability to transfer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countries to limit or eliminate the need for data transfers out of Europe and other applicable countries quickly enough, and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across borders.</w:t>
      </w:r>
    </w:p>
    <w:p>
      <w:pPr>
        <w:spacing w:after="0" w:line="191" w:lineRule="exact"/>
        <w:rPr>
          <w:sz w:val="20"/>
          <w:szCs w:val="20"/>
          <w:color w:val="auto"/>
        </w:rPr>
      </w:pPr>
    </w:p>
    <w:p>
      <w:pPr>
        <w:ind w:right="120" w:firstLine="480"/>
        <w:spacing w:after="0" w:line="252" w:lineRule="auto"/>
        <w:rPr>
          <w:sz w:val="20"/>
          <w:szCs w:val="20"/>
          <w:color w:val="auto"/>
        </w:rPr>
      </w:pPr>
      <w:r>
        <w:rPr>
          <w:rFonts w:ascii="Times New Roman" w:cs="Times New Roman" w:eastAsia="Times New Roman" w:hAnsi="Times New Roman"/>
          <w:sz w:val="18"/>
          <w:szCs w:val="18"/>
          <w:color w:val="auto"/>
        </w:rPr>
        <w:t>Evolving laws, regulations, and other actual and asserted obligations relating to privacy, data protection, and cybersecurity, as well as any new or evolving obligations relating to the use of AI and ML technologies,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spacing w:after="0" w:line="183" w:lineRule="exact"/>
        <w:rPr>
          <w:sz w:val="20"/>
          <w:szCs w:val="20"/>
          <w:color w:val="auto"/>
        </w:rPr>
      </w:pPr>
    </w:p>
    <w:p>
      <w:pPr>
        <w:ind w:right="3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60"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the proprietary methods and technologies that we develop under patent and other intellectual property laws. We rely on a combination of patents, copyrights, trademarks, service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spacing w:after="0" w:line="187" w:lineRule="exact"/>
        <w:rPr>
          <w:sz w:val="20"/>
          <w:szCs w:val="20"/>
          <w:color w:val="auto"/>
        </w:rPr>
      </w:pPr>
    </w:p>
    <w:p>
      <w:pPr>
        <w:ind w:right="140" w:firstLine="480"/>
        <w:spacing w:after="0" w:line="253" w:lineRule="auto"/>
        <w:rPr>
          <w:sz w:val="20"/>
          <w:szCs w:val="20"/>
          <w:color w:val="auto"/>
        </w:rPr>
      </w:pPr>
      <w:r>
        <w:rPr>
          <w:rFonts w:ascii="Times New Roman" w:cs="Times New Roman" w:eastAsia="Times New Roman" w:hAnsi="Times New Roman"/>
          <w:sz w:val="18"/>
          <w:szCs w:val="18"/>
          <w:color w:val="auto"/>
        </w:rPr>
        <w:t>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w:t>
      </w:r>
    </w:p>
    <w:p>
      <w:pPr>
        <w:spacing w:after="0" w:line="185"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spacing w:after="0" w:line="18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We have been sued and may, in the future, be sued by third parties for alleged infringement of their intellectual or other proprietary rights, which could adversely affect our business, results of operations and financial condition.</w:t>
      </w:r>
    </w:p>
    <w:p>
      <w:pPr>
        <w:spacing w:after="0" w:line="163"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w:t>
      </w:r>
    </w:p>
    <w:p>
      <w:pPr>
        <w:spacing w:after="0" w:line="190" w:lineRule="exact"/>
        <w:rPr>
          <w:sz w:val="20"/>
          <w:szCs w:val="20"/>
          <w:color w:val="auto"/>
        </w:rPr>
      </w:pPr>
    </w:p>
    <w:p>
      <w:pPr>
        <w:jc w:val="both"/>
        <w:ind w:right="280" w:firstLine="480"/>
        <w:spacing w:after="0" w:line="257" w:lineRule="auto"/>
        <w:rPr>
          <w:sz w:val="20"/>
          <w:szCs w:val="20"/>
          <w:color w:val="auto"/>
        </w:rPr>
      </w:pPr>
      <w:r>
        <w:rPr>
          <w:rFonts w:ascii="Times New Roman" w:cs="Times New Roman" w:eastAsia="Times New Roman" w:hAnsi="Times New Roman"/>
          <w:sz w:val="18"/>
          <w:szCs w:val="18"/>
          <w:color w:val="auto"/>
        </w:rPr>
        <w:t>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w:t>
      </w:r>
    </w:p>
    <w:p>
      <w:pPr>
        <w:spacing w:after="0" w:line="181"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our products and subject us to possible litigation.</w:t>
      </w:r>
    </w:p>
    <w:p>
      <w:pPr>
        <w:spacing w:after="0" w:line="224"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spacing w:after="0" w:line="192" w:lineRule="exact"/>
        <w:rPr>
          <w:sz w:val="20"/>
          <w:szCs w:val="20"/>
          <w:color w:val="auto"/>
        </w:rPr>
      </w:pPr>
    </w:p>
    <w:p>
      <w:pPr>
        <w:ind w:right="4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technology and intellectual property of third parties, the loss of which could limit the functionality of our products and disrupt our business.</w:t>
      </w:r>
    </w:p>
    <w:p>
      <w:pPr>
        <w:spacing w:after="0" w:line="160"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use technology and intellectual property licensed from third parties in certain of our products and our platform, and we expect to license additional third-party technology and intellectual property in the future. Licensed technology and intellectual property may not continue to be available on commercially reasonable terms, or at all. The loss of the right to license and distribute third-party technology could limit the functionality of our products or platform and could require us to redesign our products or platform. In addition, if the third-party technology and intellectual property we use has errors, service outages, security vulnerabilities, or otherwise malfunctions, the functionality of our products and platform may be negatively impacted, our customers may experience outages or reduced service levels, and our business may be adversely affected.</w:t>
      </w:r>
    </w:p>
    <w:p>
      <w:pPr>
        <w:spacing w:after="0" w:line="185"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For example, we outsource a substantial majority of our cloud infrastructure to Amazon Web Services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if our products, platform or customer data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spacing w:after="0" w:line="193"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460"/>
        <w:spacing w:after="0" w:line="262" w:lineRule="auto"/>
        <w:rPr>
          <w:sz w:val="20"/>
          <w:szCs w:val="20"/>
          <w:color w:val="auto"/>
        </w:rPr>
      </w:pPr>
      <w:r>
        <w:rPr>
          <w:rFonts w:ascii="Times New Roman" w:cs="Times New Roman" w:eastAsia="Times New Roman" w:hAnsi="Times New Roman"/>
          <w:sz w:val="18"/>
          <w:szCs w:val="18"/>
          <w:color w:val="auto"/>
        </w:rPr>
        <w:t>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72" w:lineRule="exact"/>
        <w:rPr>
          <w:sz w:val="20"/>
          <w:szCs w:val="20"/>
          <w:color w:val="auto"/>
        </w:rPr>
      </w:pPr>
    </w:p>
    <w:p>
      <w:pPr>
        <w:ind w:right="82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use of AI technologies in our platform and our business may not produce the desired benefits, and may result in increased liability, reputational harm, or other adverse consequences.</w:t>
      </w:r>
    </w:p>
    <w:p>
      <w:pPr>
        <w:spacing w:after="0" w:line="160" w:lineRule="exact"/>
        <w:rPr>
          <w:sz w:val="20"/>
          <w:szCs w:val="20"/>
          <w:color w:val="auto"/>
        </w:rPr>
      </w:pPr>
    </w:p>
    <w:p>
      <w:pPr>
        <w:ind w:firstLine="480"/>
        <w:spacing w:after="0" w:line="264" w:lineRule="auto"/>
        <w:rPr>
          <w:sz w:val="20"/>
          <w:szCs w:val="20"/>
          <w:color w:val="auto"/>
        </w:rPr>
      </w:pPr>
      <w:r>
        <w:rPr>
          <w:rFonts w:ascii="Times New Roman" w:cs="Times New Roman" w:eastAsia="Times New Roman" w:hAnsi="Times New Roman"/>
          <w:sz w:val="17"/>
          <w:szCs w:val="17"/>
          <w:color w:val="auto"/>
        </w:rPr>
        <w:t>We have deployed, and continue to develop and incorporate, AI solutions and features into our platform and our business, and these solutions and features may become more important to our operations or to our future growth over time. We expect to rely on AI solutions and features to help drive future growth in our business, but there can be no assurance that we will realize the desired or anticipated benefits from AI. For example, we are focused on continued product innovations to combine our communications products with contextual data and AI to address evolving customer needs and expectations. We are also building out new AI capabilities internally, including AI automation and agents in our self-service platform and in our internal operations. Our investments in AI solutions and features have and may continue to negatively impact our cost of revenue and gross margins until we are able to increase revenue enough to offset these investments.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 Additionally, our offerings based on AI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or biased, or if such content, recommendations, solutions, or features or their development or deployment (including the collection, use, or other processing of data used to train or create such AI solutions or features) are found to have or alleged to have infringed upon or misappropriated third-party intellectual property rights or violated applicable laws, regulations, or other actual or asserted legal or contractual obligations to which we are or may become subject. The legal, regulatory, and policy environments around AI are evolving rapidly, and we may become subject to new and evolving legal and other obligations. More recently, the FCC applied restrictions in the Telephone Consumer Protection Act of 1991 (“TCPA”) on AI-generated voices. These and other developments may require us to make significant changes to our use of AI, including by limiting or restricting our use of AI, and which may require us to make significant changes to our policies and practices, which may necessitate expenditure of significant time, expense, and other resources. AI also presents emerging ethical issues, and if our use of AI becomes controversial, we may experience brand or reputational harm.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0" w:lineRule="exact"/>
        <w:rPr>
          <w:sz w:val="20"/>
          <w:szCs w:val="20"/>
          <w:color w:val="auto"/>
        </w:rPr>
      </w:pPr>
    </w:p>
    <w:p>
      <w:pPr>
        <w:ind w:right="1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subject to telecommunications-related regulations, and future legislative or regulatory actions could adversely affect our business, results of operations and financial condition.</w:t>
      </w:r>
    </w:p>
    <w:p>
      <w:pPr>
        <w:spacing w:after="0" w:line="160" w:lineRule="exact"/>
        <w:rPr>
          <w:sz w:val="20"/>
          <w:szCs w:val="20"/>
          <w:color w:val="auto"/>
        </w:rPr>
      </w:pPr>
    </w:p>
    <w:p>
      <w:pPr>
        <w:ind w:right="40" w:firstLine="480"/>
        <w:spacing w:after="0" w:line="266" w:lineRule="auto"/>
        <w:rPr>
          <w:sz w:val="20"/>
          <w:szCs w:val="20"/>
          <w:color w:val="auto"/>
        </w:rPr>
      </w:pPr>
      <w:r>
        <w:rPr>
          <w:rFonts w:ascii="Times New Roman" w:cs="Times New Roman" w:eastAsia="Times New Roman" w:hAnsi="Times New Roman"/>
          <w:sz w:val="17"/>
          <w:szCs w:val="17"/>
          <w:color w:val="auto"/>
        </w:rPr>
        <w:t>As a provider of communications products, we are subject to existing or potential FCC and state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For example, in 2023, we received a “cease-and-desist” letter from the FCC related to reported fraudulent traffic on our messaging platform. We subsequently removed the identified traffic and sent a follow-up letter to the agency detailing our fraud mitigation practices and various planned improvements to reduce future risks. Any enforcement action by the FCC, which may be a public process, would hurt our reputation in the industry, could erode customer trust, possibly impair our ability to sell our VoIP, other telecommunications products and/or other services to customers and could adversely affect our business, results of operations and financial condition.</w:t>
      </w:r>
    </w:p>
    <w:p>
      <w:pPr>
        <w:spacing w:after="0" w:line="179"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In addition, states such as California have increasingly adopted or proposed, or may propose, regulations that may subject us to additional registration, reporting, resiliency and/or compliance obligations. If we become subject to several new and/or different interconnected and/or non-interconnected VoIP regulations at the state level, it may increase our compliance costs and the risk of enforcement action against us, which in turn could adversely affect our business, results of operations and financial condition.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300" w:firstLine="480"/>
        <w:spacing w:after="0" w:line="277" w:lineRule="auto"/>
        <w:rPr>
          <w:sz w:val="20"/>
          <w:szCs w:val="20"/>
          <w:color w:val="auto"/>
        </w:rPr>
      </w:pPr>
      <w:r>
        <w:rPr>
          <w:rFonts w:ascii="Times New Roman" w:cs="Times New Roman" w:eastAsia="Times New Roman" w:hAnsi="Times New Roman"/>
          <w:sz w:val="18"/>
          <w:szCs w:val="18"/>
          <w:color w:val="auto"/>
        </w:rPr>
        <w:t>Certain of our products are subject to a number of FCC regulations and laws that are administered by the FCC. Among others, we must comply (in whole or in part) with:</w:t>
      </w:r>
    </w:p>
    <w:p>
      <w:pPr>
        <w:spacing w:after="0" w:line="163" w:lineRule="exact"/>
        <w:rPr>
          <w:sz w:val="20"/>
          <w:szCs w:val="20"/>
          <w:color w:val="auto"/>
        </w:rPr>
      </w:pPr>
    </w:p>
    <w:p>
      <w:pPr>
        <w:ind w:left="960" w:hanging="313"/>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Act of 1934, as amended, which regulates communications services and the provision of such services;</w:t>
      </w:r>
    </w:p>
    <w:p>
      <w:pPr>
        <w:spacing w:after="0" w:line="219" w:lineRule="exact"/>
        <w:rPr>
          <w:rFonts w:ascii="Times New Roman" w:cs="Times New Roman" w:eastAsia="Times New Roman" w:hAnsi="Times New Roman"/>
          <w:sz w:val="18"/>
          <w:szCs w:val="18"/>
          <w:color w:val="auto"/>
        </w:rPr>
      </w:pPr>
    </w:p>
    <w:p>
      <w:pPr>
        <w:ind w:left="960" w:right="320" w:hanging="313"/>
        <w:spacing w:after="0" w:line="277"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which limits the use of automatic dialing systems for calls and texts, artificial or prerecorded voice messages and fax machines;</w:t>
      </w:r>
    </w:p>
    <w:p>
      <w:pPr>
        <w:spacing w:after="0" w:line="162" w:lineRule="exact"/>
        <w:rPr>
          <w:rFonts w:ascii="Times New Roman" w:cs="Times New Roman" w:eastAsia="Times New Roman" w:hAnsi="Times New Roman"/>
          <w:sz w:val="18"/>
          <w:szCs w:val="18"/>
          <w:color w:val="auto"/>
        </w:rPr>
      </w:pPr>
    </w:p>
    <w:p>
      <w:pPr>
        <w:ind w:left="960" w:right="140" w:hanging="313"/>
        <w:spacing w:after="0" w:line="277"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Assistance for Law Enforcement Act, which requires covered entities to assist law enforcement in undertaking electronic surveillance;</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Pallone-Thune Telephone Robocall Abuse Criminal Enforcement and Deterrence Act (“TRACED”);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safeguard the privacy of certain customer information;</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annual FCC regulatory fees and contributions to FCC-administered funds based on our interstate and international revenues;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pertaining to access to our services by people with disabilities and contributions to the Telecommunications Relay Services fund.</w:t>
      </w:r>
    </w:p>
    <w:p>
      <w:pPr>
        <w:spacing w:after="0" w:line="220"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In addition, Congress and the FCC are attempting to mitigate the prevalence of robocalls by requiring participation in a technical standard called Signature-based Handling of Asserted Information Using toKENs (“SHAKEN”) and Secure Telephone Identity Revisited (“STIR”) (together, “SHAKEN/STIR”), which allows voice carriers to authenticate caller ID, prohibiting malicious spoofing. The FCC continues to increase its focus on robocall mitigation, including by implementing orders and holding open proceedings related to robocalls and robotexts. We cannot predict whether the FCC will require more than the robocall and robotexting measures that we have started to implement. If the FCC were to implement new regulations or requirements that limited the types of customers allowed to use our platform or overly burdensome requirements for our customers, those actions could limit the customers that we are able to serve.</w:t>
      </w:r>
    </w:p>
    <w:p>
      <w:pPr>
        <w:spacing w:after="0" w:line="187"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Due to this Executive Order, federal agencies may require us to modify our cybersecurity practices and policies, thereby increasing our compliance costs. If we are unable to meet the requirements of the Executive Order, our ability to work with the U.S. government, whether directly or indirectly, may be impaired and may result in a loss of revenue.</w:t>
      </w:r>
    </w:p>
    <w:p>
      <w:pPr>
        <w:spacing w:after="0" w:line="186"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176" w:lineRule="exact"/>
        <w:rPr>
          <w:sz w:val="20"/>
          <w:szCs w:val="20"/>
          <w:color w:val="auto"/>
        </w:rPr>
      </w:pPr>
    </w:p>
    <w:p>
      <w:pPr>
        <w:jc w:val="both"/>
        <w:ind w:firstLine="480"/>
        <w:spacing w:after="0" w:line="284" w:lineRule="auto"/>
        <w:rPr>
          <w:sz w:val="20"/>
          <w:szCs w:val="20"/>
          <w:color w:val="auto"/>
        </w:rPr>
      </w:pPr>
      <w:r>
        <w:rPr>
          <w:rFonts w:ascii="Times New Roman" w:cs="Times New Roman" w:eastAsia="Times New Roman" w:hAnsi="Times New Roman"/>
          <w:sz w:val="17"/>
          <w:szCs w:val="17"/>
          <w:color w:val="auto"/>
        </w:rPr>
        <w:t>As we continue to expand internationally, we have become subject to telecommunications laws and regulations in the foreign countries where we offer our products. Internationally, we currently offer our products in more than 180 countries and territories. Our international regulatory and business obligations, and the related challenges and resources involved, increase when we enter new countries and as our presence and market share in such countries grow.</w:t>
      </w:r>
    </w:p>
    <w:p>
      <w:pPr>
        <w:spacing w:after="0" w:line="160" w:lineRule="exact"/>
        <w:rPr>
          <w:sz w:val="20"/>
          <w:szCs w:val="20"/>
          <w:color w:val="auto"/>
        </w:rPr>
      </w:pPr>
    </w:p>
    <w:p>
      <w:pPr>
        <w:ind w:right="140" w:firstLine="480"/>
        <w:spacing w:after="0" w:line="267" w:lineRule="auto"/>
        <w:rPr>
          <w:sz w:val="20"/>
          <w:szCs w:val="20"/>
          <w:color w:val="auto"/>
        </w:rPr>
      </w:pPr>
      <w:r>
        <w:rPr>
          <w:rFonts w:ascii="Times New Roman" w:cs="Times New Roman" w:eastAsia="Times New Roman" w:hAnsi="Times New Roman"/>
          <w:sz w:val="17"/>
          <w:szCs w:val="17"/>
          <w:color w:val="auto"/>
        </w:rPr>
        <w:t>Our international operations are subject to country-specific governmental regulation and related actions that have increased and will continue to increase our compliance costs or impact our products and platform or prevent us from offering or providing our products in certain countries. Moreover, the regulation of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information to support emergency services and number portability as well as requirements to combat scams and fraud.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176" w:lineRule="exact"/>
        <w:rPr>
          <w:sz w:val="20"/>
          <w:szCs w:val="20"/>
          <w:color w:val="auto"/>
        </w:rPr>
      </w:pPr>
    </w:p>
    <w:p>
      <w:pPr>
        <w:ind w:right="460" w:firstLine="480"/>
        <w:spacing w:after="0" w:line="277" w:lineRule="auto"/>
        <w:rPr>
          <w:sz w:val="20"/>
          <w:szCs w:val="20"/>
          <w:color w:val="auto"/>
        </w:rPr>
      </w:pPr>
      <w:r>
        <w:rPr>
          <w:rFonts w:ascii="Times New Roman" w:cs="Times New Roman" w:eastAsia="Times New Roman" w:hAnsi="Times New Roman"/>
          <w:sz w:val="18"/>
          <w:szCs w:val="18"/>
          <w:color w:val="auto"/>
        </w:rPr>
        <w:t>In addition, from time to time we implement Know-Your-Customer and/or Know-Your-Traffic related processes in the jurisdictions in which we operate, which may create friction for our customers, require management attention, and increase our compliance costs.</w:t>
      </w:r>
    </w:p>
    <w:p>
      <w:pPr>
        <w:spacing w:after="0" w:line="163"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Moreover, certain of our products may be used by customers located in countries where voice and other forms of Internet Protocol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183" w:lineRule="exact"/>
        <w:rPr>
          <w:sz w:val="20"/>
          <w:szCs w:val="20"/>
          <w:color w:val="auto"/>
        </w:rPr>
      </w:pPr>
    </w:p>
    <w:p>
      <w:pPr>
        <w:ind w:right="5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retain geographical, mobile, regional, local or toll-free numbers, or to effectively process requests to port such numbers in a timely manner due to industry regulations, our business and results of operations may be adversely affected.</w:t>
      </w:r>
    </w:p>
    <w:p>
      <w:pPr>
        <w:spacing w:after="0" w:line="160" w:lineRule="exact"/>
        <w:rPr>
          <w:sz w:val="20"/>
          <w:szCs w:val="20"/>
          <w:color w:val="auto"/>
        </w:rPr>
      </w:pPr>
    </w:p>
    <w:p>
      <w:pPr>
        <w:ind w:right="140" w:firstLine="480"/>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85"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us or our customers, including restricting the use of types of numbers for particular use cases. For example, France has prohibited the use of mobile numbers for certain use cases, and Spain is considering similar rules.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may violate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96"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80" w:firstLine="480"/>
        <w:spacing w:after="0" w:line="252" w:lineRule="auto"/>
        <w:rPr>
          <w:sz w:val="20"/>
          <w:szCs w:val="20"/>
          <w:color w:val="auto"/>
        </w:rPr>
      </w:pPr>
      <w:r>
        <w:rPr>
          <w:rFonts w:ascii="Times New Roman" w:cs="Times New Roman" w:eastAsia="Times New Roman" w:hAnsi="Times New Roman"/>
          <w:sz w:val="18"/>
          <w:szCs w:val="18"/>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 We may also be required to compensate customers for certain failures in the porting process.</w:t>
      </w:r>
    </w:p>
    <w:p>
      <w:pPr>
        <w:spacing w:after="0" w:line="183" w:lineRule="exact"/>
        <w:rPr>
          <w:sz w:val="20"/>
          <w:szCs w:val="20"/>
          <w:color w:val="auto"/>
        </w:rPr>
      </w:pPr>
    </w:p>
    <w:p>
      <w:pPr>
        <w:ind w:right="340" w:firstLine="48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36"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certain states prohibit the sending of email messages that advertise products or services that minors are prohibited by law from purchasing or that contain content harmful to minors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191" w:lineRule="exact"/>
        <w:rPr>
          <w:sz w:val="20"/>
          <w:szCs w:val="20"/>
          <w:color w:val="auto"/>
        </w:rPr>
      </w:pPr>
    </w:p>
    <w:p>
      <w:pPr>
        <w:ind w:right="16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customers’ and other users’ violation of our policies or other misuse of our platform to transmit unwanted, offensive or illegal messages, spam, phishing scams, links to harmful applications or for other fraudulent or illegal activity could damage our reputation, and we may face a risk of regulatory penalties, litigation and liability for illegal activities on our platform and unauthorized, inaccurate, or fraudulent information distributed via our platform.</w:t>
      </w:r>
    </w:p>
    <w:p>
      <w:pPr>
        <w:spacing w:after="0" w:line="181"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The actual or perceived improper sending of text messages or voice calls may subject us to potential risks, including liabilities or claims relating to consumer protection laws and regulatory enforcement, including fines. For example, the TCPA restricts telemarketing and the use of automatic SMS text messages without prior express consent. TCPA violations can result in significant financial penalties, as businesses can incur penalties or criminal fines imposed by the FCC or be fined up to $1,500 per violation through private litigation or state attorneys general or other state actor enforcement. 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we could face direct liability.</w:t>
      </w:r>
    </w:p>
    <w:p>
      <w:pPr>
        <w:spacing w:after="0" w:line="190" w:lineRule="exact"/>
        <w:rPr>
          <w:sz w:val="20"/>
          <w:szCs w:val="20"/>
          <w:color w:val="auto"/>
        </w:rPr>
      </w:pPr>
    </w:p>
    <w:p>
      <w:pPr>
        <w:ind w:firstLine="480"/>
        <w:spacing w:after="0" w:line="267" w:lineRule="auto"/>
        <w:rPr>
          <w:sz w:val="20"/>
          <w:szCs w:val="20"/>
          <w:color w:val="auto"/>
        </w:rPr>
      </w:pPr>
      <w:r>
        <w:rPr>
          <w:rFonts w:ascii="Times New Roman" w:cs="Times New Roman" w:eastAsia="Times New Roman" w:hAnsi="Times New Roman"/>
          <w:sz w:val="17"/>
          <w:szCs w:val="17"/>
          <w:color w:val="auto"/>
        </w:rPr>
        <w:t>Moreover, certain customers may use our platform to transmit unwanted,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and in particular, our Acceptable Use Policy. For example, in 2023, we received a cease-and-desist letter from the FCC alleging that we were transmitting illegal robocall traffic that originated from an independent software vendor customer and their end user customer. In response, we suspended the customers’ accounts and sent the FCC a follow-up letter detailing our fraud mitigation practices and various planned improvements to reduce future risks.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combat such violations of our Acceptable Use Policy could increase friction for our legitimate customers and decrease their use of our platform.</w:t>
      </w:r>
    </w:p>
    <w:p>
      <w:pPr>
        <w:spacing w:after="0" w:line="220"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Our customers’ and other users’ promotion of their products and services through our platform might not comply with federal, state, and foreign laws or of contractual requirements imposed by carriers, such as the CTIA Shortcode Agreement, The Campaign Registry, and similar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88"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Additionally, our products may be subject to fraudulent usage, including but not limited to revenue share fraud, domestic traffic pumping, subscription fraud, premium text message scams and other fraudulent schemes, such as phishing.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security breach of, or security incident impacting,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83" w:lineRule="exact"/>
        <w:rPr>
          <w:sz w:val="20"/>
          <w:szCs w:val="20"/>
          <w:color w:val="auto"/>
        </w:rPr>
      </w:pPr>
    </w:p>
    <w:p>
      <w:pPr>
        <w:ind w:right="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60"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w:t>
      </w:r>
    </w:p>
    <w:p>
      <w:pPr>
        <w:spacing w:after="0" w:line="185"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The current legislative and regulatory landscape regarding the regulation of the internet is subject to uncertainty. For example, in January 2025, the U.S. Court of Appeals for the Sixth Circuit struck down the FCC’s net neutrality rules, and it is unlikely that similar federal rules will be adopted beyond those intended to preempt state regulation. Without federal net neutrality rules, we cannot predict whether internet access service providers may be able to limit our users’ ability to access our platform or make our platform a less attractive alternative to our competitors’ applications. Moreover, several states such as California have enacted or are considering state-level legislation or executive action that would implement certain net neutrality protections. State broadband regulations have been upheld by courts in certain jurisdictions, creating the potential for a patchwork of disparate regulatory regimes.</w:t>
      </w:r>
    </w:p>
    <w:p>
      <w:pPr>
        <w:spacing w:after="0" w:line="185"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spacing w:after="0" w:line="181"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issues, then demand for our products could decline, which could adversely affect our business, results of operations and financial condition.</w:t>
      </w:r>
    </w:p>
    <w:p>
      <w:pPr>
        <w:spacing w:after="0" w:line="216" w:lineRule="exact"/>
        <w:rPr>
          <w:sz w:val="20"/>
          <w:szCs w:val="20"/>
          <w:color w:val="auto"/>
        </w:rPr>
      </w:pPr>
    </w:p>
    <w:p>
      <w:pPr>
        <w:ind w:right="3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subject us to potential liability under export controls, economic sanctions, customs, anti-corruption, and other laws and regulations, and violating these laws could subject us to liability and impair our ability to compete in international markets.</w:t>
      </w:r>
    </w:p>
    <w:p>
      <w:pPr>
        <w:spacing w:after="0" w:line="160" w:lineRule="exact"/>
        <w:rPr>
          <w:sz w:val="20"/>
          <w:szCs w:val="20"/>
          <w:color w:val="auto"/>
        </w:rPr>
      </w:pPr>
    </w:p>
    <w:p>
      <w:pPr>
        <w:ind w:right="100" w:firstLine="480"/>
        <w:spacing w:after="0" w:line="268" w:lineRule="auto"/>
        <w:rPr>
          <w:sz w:val="20"/>
          <w:szCs w:val="20"/>
          <w:color w:val="auto"/>
        </w:rPr>
      </w:pPr>
      <w:r>
        <w:rPr>
          <w:rFonts w:ascii="Times New Roman" w:cs="Times New Roman" w:eastAsia="Times New Roman" w:hAnsi="Times New Roman"/>
          <w:sz w:val="17"/>
          <w:szCs w:val="17"/>
          <w:color w:val="auto"/>
        </w:rPr>
        <w:t>Certain of our products and services may be subject to international trade laws, including the U.S. Export Administration Regulations, U.S. customs laws, and U.S. economic and trade sanctions as well as similar laws and regulations in other countries in which we do business. Exports and imports of our products and the provision of our services must be made in compliance with these laws. We take precautions to prevent our products from being imported or exported and our services from being provided in violation of these laws; however, we are aware of certain of our products and services being provided to a small number of individuals and entities that are the subject of, or are located in countries or regions subject to, sanctions regulations administered by U.S. and foreign governmental authorities. If we fail to comply with these laws, we and certain of our employees could be subject to substantial civil or criminal penalties, including: the possible loss of export privileges; fines, which may be imposed on us and responsible employees or managers; criminal liability, which may be imposed on us and responsible employees or managers; and, in extreme cases, the incarceration of responsible employees or managers.</w:t>
      </w:r>
    </w:p>
    <w:p>
      <w:pPr>
        <w:spacing w:after="0" w:line="175"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Any change in these laws or other regulatory requirements affecting trade and investments, shift in the enforcement or scope of existing laws, or change in the countries, governments, persons or technologies targeted by such regulations, could also result in decreased use of our products and services, or in our decreased ability to export our products or provide our services to existing or prospective customers outside of the United States. Any decreased use of our products and services or limitations on our ability to export our products and provide our services could adversely affect our business, results of operations and financial condition.</w:t>
      </w:r>
    </w:p>
    <w:p>
      <w:pPr>
        <w:spacing w:after="0" w:line="186"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190"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We are also subject to U.S. and foreign anti-corruption and anti-bribery laws, including the Foreign Corrupt Practices Act, as amended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would likely result in a materially significant diversion of management’s attention and resources, significant defense costs and other professional fees.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60"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In the first quarter of 2024, Google and Yahoo began enforcing new email sender requirements aimed at sender authentication, including Domain-based Message Authentication, Reporting and Conformance (“DMARC”) record requirements. These requirements have required us to devote time and resources toward compliance efforts, and these or similar authentication requirements imposed in the future could result in reduced volumes for our email products and could adversely affect our business, financial condition and results of operations.</w:t>
      </w:r>
    </w:p>
    <w:p>
      <w:pPr>
        <w:spacing w:after="0" w:line="192"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181" w:lineRule="exact"/>
        <w:rPr>
          <w:sz w:val="20"/>
          <w:szCs w:val="20"/>
          <w:color w:val="auto"/>
        </w:rPr>
      </w:pPr>
    </w:p>
    <w:p>
      <w:pPr>
        <w:ind w:right="64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legal proceedings or claims against us could be costly and time-consuming to defend and could harm our reputation regardless of the outcome.</w:t>
      </w:r>
    </w:p>
    <w:p>
      <w:pPr>
        <w:spacing w:after="0" w:line="160"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220" w:lineRule="exact"/>
        <w:rPr>
          <w:sz w:val="20"/>
          <w:szCs w:val="20"/>
          <w:color w:val="auto"/>
        </w:rPr>
      </w:pPr>
    </w:p>
    <w:p>
      <w:pPr>
        <w:ind w:right="14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160"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As our international operations expand, our exposure to the effects of fluctuations in currency exchange rates grows. For example, global geopolitical events, economic events, public health epidemics and pandemics, actual or potential tariffs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spacing w:after="0" w:line="190"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color w:val="auto"/>
        </w:rPr>
        <w:t>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spacing w:after="0" w:line="163"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We have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82" w:lineRule="exact"/>
        <w:rPr>
          <w:sz w:val="20"/>
          <w:szCs w:val="20"/>
          <w:color w:val="auto"/>
        </w:rPr>
      </w:pPr>
    </w:p>
    <w:p>
      <w:pPr>
        <w:ind w:right="1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incurred substantial indebtedness that may decrease our business flexibility, access to capital, and/or increase our borrowing costs, and we may still incur substantially more debt, which may adversely affect our operations and financial results.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we had $1.0 billion of indebtedness outstanding (excluding intercompany indebtedness). Our indebtedness may:</w:t>
      </w:r>
    </w:p>
    <w:p>
      <w:pPr>
        <w:spacing w:after="0" w:line="220" w:lineRule="exact"/>
        <w:rPr>
          <w:sz w:val="20"/>
          <w:szCs w:val="20"/>
          <w:color w:val="auto"/>
        </w:rPr>
      </w:pPr>
    </w:p>
    <w:p>
      <w:pPr>
        <w:ind w:left="960" w:right="80" w:hanging="313"/>
        <w:spacing w:after="0" w:line="277"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to fund future working capital, capital expenditures, business opportunities, acquisitions or other general corporate requirements;</w:t>
      </w:r>
    </w:p>
    <w:p>
      <w:pPr>
        <w:spacing w:after="0" w:line="162" w:lineRule="exact"/>
        <w:rPr>
          <w:rFonts w:ascii="Times New Roman" w:cs="Times New Roman" w:eastAsia="Times New Roman" w:hAnsi="Times New Roman"/>
          <w:sz w:val="18"/>
          <w:szCs w:val="18"/>
          <w:color w:val="auto"/>
        </w:rPr>
      </w:pPr>
    </w:p>
    <w:p>
      <w:pPr>
        <w:ind w:left="960" w:right="360" w:hanging="313"/>
        <w:spacing w:after="0" w:line="277"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spacing w:after="0" w:line="162" w:lineRule="exact"/>
        <w:rPr>
          <w:rFonts w:ascii="Times New Roman" w:cs="Times New Roman" w:eastAsia="Times New Roman" w:hAnsi="Times New Roman"/>
          <w:sz w:val="18"/>
          <w:szCs w:val="18"/>
          <w:color w:val="auto"/>
        </w:rPr>
      </w:pPr>
    </w:p>
    <w:p>
      <w:pPr>
        <w:ind w:left="960" w:right="140" w:hanging="313"/>
        <w:spacing w:after="0" w:line="277"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borrowings under a future revolving credit facility, may be at variable rates of interest; and</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20"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spacing w:after="0" w:line="185"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might not be available on acceptable terms, if at all.</w:t>
      </w:r>
    </w:p>
    <w:p>
      <w:pPr>
        <w:spacing w:after="0" w:line="211"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83" w:lineRule="exact"/>
        <w:rPr>
          <w:sz w:val="20"/>
          <w:szCs w:val="20"/>
          <w:color w:val="auto"/>
        </w:rPr>
      </w:pPr>
    </w:p>
    <w:p>
      <w:pPr>
        <w:ind w:right="580" w:firstLine="48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to calculate certain of our business metrics, and real or perceived inaccuracies in such metrics could adversely affect our reputation and our business.</w:t>
      </w:r>
    </w:p>
    <w:p>
      <w:pPr>
        <w:spacing w:after="0" w:line="172"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We rely on assumptions and estimates to calculate certain of our business metrics that we disclose in SEC filings, press releases and other materials, including Active Customer Accounts and Dollar-Based Net Expansion Rate. Our metrics are not based on any standardized industry methodology and are not necessarily calculated in the same manner or comparable to similarly titled measures presented by other companies. Similarly, our metrics may differ from estimates published by third parties or from similarly titled metrics of our competitors due to differences in methodology. The numbers that we use to calculate our metrics are based on internal data and may be compiled from multiple systems, including systems that are organically developed or acquired through business combinations. While these numbers are based on what we believe to be reasonable judgments and estimates for the applicable period of measurement, there are inherent challenges in measuring our business or components of our business. We regularly review our processes for calculating these metrics, and from time to time we may make adjustments to improve their accuracy or relevance. Further, as our business develops, we may revise or cease reporting metrics if we determine that such metrics are no longer appropriate measures of our performance. If investors or analysts do not perceive our metrics to be accurate representations of our business, or if they disagree with our methodologies, or if we discover material inaccuracies in our metrics, our reputation, business, results of operations, and financial condition would be harmed.</w:t>
      </w:r>
    </w:p>
    <w:p>
      <w:pPr>
        <w:spacing w:after="0" w:line="186" w:lineRule="exact"/>
        <w:rPr>
          <w:sz w:val="20"/>
          <w:szCs w:val="20"/>
          <w:color w:val="auto"/>
        </w:rPr>
      </w:pPr>
    </w:p>
    <w:p>
      <w:pPr>
        <w:ind w:right="660" w:firstLine="48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59"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Changes in accounting standards or practices may cause adverse, unexpected financial reporting fluctuations and affect our results of operations.</w:t>
      </w:r>
    </w:p>
    <w:p>
      <w:pPr>
        <w:spacing w:after="0" w:line="235" w:lineRule="exact"/>
        <w:rPr>
          <w:sz w:val="20"/>
          <w:szCs w:val="20"/>
          <w:color w:val="auto"/>
        </w:rPr>
      </w:pPr>
    </w:p>
    <w:p>
      <w:pPr>
        <w:ind w:right="180" w:firstLine="480"/>
        <w:spacing w:after="0" w:line="251" w:lineRule="auto"/>
        <w:rPr>
          <w:sz w:val="20"/>
          <w:szCs w:val="20"/>
          <w:color w:val="auto"/>
        </w:rPr>
      </w:pPr>
      <w:r>
        <w:rPr>
          <w:rFonts w:ascii="Times New Roman" w:cs="Times New Roman" w:eastAsia="Times New Roman" w:hAnsi="Times New Roman"/>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224"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We review our intangible assets for impairment when events or changes in circumstances indicate the carrying value may not be recoverable. Goodwill is required to be tested for impairment at least annually. As of December 31, 2024, we carried a net $5.5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For example, during the year ended December 31, 2023, we recorded an impairment of intangible assets related to Segment totaling approximately $285.7 million, as described in additional detail in Note 6 to our consolidated financial statements included in our Annual Report on Form 10-K filed with the SEC on February 27, 2024. Any such charges may adversely affect our results of operations.</w:t>
      </w:r>
    </w:p>
    <w:p>
      <w:pPr>
        <w:spacing w:after="0" w:line="183" w:lineRule="exact"/>
        <w:rPr>
          <w:sz w:val="20"/>
          <w:szCs w:val="20"/>
          <w:color w:val="auto"/>
        </w:rPr>
      </w:pPr>
    </w:p>
    <w:p>
      <w:pPr>
        <w:ind w:right="3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0"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86"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220" w:lineRule="exact"/>
        <w:rPr>
          <w:sz w:val="20"/>
          <w:szCs w:val="20"/>
          <w:color w:val="auto"/>
        </w:rPr>
      </w:pPr>
    </w:p>
    <w:p>
      <w:pPr>
        <w:ind w:right="5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and taxes may be subject to certain limitations.</w:t>
      </w:r>
    </w:p>
    <w:p>
      <w:pPr>
        <w:spacing w:after="0" w:line="160"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As of December 31, 2024, we had U.S. federal, state and foreign net operating loss carryforwards (“NOLs”), of $2.8 billion, $2.4 billion and $0.8 billion,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 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is generally limited to 80% of taxable income. Our state NOLs may also be subject to limitations, including periods during which the use of state NOL carryforwards is suspended or otherwise limited, which could accelerate or permanently increase state taxes owed. For example, California recently enacted legislation that limits the use of state NOLs for taxable years beginning on or after January 1, 2024 and before January 1, 2027.</w:t>
      </w:r>
    </w:p>
    <w:p>
      <w:pPr>
        <w:spacing w:after="0" w:line="187"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and if we undergo an ownership change in the future, our ability to utilize NOLs could be further limited by Section 382 of the Code. Future changes in our stock ownership, some of which may be outside of our control, could result in an ownership change under Section 382 of the Code.</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have additional tax liabilities, which could harm our business, results of operations and financial condition.</w:t>
      </w:r>
    </w:p>
    <w:p>
      <w:pPr>
        <w:spacing w:after="0" w:line="224" w:lineRule="exact"/>
        <w:rPr>
          <w:sz w:val="20"/>
          <w:szCs w:val="20"/>
          <w:color w:val="auto"/>
        </w:rPr>
      </w:pPr>
    </w:p>
    <w:p>
      <w:pPr>
        <w:ind w:right="180" w:firstLine="480"/>
        <w:spacing w:after="0" w:line="253" w:lineRule="auto"/>
        <w:rPr>
          <w:sz w:val="20"/>
          <w:szCs w:val="20"/>
          <w:color w:val="auto"/>
        </w:rPr>
      </w:pPr>
      <w:r>
        <w:rPr>
          <w:rFonts w:ascii="Times New Roman" w:cs="Times New Roman" w:eastAsia="Times New Roman" w:hAnsi="Times New Roman"/>
          <w:sz w:val="18"/>
          <w:szCs w:val="18"/>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w:t>
      </w:r>
    </w:p>
    <w:p>
      <w:pPr>
        <w:spacing w:after="0" w:line="18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7"/>
          <w:szCs w:val="17"/>
          <w:color w:val="auto"/>
        </w:rPr>
        <w:t>We conduct operations in many tax jurisdictions throughout the United States and internationally. In many of these jurisdictions, non-income-based taxes, such as sales, value-added tax, goods and services tax,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spacing w:after="0" w:line="165" w:lineRule="exact"/>
        <w:rPr>
          <w:sz w:val="20"/>
          <w:szCs w:val="20"/>
          <w:color w:val="auto"/>
        </w:r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Many states are also pursuing legislative expansion of the scope of goods and services that are subject to sales and similar taxes as well as the circumstances in which a vendor of goods and services must collect such taxes. Following the 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181"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Historically, we have not billed or collected taxes in certain jurisdictions and, in accordance with GAAP, we have recorded a provision for our tax exposure in these jurisdictions when it is both probable that a liability has been incurred and the amount of the exposure can be reasonably estimated. We reserved $41.4 million on our December 31, 2024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190" w:lineRule="exact"/>
        <w:rPr>
          <w:sz w:val="20"/>
          <w:szCs w:val="20"/>
          <w:color w:val="auto"/>
        </w:rPr>
      </w:pPr>
    </w:p>
    <w:p>
      <w:pPr>
        <w:ind w:right="140" w:firstLine="480"/>
        <w:spacing w:after="0" w:line="273" w:lineRule="auto"/>
        <w:rPr>
          <w:sz w:val="20"/>
          <w:szCs w:val="20"/>
          <w:color w:val="auto"/>
        </w:rPr>
      </w:pPr>
      <w:r>
        <w:rPr>
          <w:rFonts w:ascii="Times New Roman" w:cs="Times New Roman" w:eastAsia="Times New Roman" w:hAnsi="Times New Roman"/>
          <w:sz w:val="17"/>
          <w:szCs w:val="17"/>
          <w:color w:val="auto"/>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For example, in 2020, San Francisco City and County assessed us for $38.8 million in taxes, including interest and penalties, which exceeded the $11.5 million we had accrued for that assessment. We paid the full amount under protest and filed a lawsuit on May 27, 2021 contesting the assessment. We entered into a settlement agreement in November 2023 pursuant to which San Francisco paid us $18.0 million in settlement of our claims.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224"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tax rules and regulations or our tax positions may materially and adversely affect our income taxes.</w:t>
      </w:r>
    </w:p>
    <w:p>
      <w:pPr>
        <w:spacing w:after="0" w:line="224"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spacing w:after="0" w:line="187"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auto"/>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For example, on August 16, 2022, the Inflation Reduction Act of 2022 was signed into law, with tax provisions primarily focused on implementing a 15% minimum tax on global adjusted financial statement income of corporations with adjusted financial statement income exceeding $1.0 billion, effective for tax years beginning after December 31, 2022, and a 1% excise tax on share repurchases occurring after December 31, 2022, which resulted in an excise tax payable calculated on our 2023 and 2024 share repurchases.</w:t>
      </w:r>
    </w:p>
    <w:p>
      <w:pPr>
        <w:spacing w:after="0" w:line="174"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As another example, beginning in 2022, the Tax Cuts and Jobs Act of 2017 (the “Tax Act”) eliminates the option to deduct research and development expenditures currently and requires taxpayers to capitalize and amortize them over five or fifteen years pursuant to Section 174 of the Code, which impacts our effective tax rate and our cash tax liability in 2024. If the requirement to capitalize Section 174 expenditures is not modified by legislation, it will continue to impact our effective tax rate and our cash tax liability.</w:t>
      </w:r>
    </w:p>
    <w:p>
      <w:pPr>
        <w:spacing w:after="0" w:line="208"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Pillar Two Model Rules defining the global minimum tax rules, which contemplate a minimum tax rate of 15% for large multinational companies. On December 15, 2022, the European Union (EU) Member States formally adopted the EU’s Pillar Two Directive and various countries have enacted or are in the process of enacting legislation on these rules. These changes, when enacted by various countries in which we do business, may increase our taxes in these countries.</w:t>
      </w:r>
    </w:p>
    <w:p>
      <w:pPr>
        <w:spacing w:after="0" w:line="212"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Changes to these and other areas in relation to international tax reform, including future actions taken by foreign governments in response to the Tax Act, could increase uncertainty and may adversely affect our tax rate and cash flow in future years.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volatile and may continue to be volatile, and you could lose all or part of your investment.</w:t>
      </w:r>
    </w:p>
    <w:p>
      <w:pPr>
        <w:spacing w:after="0" w:line="224" w:lineRule="exact"/>
        <w:rPr>
          <w:sz w:val="20"/>
          <w:szCs w:val="20"/>
          <w:color w:val="auto"/>
        </w:rPr>
      </w:pPr>
    </w:p>
    <w:p>
      <w:pPr>
        <w:ind w:right="200" w:firstLine="480"/>
        <w:spacing w:after="0" w:line="277" w:lineRule="auto"/>
        <w:rPr>
          <w:sz w:val="20"/>
          <w:szCs w:val="20"/>
          <w:color w:val="auto"/>
        </w:rPr>
      </w:pPr>
      <w:r>
        <w:rPr>
          <w:rFonts w:ascii="Times New Roman" w:cs="Times New Roman" w:eastAsia="Times New Roman" w:hAnsi="Times New Roman"/>
          <w:sz w:val="18"/>
          <w:szCs w:val="18"/>
          <w:color w:val="auto"/>
        </w:rPr>
        <w:t>The trading price of our common stock has, and may continue to, fluctuate significantly in response to numerous factors, many of which are beyond our control and may not be related to our operating performance, including:</w:t>
      </w:r>
    </w:p>
    <w:p>
      <w:pPr>
        <w:spacing w:after="0" w:line="163" w:lineRule="exact"/>
        <w:rPr>
          <w:sz w:val="20"/>
          <w:szCs w:val="20"/>
          <w:color w:val="auto"/>
        </w:rPr>
      </w:pPr>
    </w:p>
    <w:p>
      <w:pPr>
        <w:ind w:left="960" w:hanging="313"/>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our stockholders;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or repurchase of shares of our common stock;</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our common stock or related derivatives;</w:t>
      </w:r>
    </w:p>
    <w:p>
      <w:pPr>
        <w:spacing w:after="0" w:line="219" w:lineRule="exact"/>
        <w:rPr>
          <w:rFonts w:ascii="Times New Roman" w:cs="Times New Roman" w:eastAsia="Times New Roman" w:hAnsi="Times New Roman"/>
          <w:sz w:val="18"/>
          <w:szCs w:val="18"/>
          <w:color w:val="auto"/>
        </w:rPr>
      </w:pPr>
    </w:p>
    <w:p>
      <w:pPr>
        <w:ind w:left="960" w:right="320" w:hanging="313"/>
        <w:spacing w:after="0" w:line="277"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the publication of reports or statements by securities analysts or investors who follow our company, or our failure to meet these estimates or the expectations of investors;</w:t>
      </w:r>
    </w:p>
    <w:p>
      <w:pPr>
        <w:spacing w:after="0" w:line="162" w:lineRule="exact"/>
        <w:rPr>
          <w:rFonts w:ascii="Times New Roman" w:cs="Times New Roman" w:eastAsia="Times New Roman" w:hAnsi="Times New Roman"/>
          <w:sz w:val="18"/>
          <w:szCs w:val="18"/>
          <w:color w:val="auto"/>
        </w:rPr>
      </w:pPr>
    </w:p>
    <w:p>
      <w:pPr>
        <w:ind w:left="960" w:right="560" w:hanging="313"/>
        <w:spacing w:after="0" w:line="277"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or targets we may provide to the public, any changes in those projections or targets, or our failure to meet those projections or targets;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 or related to acquisitions of businesses, products or technologies;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industry standards, regulations or regulatory enforcement in the United States or internationally;</w:t>
      </w:r>
    </w:p>
    <w:p>
      <w:pPr>
        <w:spacing w:after="0" w:line="219" w:lineRule="exact"/>
        <w:rPr>
          <w:rFonts w:ascii="Times New Roman" w:cs="Times New Roman" w:eastAsia="Times New Roman" w:hAnsi="Times New Roman"/>
          <w:sz w:val="18"/>
          <w:szCs w:val="18"/>
          <w:color w:val="auto"/>
        </w:rPr>
      </w:pPr>
    </w:p>
    <w:p>
      <w:pPr>
        <w:ind w:left="960" w:right="440" w:hanging="313"/>
        <w:spacing w:after="0" w:line="277"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 or actual or anticipated changes in our strategy or the organization of our business;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including changes in the pace of hiring;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social, economic and market conditions, in both domestic and foreign markets, and slow or negative growth of our markets.</w:t>
      </w:r>
    </w:p>
    <w:p>
      <w:pPr>
        <w:spacing w:after="0" w:line="220" w:lineRule="exact"/>
        <w:rPr>
          <w:sz w:val="20"/>
          <w:szCs w:val="20"/>
          <w:color w:val="auto"/>
        </w:rPr>
      </w:pPr>
    </w:p>
    <w:p>
      <w:pPr>
        <w:jc w:val="both"/>
        <w:ind w:right="140" w:firstLine="480"/>
        <w:spacing w:after="0" w:line="262"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could cause the market price of our common stock to decline.</w:t>
      </w:r>
    </w:p>
    <w:p>
      <w:pPr>
        <w:spacing w:after="0" w:line="224"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7"/>
          <w:szCs w:val="17"/>
          <w:color w:val="auto"/>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61" w:lineRule="exact"/>
        <w:rPr>
          <w:sz w:val="20"/>
          <w:szCs w:val="20"/>
          <w:color w:val="auto"/>
        </w:rPr>
      </w:pPr>
    </w:p>
    <w:p>
      <w:pPr>
        <w:ind w:right="30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long-term stockholder value of our share repurchase programs, and any failure to repurchase our common stock after we have announced our intention to do so may negatively impact our stock price.</w:t>
      </w:r>
    </w:p>
    <w:p>
      <w:pPr>
        <w:spacing w:after="0" w:line="160"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In January 2025, our board of directors authorized the repurchase of up to $2.0 billion of our common stock from time to time through a share repurchase program. As of December 31, 2024, we had repurchased $3.0 billion of outstanding shares of our common stock under prior authorizations that expired on December 31, 2024. Under our share repurchase program, we may make repurchases of stock through a variety of methods, including open share market purchases, privately negotiated purchases, entering into one or more confirmations or other contractual arrangements with a financial institution counterparty to</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2027,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spacing w:after="0" w:line="170" w:lineRule="exact"/>
        <w:rPr>
          <w:sz w:val="20"/>
          <w:szCs w:val="20"/>
          <w:color w:val="auto"/>
        </w:r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spacing w:after="0" w:line="181" w:lineRule="exact"/>
        <w:rPr>
          <w:sz w:val="20"/>
          <w:szCs w:val="20"/>
          <w:color w:val="auto"/>
        </w:rPr>
      </w:pPr>
    </w:p>
    <w:p>
      <w:pPr>
        <w:jc w:val="both"/>
        <w:ind w:right="60" w:firstLine="480"/>
        <w:spacing w:after="0" w:line="262" w:lineRule="auto"/>
        <w:rPr>
          <w:sz w:val="20"/>
          <w:szCs w:val="20"/>
          <w:color w:val="auto"/>
        </w:rPr>
      </w:pPr>
      <w:r>
        <w:rPr>
          <w:rFonts w:ascii="Times New Roman" w:cs="Times New Roman" w:eastAsia="Times New Roman" w:hAnsi="Times New Roman"/>
          <w:sz w:val="18"/>
          <w:szCs w:val="18"/>
          <w:color w:val="auto"/>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spacing w:after="0" w:line="172" w:lineRule="exact"/>
        <w:rPr>
          <w:sz w:val="20"/>
          <w:szCs w:val="20"/>
          <w:color w:val="auto"/>
        </w:rPr>
      </w:pPr>
    </w:p>
    <w:p>
      <w:pPr>
        <w:ind w:right="2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change their recommendations regarding our common stock adversely, the trading price of our common stock and trading volume could decline.</w:t>
      </w:r>
    </w:p>
    <w:p>
      <w:pPr>
        <w:spacing w:after="0" w:line="160"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spacing w:after="0" w:line="182" w:lineRule="exact"/>
        <w:rPr>
          <w:sz w:val="20"/>
          <w:szCs w:val="20"/>
          <w:color w:val="auto"/>
        </w:rPr>
      </w:pPr>
    </w:p>
    <w:p>
      <w:pPr>
        <w:ind w:right="14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60" w:lineRule="exact"/>
        <w:rPr>
          <w:sz w:val="20"/>
          <w:szCs w:val="20"/>
          <w:color w:val="auto"/>
        </w:rPr>
      </w:pPr>
    </w:p>
    <w:p>
      <w:pPr>
        <w:ind w:right="80" w:firstLine="480"/>
        <w:spacing w:after="0" w:line="307" w:lineRule="auto"/>
        <w:rPr>
          <w:sz w:val="20"/>
          <w:szCs w:val="20"/>
          <w:color w:val="auto"/>
        </w:rPr>
      </w:pPr>
      <w:r>
        <w:rPr>
          <w:rFonts w:ascii="Times New Roman" w:cs="Times New Roman" w:eastAsia="Times New Roman" w:hAnsi="Times New Roman"/>
          <w:sz w:val="17"/>
          <w:szCs w:val="17"/>
          <w:color w:val="auto"/>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spacing w:after="0" w:line="140" w:lineRule="exact"/>
        <w:rPr>
          <w:sz w:val="20"/>
          <w:szCs w:val="20"/>
          <w:color w:val="auto"/>
        </w:rPr>
      </w:pPr>
    </w:p>
    <w:p>
      <w:pPr>
        <w:ind w:left="960" w:right="420" w:hanging="313"/>
        <w:spacing w:after="0" w:line="277"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is classified into three classes of directors with staggered three-year terms;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instead requiring all stockholder actions to be taken at a meeting of our stockholders;</w:t>
      </w:r>
    </w:p>
    <w:p>
      <w:pPr>
        <w:spacing w:after="0" w:line="219" w:lineRule="exact"/>
        <w:rPr>
          <w:rFonts w:ascii="Times New Roman" w:cs="Times New Roman" w:eastAsia="Times New Roman" w:hAnsi="Times New Roman"/>
          <w:sz w:val="18"/>
          <w:szCs w:val="18"/>
          <w:color w:val="auto"/>
        </w:rPr>
      </w:pPr>
    </w:p>
    <w:p>
      <w:pPr>
        <w:ind w:left="960" w:right="680" w:hanging="313"/>
        <w:spacing w:after="0" w:line="277"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of directors and stockholder meetings; and</w:t>
      </w:r>
    </w:p>
    <w:p>
      <w:pPr>
        <w:spacing w:after="0" w:line="219" w:lineRule="exact"/>
        <w:rPr>
          <w:rFonts w:ascii="Times New Roman" w:cs="Times New Roman" w:eastAsia="Times New Roman" w:hAnsi="Times New Roman"/>
          <w:sz w:val="18"/>
          <w:szCs w:val="18"/>
          <w:color w:val="auto"/>
        </w:rPr>
      </w:pPr>
    </w:p>
    <w:p>
      <w:pPr>
        <w:ind w:left="960" w:right="340" w:hanging="313"/>
        <w:spacing w:after="0" w:line="262"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0"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76"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ind w:right="120" w:firstLine="48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bylaws provide that the Court of Chancery of the State of Delaware is the exclusive forum for the following types of actions or proceedings under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statutory or common law:</w:t>
      </w:r>
    </w:p>
    <w:p>
      <w:pPr>
        <w:spacing w:after="0" w:line="201" w:lineRule="exact"/>
        <w:rPr>
          <w:sz w:val="20"/>
          <w:szCs w:val="20"/>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 owed by our directors, officers, employees or our stockholders;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 (the “Delaware Forum Provision”).</w:t>
      </w:r>
    </w:p>
    <w:p>
      <w:pPr>
        <w:spacing w:after="0" w:line="220"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5"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bylaws to be inapplicable or unenforceable in an action, we may incur additional costs associated with resolving the dispute in other jurisdictions, which could seriously harm our business.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0" w:lineRule="exact"/>
        <w:rPr>
          <w:sz w:val="20"/>
          <w:szCs w:val="20"/>
          <w:color w:val="auto"/>
        </w:rPr>
      </w:pPr>
    </w:p>
    <w:p>
      <w:pPr>
        <w:ind w:right="4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pandemics, earthquakes, fire, floods and other natural catastrophic events, and to interruption by man-made problems such as power disruptions, computer viruses, security breaches and incidents, terrorism or war.</w:t>
      </w:r>
    </w:p>
    <w:p>
      <w:pPr>
        <w:spacing w:after="0" w:line="160" w:lineRule="exact"/>
        <w:rPr>
          <w:sz w:val="20"/>
          <w:szCs w:val="20"/>
          <w:color w:val="auto"/>
        </w:rPr>
      </w:pPr>
    </w:p>
    <w:p>
      <w:pPr>
        <w:ind w:right="140" w:firstLine="480"/>
        <w:spacing w:after="0" w:line="269" w:lineRule="auto"/>
        <w:rPr>
          <w:sz w:val="20"/>
          <w:szCs w:val="20"/>
          <w:color w:val="auto"/>
        </w:rPr>
      </w:pPr>
      <w:r>
        <w:rPr>
          <w:rFonts w:ascii="Times New Roman" w:cs="Times New Roman" w:eastAsia="Times New Roman" w:hAnsi="Times New Roman"/>
          <w:sz w:val="17"/>
          <w:szCs w:val="17"/>
          <w:color w:val="auto"/>
        </w:rPr>
        <w:t>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could cause disruptions in our or our customers’ businesses, national economies or the world economy as a whole.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and outages, reputational harm, delays in our development activities, lengthy interruptions in service, security breaches and incidents and loss or unavailability of critical data, any of which could adversely affect our business, results of operations and financial condition.</w:t>
      </w:r>
    </w:p>
    <w:p>
      <w:pPr>
        <w:spacing w:after="0" w:line="186"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and/or business could be negatively impacted by ESG matters and/or our reporting of such matters.</w:t>
      </w:r>
    </w:p>
    <w:p>
      <w:pPr>
        <w:spacing w:after="0" w:line="224"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There is an increasing focus on ESG matters from governmental authorities, investors, customers and other stakeholders, whose expectations are evolving and may be contradictory. Our decisions regarding ESG-related initiatives, goals, or commitments, including whether to pursue them, and/or the extent to which we achieve them, may be scrutinized and could negatively impact our reputation, result in reduced customer demand or certain investors not purchasing or holding our stock, harm our ability to attract and retain qualified employees, or otherwise materially harm our business. Additionally, compliance with current or future legal requirements or stakeholder expectations regarding ESG matters, including disclosure and reporting obligations, may result in increased costs, and legal and operational risks.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4"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Our board of directors recognizes the critical importance of maintaining the trust and confidence of our customers, clients, business partners and employees. Our board of directors is actively involved in oversight of our risk management program, and cybersecurity represents an important component of our overall approach to enterprise risk management (“ERM”).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4"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We have policies, standards, processes and practices for assessing, identifying, and managing material risk from cybersecurity threats that are integrated into our ERM systems and processes</w:t>
      </w:r>
      <w:r>
        <w:rPr>
          <w:rFonts w:ascii="Times New Roman" w:cs="Times New Roman" w:eastAsia="Times New Roman" w:hAnsi="Times New Roman"/>
          <w:sz w:val="18"/>
          <w:szCs w:val="18"/>
          <w:color w:val="211D1E"/>
        </w:rPr>
        <w:t>.</w:t>
      </w:r>
      <w:r>
        <w:rPr>
          <w:rFonts w:ascii="Times New Roman" w:cs="Times New Roman" w:eastAsia="Times New Roman" w:hAnsi="Times New Roman"/>
          <w:sz w:val="18"/>
          <w:szCs w:val="18"/>
          <w:color w:val="auto"/>
        </w:rPr>
        <w:t xml:space="preserve"> Our cross-functional approach to cybersecurity risk management is focused on preserving the confidentiality, integrity, and availability of our information systems by identifying, preventing and mitigating cybersecurity threats and effectively responding to cybersecurity incidents when they occur. As part of this approach, we have implemented controls and procedures that provide for the prompt escalation of certain cybersecurity incidents to enable timely decisions by management regarding the public disclosure and reporting of such incidents.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cybersecurity program is focused on the following key areas:</w:t>
      </w:r>
    </w:p>
    <w:p>
      <w:pPr>
        <w:spacing w:after="0" w:line="218" w:lineRule="exact"/>
        <w:rPr>
          <w:sz w:val="20"/>
          <w:szCs w:val="20"/>
          <w:color w:val="auto"/>
        </w:rPr>
      </w:pPr>
    </w:p>
    <w:p>
      <w:pPr>
        <w:ind w:right="20" w:firstLine="487"/>
        <w:spacing w:after="0" w:line="258"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Governance. </w:t>
      </w:r>
      <w:r>
        <w:rPr>
          <w:rFonts w:ascii="Times New Roman" w:cs="Times New Roman" w:eastAsia="Times New Roman" w:hAnsi="Times New Roman"/>
          <w:sz w:val="18"/>
          <w:szCs w:val="18"/>
          <w:color w:val="auto"/>
        </w:rPr>
        <w:t>As discussed in more detail under the heading “Governance” below, our board of directors’ oversight of cybersecurity risk is supported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our audit committee, which regularly interacts with our ERM function, our Chief Digital Officer (“CDO”), our Chief Information Security Officer (“CISO”), other members of management, and relevant committees and working groups, including management’s Enterprise Risk Committee (“ERC”), Cyber Incident Task Force (“CITF”), and Security Incident Response Team (“SIRT”), in its oversight of cybersecurity-related risk.</w:t>
      </w:r>
    </w:p>
    <w:p>
      <w:pPr>
        <w:spacing w:after="0" w:line="177" w:lineRule="exact"/>
        <w:rPr>
          <w:rFonts w:ascii="Times New Roman" w:cs="Times New Roman" w:eastAsia="Times New Roman" w:hAnsi="Times New Roman"/>
          <w:sz w:val="18"/>
          <w:szCs w:val="18"/>
          <w:color w:val="auto"/>
        </w:rPr>
      </w:pPr>
    </w:p>
    <w:p>
      <w:pPr>
        <w:ind w:right="180" w:firstLine="487"/>
        <w:spacing w:after="0" w:line="258"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Assessment. </w:t>
      </w:r>
      <w:r>
        <w:rPr>
          <w:rFonts w:ascii="Times New Roman" w:cs="Times New Roman" w:eastAsia="Times New Roman" w:hAnsi="Times New Roman"/>
          <w:sz w:val="18"/>
          <w:szCs w:val="18"/>
          <w:color w:val="auto"/>
        </w:rPr>
        <w:t>We devote significant resources and designate high-level personnel, including our ERC, which includes our CDO, our CISO,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Legal Officer (“CLO”), our Vice President of Internal Audit, and our Vice President of Ethics, Compliance and Risk Management, to manage the cybersecurity risk assessment and mitigation process. We conduct security assessments both internally and with the assistance of third parties to identify cybersecurity threats periodically and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identify any potentially material changes in our business practices that may affect information systems that are vulnerable to such cybersecurity threats. These security assessments include identification of reasonably foreseeable internal and external risks, the likelihood and potential impact of such risks, and the sufficiency and effectiveness of existing policies, procedures, systems, and controls to manage such risks. Risk themes identified during our risk assessments guide annual cybersecurity planning activities and investments to improve security coverage, technology capabilities and processes.</w:t>
      </w:r>
    </w:p>
    <w:p>
      <w:pPr>
        <w:spacing w:after="0" w:line="179" w:lineRule="exact"/>
        <w:rPr>
          <w:sz w:val="20"/>
          <w:szCs w:val="20"/>
          <w:color w:val="auto"/>
        </w:rPr>
      </w:pPr>
    </w:p>
    <w:p>
      <w:pPr>
        <w:ind w:right="20" w:firstLine="487"/>
        <w:spacing w:after="0" w:line="251"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Technical Safeguards. </w:t>
      </w:r>
      <w:r>
        <w:rPr>
          <w:rFonts w:ascii="Times New Roman" w:cs="Times New Roman" w:eastAsia="Times New Roman" w:hAnsi="Times New Roman"/>
          <w:sz w:val="18"/>
          <w:szCs w:val="18"/>
          <w:color w:val="auto"/>
        </w:rPr>
        <w:t>We deploy, maintain, and regularly monitor the effectiveness of technical safeguards that are designed to protect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systems from cybersecurity threats. We align our security program to recognized frameworks and industry standards. We make investments in core security capabilities, including awareness and training, identity and access, incident response, product security, cloud security, enterprise security, risk management, and supply chain risk, in order to enable us to better identify, protect, detect, respond to, and recover from evolving security threats. Our technical safeguards include firewalls, intrusion prevention and detection systems, anti-malware functionality and access controls, which are evaluated and improved through internal and external security assessments and cybersecurity threat intelligence. We regularly assess our safeguards through internal testing by our assurance teams. We also leverage external third-party testing (e.g., penetration testing, attack surface mapping, and security maturity assessments) and seek third-party certifications (e.g., SOC2, ISO, and PCI DSS). Following our risk assessments, we evaluate whether and/or how to re-design and/or enhance our safeguards to reasonably address any identified risks or gaps.</w:t>
      </w:r>
    </w:p>
    <w:p>
      <w:pPr>
        <w:spacing w:after="0" w:line="186" w:lineRule="exact"/>
        <w:rPr>
          <w:rFonts w:ascii="Times New Roman" w:cs="Times New Roman" w:eastAsia="Times New Roman" w:hAnsi="Times New Roman"/>
          <w:sz w:val="18"/>
          <w:szCs w:val="18"/>
          <w:color w:val="auto"/>
        </w:rPr>
      </w:pPr>
    </w:p>
    <w:p>
      <w:pPr>
        <w:ind w:right="140" w:firstLine="487"/>
        <w:spacing w:after="0" w:line="279"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Incident Response and Recovery Planning. </w:t>
      </w:r>
      <w:r>
        <w:rPr>
          <w:rFonts w:ascii="Times New Roman" w:cs="Times New Roman" w:eastAsia="Times New Roman" w:hAnsi="Times New Roman"/>
          <w:sz w:val="18"/>
          <w:szCs w:val="18"/>
          <w:color w:val="auto"/>
        </w:rPr>
        <w:t>We have established comprehensive incident response and recovery plans that address the full lifecycle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response to a cybersecurity incident. These plans are periodically tested and evaluated.</w:t>
      </w:r>
    </w:p>
    <w:p>
      <w:pPr>
        <w:spacing w:after="0" w:line="159" w:lineRule="exact"/>
        <w:rPr>
          <w:rFonts w:ascii="Times New Roman" w:cs="Times New Roman" w:eastAsia="Times New Roman" w:hAnsi="Times New Roman"/>
          <w:sz w:val="18"/>
          <w:szCs w:val="18"/>
          <w:color w:val="auto"/>
        </w:rPr>
      </w:pPr>
    </w:p>
    <w:p>
      <w:pPr>
        <w:ind w:right="120" w:firstLine="487"/>
        <w:spacing w:after="0" w:line="253"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Third-Party Risk Management. </w:t>
      </w:r>
      <w:r>
        <w:rPr>
          <w:rFonts w:ascii="Times New Roman" w:cs="Times New Roman" w:eastAsia="Times New Roman" w:hAnsi="Times New Roman"/>
          <w:sz w:val="18"/>
          <w:szCs w:val="18"/>
          <w:color w:val="auto"/>
        </w:rPr>
        <w:t>We maintain a comprehensive, risk-based approach to identifying and overseeing cybersecurity risks presented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parties, including vendors, service providers and other external users of our systems, as well as the systems of third parties that could adversely impact our business in the event of a cybersecurity incident affecting those third-party systems. We perform due diligence on vendors, service providers and other third-party users of our systems at initial onboarding and periodically thereafter. We require that third-party service providers have the ability to implement and maintain reasonable and appropriate security measures, consistent with applicable laws, in connection with their work with us, and to promptly report any actual or suspected breach of their security measures that may affect our company.</w:t>
      </w:r>
    </w:p>
    <w:p>
      <w:pPr>
        <w:spacing w:after="0" w:line="185" w:lineRule="exact"/>
        <w:rPr>
          <w:rFonts w:ascii="Times New Roman" w:cs="Times New Roman" w:eastAsia="Times New Roman" w:hAnsi="Times New Roman"/>
          <w:sz w:val="18"/>
          <w:szCs w:val="18"/>
          <w:color w:val="auto"/>
        </w:rPr>
      </w:pPr>
    </w:p>
    <w:p>
      <w:pPr>
        <w:ind w:right="20" w:firstLine="487"/>
        <w:spacing w:after="0" w:line="255"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Awareness and Training. </w:t>
      </w:r>
      <w:r>
        <w:rPr>
          <w:rFonts w:ascii="Times New Roman" w:cs="Times New Roman" w:eastAsia="Times New Roman" w:hAnsi="Times New Roman"/>
          <w:sz w:val="18"/>
          <w:szCs w:val="18"/>
          <w:color w:val="auto"/>
        </w:rPr>
        <w:t>Our security awareness program requires that employees and certain contractors complete comprehensive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 upon joining the company and annually thereafter. The training covers critical security topics to ensure our workforce stays informed about top-of-mind security areas, such as phishing. The training helps ensure that our personnel have the knowledge and skills required to protect our digital assets and critical data. In addition, we conduct awareness campaigns on cybersecurity threats as a means to equip our personnel with effective tools to address such threats and to communicate our evolving information security policies, standards, processes and practices.</w:t>
      </w:r>
    </w:p>
    <w:p>
      <w:pPr>
        <w:spacing w:after="0" w:line="183"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211D1E"/>
        </w:rPr>
        <w:t>We engage in the periodic assessment and testing of our cybersecurity policies, standards, processes and practices, including through audits, assessments, tabletop exercises, threat modeling, vulnerability testing and other exercises focused on evaluating the effectiveness of our cybersecurity measures and planning. To assist with such assessment and testing, we engage assessors, consultants, auditors, and other third parties to perform assessments on our cybersecurity measures, including for third-party testing and certifications (as described above under “Technical Safeguards”), information security maturity assessments, customer audits, and independent reviews of our information security control environment and operating effectiveness. The material results of such assessments, audits and reviews are reported to our audit committee, and we adjust our cybersecurity policies, standards, processes and practices as necessary based on the information provided.</w:t>
      </w:r>
    </w:p>
    <w:p>
      <w:pPr>
        <w:spacing w:after="0" w:line="187"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211D1E"/>
        </w:rPr>
        <w:t>To date, cybersecurity threats, including as a result of any previous cybersecurity incidents, have not materially affected our company, including our business strategy, results of operations, or financial condition. For additional information regarding whether any risks from cybersecurity threats, including as a result of any previous cybersecurity incidents, are reasonably likely to materially affect our company in the future, including our business strategy, results of operations, or financial condition, see Part I, Item 1A, “Risk Factors” in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4" w:lineRule="exact"/>
        <w:rPr>
          <w:sz w:val="20"/>
          <w:szCs w:val="20"/>
          <w:color w:val="auto"/>
        </w:rPr>
      </w:pPr>
    </w:p>
    <w:p>
      <w:pPr>
        <w:jc w:val="both"/>
        <w:ind w:right="40" w:firstLine="480"/>
        <w:spacing w:after="0" w:line="257" w:lineRule="auto"/>
        <w:rPr>
          <w:sz w:val="20"/>
          <w:szCs w:val="20"/>
          <w:color w:val="auto"/>
        </w:rPr>
      </w:pPr>
      <w:r>
        <w:rPr>
          <w:rFonts w:ascii="Times New Roman" w:cs="Times New Roman" w:eastAsia="Times New Roman" w:hAnsi="Times New Roman"/>
          <w:sz w:val="18"/>
          <w:szCs w:val="18"/>
          <w:color w:val="211D1E"/>
        </w:rPr>
        <w:t xml:space="preserve">Our board of directors, in coordination with our audit committee, oversees our ERM process, including the management of cybersecurity risks, and is responsible for monitoring and assessing strategic risk exposure. Our management team and its committees, including our ERC, our CITF, </w:t>
      </w:r>
      <w:r>
        <w:rPr>
          <w:rFonts w:ascii="Times New Roman" w:cs="Times New Roman" w:eastAsia="Times New Roman" w:hAnsi="Times New Roman"/>
          <w:sz w:val="18"/>
          <w:szCs w:val="18"/>
          <w:color w:val="000000"/>
        </w:rPr>
        <w:t>our SIRT</w:t>
      </w:r>
      <w:r>
        <w:rPr>
          <w:rFonts w:ascii="Times New Roman" w:cs="Times New Roman" w:eastAsia="Times New Roman" w:hAnsi="Times New Roman"/>
          <w:sz w:val="18"/>
          <w:szCs w:val="18"/>
          <w:color w:val="211D1E"/>
        </w:rPr>
        <w:t>, and our core information security operational teams, in partnership with our engineering teams, are responsible for the day-to-day management and mitigation of the material cybersecurity risks we face.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firstLine="480"/>
        <w:spacing w:after="0" w:line="271" w:lineRule="auto"/>
        <w:rPr>
          <w:sz w:val="20"/>
          <w:szCs w:val="20"/>
          <w:color w:val="auto"/>
        </w:rPr>
      </w:pPr>
      <w:r>
        <w:rPr>
          <w:rFonts w:ascii="Times New Roman" w:cs="Times New Roman" w:eastAsia="Times New Roman" w:hAnsi="Times New Roman"/>
          <w:sz w:val="17"/>
          <w:szCs w:val="17"/>
          <w:color w:val="211D1E"/>
        </w:rPr>
        <w:t>Our board of directors administers its cybersecurity risk oversight function as a whole, as well as through our audit committee. Our audit committee receives regular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and risks relating to cybersecurity incidents. Our board of directors has previously received quarterly updates from our audit committee on ERM and cybersecurity risks after the audit committee is updated by management but, as a reflection of the importance we place on managing and overseeing cybersecurity risk, management expects to provide quarterly updates directly to the board of directors beginning in 2025.</w:t>
      </w:r>
    </w:p>
    <w:p>
      <w:pPr>
        <w:spacing w:after="0" w:line="170"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211D1E"/>
        </w:rPr>
        <w:t xml:space="preserve">Our ERC, </w:t>
      </w:r>
      <w:r>
        <w:rPr>
          <w:rFonts w:ascii="Times New Roman" w:cs="Times New Roman" w:eastAsia="Times New Roman" w:hAnsi="Times New Roman"/>
          <w:sz w:val="18"/>
          <w:szCs w:val="18"/>
          <w:color w:val="000000"/>
        </w:rPr>
        <w:t>comprised of our CLO, our CDO, our CISO, our Vice President of Internal Audit, and our Vice President of Ethics, Compliance and Risk</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 xml:space="preserve">Management, among others, oversees our ERM activities, including cybersecurity-related risks. </w:t>
      </w:r>
      <w:r>
        <w:rPr>
          <w:rFonts w:ascii="Times New Roman" w:cs="Times New Roman" w:eastAsia="Times New Roman" w:hAnsi="Times New Roman"/>
          <w:sz w:val="18"/>
          <w:szCs w:val="18"/>
          <w:color w:val="211D1E"/>
        </w:rPr>
        <w:t>Our CDO and our CISO (who reports to our CDO) are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1D1E"/>
        </w:rPr>
        <w:t>primarily responsible for the assessment and management of our material risks from cybersecurity threats, working collaboratively and cross-functionally to design and implement our cybersecurity policies and processes, including those described in “Risk Management and Strategy” above, and for responding to any cybersecurity incidents. In addition, our CITF (which includes our CDO, our CISO, our CLO, and our Chief Financial Officer (“CFO”)) is primarily responsible for evaluating cybersecurity incidents, gathering and assessing facts relevant to applicable regulatory reporting and disclosure obligations, making recommendations to our Chief Executive Officer and CFO regarding such disclosure, and advising our board of directors and audit committee on the effectiveness of policies and procedures related to the disclosure of cybersecurity incidents.</w:t>
      </w:r>
    </w:p>
    <w:p>
      <w:pPr>
        <w:spacing w:after="0" w:line="190" w:lineRule="exact"/>
        <w:rPr>
          <w:sz w:val="20"/>
          <w:szCs w:val="20"/>
          <w:color w:val="auto"/>
        </w:rPr>
      </w:pPr>
    </w:p>
    <w:p>
      <w:pPr>
        <w:ind w:right="120" w:firstLine="480"/>
        <w:spacing w:after="0" w:line="284" w:lineRule="auto"/>
        <w:rPr>
          <w:sz w:val="20"/>
          <w:szCs w:val="20"/>
          <w:color w:val="auto"/>
        </w:rPr>
      </w:pPr>
      <w:r>
        <w:rPr>
          <w:rFonts w:ascii="Times New Roman" w:cs="Times New Roman" w:eastAsia="Times New Roman" w:hAnsi="Times New Roman"/>
          <w:sz w:val="17"/>
          <w:szCs w:val="17"/>
          <w:color w:val="211D1E"/>
        </w:rPr>
        <w:t>To facilitate our cybersecurity risk management program, multidisciplinary teams throughout our company are deployed to address cybersecurity threats and to respond to cybersecurity incidents. Through ongoing communications with these teams, our CDO, our CISO, and the SIRT monitor the detection, mitigation and remediation of cybersecurity threats and incidents in real time, and report such threats and incidents to the CITF when appropriate.</w:t>
      </w:r>
    </w:p>
    <w:p>
      <w:pPr>
        <w:spacing w:after="0" w:line="160"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211D1E"/>
        </w:rPr>
        <w:t>Our CDO has over 25 years of experience at technology companies and has been in the security space for over 18 years, including serving as c</w:t>
      </w:r>
      <w:r>
        <w:rPr>
          <w:rFonts w:ascii="Times New Roman" w:cs="Times New Roman" w:eastAsia="Times New Roman" w:hAnsi="Times New Roman"/>
          <w:sz w:val="18"/>
          <w:szCs w:val="18"/>
          <w:color w:val="000000"/>
        </w:rPr>
        <w:t>hief</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 xml:space="preserve">security officer at a public company and leading security engineering at another public company. Our CDO also serves on the board of directors of a publicly traded cybersecurity company. Our CDO holds an undergraduate degree in electronics engineering and a graduate degree in business administration and management. Our CISO has over 18 years of experience managing cybersecurity risks in the technology industry, including serving as the acting chief security officer at a public company and holding other senior cybersecurity leadership and operational roles at other companies. Our CISO holds an undergraduate degree in computer engineering </w:t>
      </w:r>
      <w:r>
        <w:rPr>
          <w:rFonts w:ascii="Times New Roman" w:cs="Times New Roman" w:eastAsia="Times New Roman" w:hAnsi="Times New Roman"/>
          <w:sz w:val="18"/>
          <w:szCs w:val="18"/>
          <w:color w:val="211D1E"/>
        </w:rPr>
        <w:t>and graduate degrees in electrical engineering and business administration. Our CFO,</w:t>
      </w:r>
      <w:r>
        <w:rPr>
          <w:rFonts w:ascii="Times New Roman" w:cs="Times New Roman" w:eastAsia="Times New Roman" w:hAnsi="Times New Roman"/>
          <w:sz w:val="18"/>
          <w:szCs w:val="18"/>
          <w:color w:val="000000"/>
        </w:rPr>
        <w:t xml:space="preserve"> VP of Internal Audit, and VP of Ethics, Compliance and Risk Management each hold undergraduate and/or graduate degrees in their respective fields, and have over 10 years of experience managing risks at the Company and at similar companies, including risks arising from cybersecurity threats.</w:t>
      </w:r>
    </w:p>
    <w:p>
      <w:pPr>
        <w:spacing w:after="0" w:line="190" w:lineRule="exact"/>
        <w:rPr>
          <w:sz w:val="20"/>
          <w:szCs w:val="20"/>
          <w:color w:val="auto"/>
        </w:rPr>
      </w:pPr>
    </w:p>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If one of the roles described in this Item 1C is vacant, another senior member of the applicable functional team is selected to serve on our ERC, CITF, or any other applicable committees or task forces on an interim basis, as needed.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9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Our headquarters, which serves as our principal offices for our business segments, is located in San Francisco, California, where we actively occupy 83,372 square feet of office space at 101 Spear Street. We lease additional office space in various other locations in South America, Europe and Asia. This includes our international headquarters in Dublin, Ireland, and regional offices used for business operations, sales, support, and product development for our business segments. Additional information regarding our lease commitments is available in Note 10 to our consolidated financial statements included elsewhere in this Annual Report on Form 10-K.</w:t>
      </w:r>
    </w:p>
    <w:p>
      <w:pPr>
        <w:spacing w:after="0" w:line="146"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We believe that our facilities are adequate and suitable for our current needs and that, should it be needed, suitable additional or alternative space will be available to accommodate our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4" w:lineRule="exact"/>
        <w:rPr>
          <w:sz w:val="20"/>
          <w:szCs w:val="20"/>
          <w:color w:val="auto"/>
        </w:rPr>
      </w:pPr>
    </w:p>
    <w:p>
      <w:pPr>
        <w:ind w:right="200" w:firstLine="480"/>
        <w:spacing w:after="0" w:line="277" w:lineRule="auto"/>
        <w:rPr>
          <w:sz w:val="20"/>
          <w:szCs w:val="20"/>
          <w:color w:val="auto"/>
        </w:rPr>
      </w:pPr>
      <w:r>
        <w:rPr>
          <w:rFonts w:ascii="Times New Roman" w:cs="Times New Roman" w:eastAsia="Times New Roman" w:hAnsi="Times New Roman"/>
          <w:sz w:val="18"/>
          <w:szCs w:val="18"/>
          <w:color w:val="auto"/>
        </w:rPr>
        <w:t>Refer to Note 17(b) to our consolidated financial statements included elsewhere in this Annual Report on Form 10-K for a description of our current material legal proceedings.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7" w:lineRule="exact"/>
        <w:rPr>
          <w:sz w:val="20"/>
          <w:szCs w:val="20"/>
          <w:color w:val="auto"/>
        </w:rPr>
      </w:pPr>
    </w:p>
    <w:p>
      <w:pPr>
        <w:ind w:right="2400"/>
        <w:spacing w:after="0" w:line="481"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for Common Stock</w:t>
      </w:r>
    </w:p>
    <w:p>
      <w:pPr>
        <w:spacing w:after="0" w:line="2" w:lineRule="exact"/>
        <w:rPr>
          <w:sz w:val="20"/>
          <w:szCs w:val="20"/>
          <w:color w:val="auto"/>
        </w:rPr>
      </w:pPr>
    </w:p>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Our Class A common stock (“common stock”) is traded on the New York Stock Exchange under the symbol “TWLO.” Our Class B common stock is neither listed nor traded, and no Class B common stock is currently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4"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As of January 31, 2025, we had 225 holders of record of our Class A common stock. There are no holders of record of our Class B common stock. The actual number of stockholders is greater than this number of holders of record and includes stockholders who are beneficial owners but whose shares are held in street name by brokers and other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4" w:lineRule="exact"/>
        <w:rPr>
          <w:sz w:val="20"/>
          <w:szCs w:val="20"/>
          <w:color w:val="auto"/>
        </w:rPr>
      </w:pPr>
    </w:p>
    <w:p>
      <w:pPr>
        <w:ind w:right="700" w:firstLine="480"/>
        <w:spacing w:after="0" w:line="277"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any future earnings and do not expect to pay any dividends in the foreseeable future.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95" w:lineRule="exact"/>
        <w:rPr>
          <w:sz w:val="20"/>
          <w:szCs w:val="20"/>
          <w:color w:val="auto"/>
        </w:rPr>
      </w:pPr>
    </w:p>
    <w:p>
      <w:pPr>
        <w:ind w:right="12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Twilio Inc. under the Securities Act of 1933, as amended (the “Securities Act”), or the Exchange Act.</w:t>
      </w:r>
    </w:p>
    <w:p>
      <w:pPr>
        <w:spacing w:after="0" w:line="135"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We have presented below the cumulative five-year total return to our stockholders in comparison to the S&amp;P 500 Index and S&amp;P 500 Information Technology Index. An investment of $100 (with reinvestment of all dividends) is assumed to have been made in our common stock and in each respective index at the market closing price on the last trading day for the fiscal year ended December 31, 2019, and its relative performance is tracked through the last trading day for the fiscal year ended December 31, 2024.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104140</wp:posOffset>
            </wp:positionV>
            <wp:extent cx="5490210" cy="2448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90210" cy="244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84" w:lineRule="exact"/>
        <w:rPr>
          <w:sz w:val="20"/>
          <w:szCs w:val="20"/>
          <w:color w:val="auto"/>
        </w:rPr>
      </w:pPr>
    </w:p>
    <w:p>
      <w:pPr>
        <w:ind w:right="200" w:firstLine="48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we issued 88,408 shares of our unregistered common stock to an independent donor advised fund to further our Twilio.org philanthropic goals. The shares were “restricted securities” for purposes of Rule 144 under the Securities Act, and had an aggregate fair market value on the date of donation of $5.9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December 31, 2024:</w:t>
      </w:r>
    </w:p>
    <w:p>
      <w:pPr>
        <w:spacing w:after="0" w:line="200" w:lineRule="exact"/>
        <w:rPr>
          <w:sz w:val="20"/>
          <w:szCs w:val="20"/>
          <w:color w:val="auto"/>
        </w:rPr>
      </w:pPr>
    </w:p>
    <w:p>
      <w:pPr>
        <w:spacing w:after="0" w:line="30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244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47"/>
        </w:trPr>
        <w:tc>
          <w:tcPr>
            <w:tcW w:w="216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that May Yet Be Purchased Under the</w:t>
            </w:r>
          </w:p>
        </w:tc>
        <w:tc>
          <w:tcPr>
            <w:tcW w:w="0" w:type="dxa"/>
            <w:vAlign w:val="bottom"/>
          </w:tcPr>
          <w:p>
            <w:pPr>
              <w:spacing w:after="0"/>
              <w:rPr>
                <w:sz w:val="1"/>
                <w:szCs w:val="1"/>
                <w:color w:val="auto"/>
              </w:rPr>
            </w:pPr>
          </w:p>
        </w:tc>
      </w:tr>
      <w:tr>
        <w:trPr>
          <w:trHeight w:val="200"/>
        </w:trPr>
        <w:tc>
          <w:tcPr>
            <w:tcW w:w="2160" w:type="dxa"/>
            <w:vAlign w:val="bottom"/>
          </w:tcPr>
          <w:p>
            <w:pPr>
              <w:spacing w:after="0"/>
              <w:rPr>
                <w:sz w:val="17"/>
                <w:szCs w:val="17"/>
                <w:color w:val="auto"/>
              </w:rPr>
            </w:pPr>
          </w:p>
        </w:tc>
        <w:tc>
          <w:tcPr>
            <w:tcW w:w="216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(2)</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9"/>
                <w:szCs w:val="9"/>
                <w:b w:val="1"/>
                <w:bCs w:val="1"/>
                <w:color w:val="auto"/>
              </w:rPr>
              <w:t>(1)</w:t>
            </w:r>
          </w:p>
        </w:tc>
        <w:tc>
          <w:tcPr>
            <w:tcW w:w="420" w:type="dxa"/>
            <w:vAlign w:val="bottom"/>
          </w:tcPr>
          <w:p>
            <w:pPr>
              <w:spacing w:after="0"/>
              <w:rPr>
                <w:sz w:val="17"/>
                <w:szCs w:val="17"/>
                <w:color w:val="auto"/>
              </w:rPr>
            </w:pPr>
          </w:p>
        </w:tc>
        <w:tc>
          <w:tcPr>
            <w:tcW w:w="2020" w:type="dxa"/>
            <w:vAlign w:val="bottom"/>
          </w:tcPr>
          <w:p>
            <w:pPr>
              <w:jc w:val="center"/>
              <w:ind w:right="224"/>
              <w:spacing w:after="0" w:line="201" w:lineRule="exact"/>
              <w:rPr>
                <w:sz w:val="20"/>
                <w:szCs w:val="20"/>
                <w:color w:val="auto"/>
              </w:rPr>
            </w:pPr>
            <w:r>
              <w:rPr>
                <w:rFonts w:ascii="Times New Roman" w:cs="Times New Roman" w:eastAsia="Times New Roman" w:hAnsi="Times New Roman"/>
                <w:sz w:val="14"/>
                <w:szCs w:val="14"/>
                <w:b w:val="1"/>
                <w:bCs w:val="1"/>
                <w:color w:val="auto"/>
                <w:w w:val="98"/>
              </w:rPr>
              <w:t>Plans or Programs</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186"/>
        </w:trPr>
        <w:tc>
          <w:tcPr>
            <w:tcW w:w="2160" w:type="dxa"/>
            <w:vAlign w:val="bottom"/>
          </w:tcPr>
          <w:p>
            <w:pPr>
              <w:spacing w:after="0"/>
              <w:rPr>
                <w:sz w:val="16"/>
                <w:szCs w:val="16"/>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 thousands)</w:t>
            </w:r>
          </w:p>
        </w:tc>
        <w:tc>
          <w:tcPr>
            <w:tcW w:w="4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center"/>
              <w:ind w:right="224"/>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2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1 - 31, 2024</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2,527</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1"/>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1 - 30, 2024</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96.12</w:t>
            </w:r>
          </w:p>
        </w:tc>
        <w:tc>
          <w:tcPr>
            <w:tcW w:w="100" w:type="dxa"/>
            <w:vAlign w:val="bottom"/>
          </w:tcPr>
          <w:p>
            <w:pPr>
              <w:spacing w:after="0"/>
              <w:rPr>
                <w:sz w:val="18"/>
                <w:szCs w:val="18"/>
                <w:color w:val="auto"/>
              </w:rPr>
            </w:pPr>
          </w:p>
        </w:tc>
        <w:tc>
          <w:tcPr>
            <w:tcW w:w="18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1,405</w:t>
            </w: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1 - 31, 2024</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109.77</w:t>
            </w:r>
          </w:p>
        </w:tc>
        <w:tc>
          <w:tcPr>
            <w:tcW w:w="10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916</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160" w:type="dxa"/>
            <w:vAlign w:val="bottom"/>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4,848</w:t>
            </w: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_____________________________</w:t>
      </w:r>
    </w:p>
    <w:p>
      <w:pPr>
        <w:spacing w:after="0" w:line="19" w:lineRule="exact"/>
        <w:rPr>
          <w:sz w:val="20"/>
          <w:szCs w:val="20"/>
          <w:color w:val="auto"/>
        </w:rPr>
      </w:pPr>
    </w:p>
    <w:p>
      <w:pPr>
        <w:ind w:firstLine="7"/>
        <w:spacing w:after="0" w:line="278" w:lineRule="auto"/>
        <w:tabs>
          <w:tab w:leader="none" w:pos="161"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February 2023, our board of directors authorized the repurchase of up to $1.0 billion in aggregate value of our Class A common stock. In March 2024, our board of directors authorized the repurchase of an additional $2.0 billion in aggregate value of our Class A common stock. As of December 31, 2024, we repurchased $3.0 billion of outstanding shares of our Class A common stock under these prior authorizations, which expired on December 31, 2024. In January 2025, our board of directors authorized a new program to repurchase up to $2.0 billion in aggregate value of our Class A common stock, which expires on December 31, 2027. Repurchases under this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Refer to Note 18 — Stockholders' Equity in Part II, Item 8, of this Annual Report on Form 10-K for additional information related to share repurchases.</w:t>
      </w:r>
    </w:p>
    <w:p>
      <w:pPr>
        <w:spacing w:after="0" w:line="377" w:lineRule="exact"/>
        <w:rPr>
          <w:rFonts w:ascii="Times New Roman" w:cs="Times New Roman" w:eastAsia="Times New Roman" w:hAnsi="Times New Roman"/>
          <w:sz w:val="19"/>
          <w:szCs w:val="19"/>
          <w:color w:val="auto"/>
          <w:vertAlign w:val="superscript"/>
        </w:rPr>
      </w:pPr>
    </w:p>
    <w:p>
      <w:pPr>
        <w:ind w:left="160" w:hanging="153"/>
        <w:spacing w:after="0"/>
        <w:tabs>
          <w:tab w:leader="none" w:pos="1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includes costs associated with the repurchases.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2"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 Item 1A, “Risk Factors” in this Annual Report on Form 10-K.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8"/>
          <w:szCs w:val="18"/>
          <w:color w:val="auto"/>
        </w:rPr>
        <w:t>We envision a world in which every digital interaction between businesses and their customers is amazing. By combining our leading communications capabilities, plus rich contextual data, plus generative and predictive AI, we enable businesses of all sizes to revolutionize how they engage with their customers by delivering seamless, trusted and personalized customer experiences at scale. We offer communications APIs that enable developers to embed numerous forms of messaging, voice, email and video interactions into their customer-facing applications, as well as software products that target specific engagement needs, including our customer data platform, digital engagement centers, marketing campaigns, and user authentication and identity solutions. This combination of flexible APIs and software solutions helps businesses of all sizes and across numerous industries to benefit from smarter and more streamlined engagement at every step of the customer journey, including reduced customer acquisition costs, lasting loyalty and increased customer value. Our platform, which combines our highly customizable communications APIs with customer data management capabilities and AI-powered predictions and recommendations, allows businesses to break down data silos and build a comprehensive single source for their customer data that is organized into unique profiles that are easily accessible by all their business teams. Empowered with this information and the insights it enables, businesses using our platform can provide robust, personalized and effective communications to their customers at every stage of their customer relationships at scale. The value proposition of our offerings has become stronger and our products have become more strategic to our customers as businesses are increasingly prioritizing building more personalized and differentiated customer engagement experiences through digital channels.</w:t>
      </w:r>
    </w:p>
    <w:p>
      <w:pPr>
        <w:spacing w:after="0" w:line="176"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7"/>
          <w:szCs w:val="17"/>
          <w:color w:val="auto"/>
        </w:rPr>
        <w:t>On January 1, 2025, we realigned our business unit structure into a functional support model under one organization. We believe that operating as one organization best positions us as we seek to deliver one trusted, smart and integrated platform that enables more personalized communications and engagements for customers. Despite realigning our organizational structure, we continue to have two reportable segments. Our Communications reportable segment consists of a variety of APIs and software solutions to optimize communications between our customers and their end users. Our key offerings in our Communications reportable segment include Messaging, Voice, Email (which includes Marketing Campaigns), Flex, and User Authentication and Identity. Our Segment reportable segment consists of software products that enable businesses to leverage their contextual data to create unique customer profiles and achieve more effective customer engagement. Our key offering in our Segment reportable segment is our Segment product.</w:t>
      </w:r>
    </w:p>
    <w:p>
      <w:pPr>
        <w:spacing w:after="0" w:line="199" w:lineRule="exact"/>
        <w:rPr>
          <w:sz w:val="20"/>
          <w:szCs w:val="20"/>
          <w:color w:val="auto"/>
        </w:rPr>
      </w:pPr>
    </w:p>
    <w:p>
      <w:pPr>
        <w:ind w:right="280" w:firstLine="480"/>
        <w:spacing w:after="0" w:line="261" w:lineRule="auto"/>
        <w:rPr>
          <w:sz w:val="20"/>
          <w:szCs w:val="20"/>
          <w:color w:val="auto"/>
        </w:rPr>
      </w:pPr>
      <w:r>
        <w:rPr>
          <w:rFonts w:ascii="Times New Roman" w:cs="Times New Roman" w:eastAsia="Times New Roman" w:hAnsi="Times New Roman"/>
          <w:sz w:val="18"/>
          <w:szCs w:val="18"/>
          <w:color w:val="auto"/>
        </w:rPr>
        <w:t>For a comprehensive overview of our business, our platform and our products refer to Part I, Item 1, “Business,” included elsewhere in this Annual Report on Form 10-K.</w:t>
      </w:r>
    </w:p>
    <w:p>
      <w:pPr>
        <w:spacing w:after="0" w:line="177" w:lineRule="exact"/>
        <w:rPr>
          <w:sz w:val="20"/>
          <w:szCs w:val="20"/>
          <w:color w:val="auto"/>
        </w:rPr>
      </w:pPr>
    </w:p>
    <w:p>
      <w:pPr>
        <w:jc w:val="both"/>
        <w:ind w:right="120" w:firstLine="480"/>
        <w:spacing w:after="0" w:line="246" w:lineRule="auto"/>
        <w:rPr>
          <w:sz w:val="20"/>
          <w:szCs w:val="20"/>
          <w:color w:val="auto"/>
        </w:rPr>
      </w:pPr>
      <w:r>
        <w:rPr>
          <w:rFonts w:ascii="Times New Roman" w:cs="Times New Roman" w:eastAsia="Times New Roman" w:hAnsi="Times New Roman"/>
          <w:sz w:val="18"/>
          <w:szCs w:val="18"/>
          <w:color w:val="auto"/>
        </w:rPr>
        <w:t>In the years ended December 31, 2024, 2023, and 2022, our revenue was $4.5 billion, $4.2 billion and $3.8 billion, respectively, and our net loss was $109.4 million, $1.0 billion and $1.3 billion, respectively. In the years ended December 31, 2024, 2023, and 2022, our 10 largest Active Customer Accounts generated an aggregate of 10%, 10% and 12% of our total revenue,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4"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We are focused on innovation, profit, and growth. To increase revenue and grow market share, we intend to drive product innovation, leverage predictive and generative AI, further enhance our ISV, reseller and other partner relationships, improve our self-service capabilities, cross-sell our products, expand internationally, enhance Segment data warehouse interoperability, and reduce time to value for Segment. We also intend to optimize our business and take measures to reduce costs, including simplifying and further automating our business processes, modernizing our infrastructure, focusing on self-service, leveraging AI, enacting certain workforce planning initiatives, optimizing utilization of our distributed workforce and implementing other initiatives targeted at improving efficiencies in our business.</w:t>
      </w:r>
    </w:p>
    <w:p>
      <w:pPr>
        <w:spacing w:after="0" w:line="185"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 We also experience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seasonal trends due to increased consumer activity in the fourth quarter, which may result in lower sequential revenue in the first quarter.</w:t>
      </w:r>
    </w:p>
    <w:p>
      <w:pPr>
        <w:spacing w:after="0" w:line="220" w:lineRule="exact"/>
        <w:rPr>
          <w:sz w:val="20"/>
          <w:szCs w:val="20"/>
          <w:color w:val="auto"/>
        </w:rPr>
      </w:pPr>
    </w:p>
    <w:p>
      <w:pPr>
        <w:ind w:right="180" w:firstLine="480"/>
        <w:spacing w:after="0" w:line="217" w:lineRule="exact"/>
        <w:rPr>
          <w:sz w:val="20"/>
          <w:szCs w:val="20"/>
          <w:color w:val="auto"/>
        </w:rPr>
      </w:pPr>
      <w:r>
        <w:rPr>
          <w:rFonts w:ascii="Times New Roman" w:cs="Times New Roman" w:eastAsia="Times New Roman" w:hAnsi="Times New Roman"/>
          <w:sz w:val="18"/>
          <w:szCs w:val="18"/>
          <w:color w:val="auto"/>
        </w:rPr>
        <w:t>Our gross profit and gross margin are impacted by a number of factors, including our product mix; our ability to manage our cloud infrastructure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and network service provider fees, including A2P SMS fees; changes in foreign exchange rates; the timing of amortization of capitalized software development costs and acquired intangibles; the extent to which we periodically choose to adjust prices of our products; and the timing and extent of our investments in our operations. Our gross margin is also impacted by the mix of U.S. messaging termination compared to international messaging termination, as international messaging has lower gross margins.</w:t>
      </w:r>
    </w:p>
    <w:p>
      <w:pPr>
        <w:spacing w:after="0" w:line="199" w:lineRule="exact"/>
        <w:rPr>
          <w:sz w:val="20"/>
          <w:szCs w:val="20"/>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We migrated part of Segment’s architecture to a new infrastructure provider in 2024, which we expect will allow us to recognize greater operational efficiency and scale up new AI-driven products and features. This migration resulted in overlapping expenses with our original and new vendors for much of 2024, which negatively impacted Segment gross margins. The migration was largely completed as of December 31, 2024.</w:t>
      </w:r>
    </w:p>
    <w:p>
      <w:pPr>
        <w:spacing w:after="0" w:line="176"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In 2024, we introduced a company-wide annual cash bonus program to reduce our use of equity compensation. The bonus payout amount for each eligible participant is determined based on the Company and the individual full year performance metrics. In the year ended December 31, 2024, we recorded $134.1 million of expense related to this program. The program provided for a 25% mid-year bonus cash payment in its initial year only, which resulted in a $24.3 million cash payment in July 2024. As of December 31, 2024, the accrued bonus liability was $109.8 million recorded in the accrued expenses and other current liabilities in our consolidated balance sheet included elsewhere in this Annual Report on Form 10-K. The bonus will be paid in March of 2025. The introduction of this bonus program and reduction of our use of equity compensation impacted our expenses commencing in 2024. We expect that the reduction of our use of equity compensation will reduce our operating expenses in future periods.</w:t>
      </w:r>
    </w:p>
    <w:p>
      <w:pPr>
        <w:spacing w:after="0" w:line="187"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In February 2023, one of our customers, Oi SA, a Brazilian telecom company, initiated reorganization proceedings in a Brazilian bankruptcy court and exposed us to risks on collections of pre-petition receivables and ongoing revenue. In April 2024, the creditors of Oi SA approved a Judicial Reorganization Plan (the “Oi Reorganization Plan”) that aims to ensure Oi SA’s operational feasibility and continuity of activities and further provides extended and discounted payment terms for pre-petition receivables. The Oi Reorganization Plan was subsequently ratified by the Brazilian bankruptcy court and contains various contingencies. As a result of a reduction in ongoing payment activity from this customer, as of December 31, 2024, we have fully reserved the pre-petition and post-petition accounts receivable due from Oi SA of $15.2 million and $13.5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4" w:lineRule="exact"/>
        <w:rPr>
          <w:sz w:val="20"/>
          <w:szCs w:val="20"/>
          <w:color w:val="auto"/>
        </w:rPr>
      </w:pPr>
    </w:p>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We review a number of operational and financial metrics, including Active Customer Accounts and Dollar-Based Net Expansion Rate, to evaluate our business, measure our performance, identify trends affecting our business, formulate business plans and make strategic decisions.</w:t>
      </w:r>
    </w:p>
    <w:p>
      <w:pPr>
        <w:spacing w:after="0" w:line="163" w:lineRule="exact"/>
        <w:rPr>
          <w:sz w:val="20"/>
          <w:szCs w:val="20"/>
          <w:color w:val="auto"/>
        </w:rPr>
      </w:pPr>
    </w:p>
    <w:p>
      <w:pPr>
        <w:ind w:right="320"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summarizes our year-over-year revenue growth and Dollar-Based Net Expansion Rate for the years ended December 31, 2024, 2023 and 2022, and the number of Active Customer Accounts as of December 31, 2024, 2023 and 2022.</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6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8"/>
        </w:trPr>
        <w:tc>
          <w:tcPr>
            <w:tcW w:w="6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Active Customer Accounts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290,000</w:t>
            </w:r>
          </w:p>
        </w:tc>
      </w:tr>
      <w:tr>
        <w:trPr>
          <w:trHeight w:val="211"/>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 (in thousands)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4,458,036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4,153,945</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3,826,321</w:t>
            </w:r>
          </w:p>
        </w:tc>
      </w:tr>
      <w:tr>
        <w:trPr>
          <w:trHeight w:val="216"/>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Revenue Growth Rate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09"/>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Dollar-Based Net Expansion Rate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Active Customer Accounts</w:t>
      </w:r>
    </w:p>
    <w:p>
      <w:pPr>
        <w:spacing w:after="0" w:line="224" w:lineRule="exact"/>
        <w:rPr>
          <w:sz w:val="20"/>
          <w:szCs w:val="20"/>
          <w:color w:val="auto"/>
        </w:rPr>
      </w:pPr>
    </w:p>
    <w:p>
      <w:pPr>
        <w:ind w:right="180" w:firstLine="480"/>
        <w:spacing w:after="0" w:line="252" w:lineRule="auto"/>
        <w:rPr>
          <w:sz w:val="20"/>
          <w:szCs w:val="20"/>
          <w:color w:val="auto"/>
        </w:rPr>
      </w:pPr>
      <w:r>
        <w:rPr>
          <w:rFonts w:ascii="Times New Roman" w:cs="Times New Roman" w:eastAsia="Times New Roman" w:hAnsi="Times New Roman"/>
          <w:sz w:val="18"/>
          <w:szCs w:val="18"/>
          <w:color w:val="auto"/>
        </w:rPr>
        <w:t>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 (“Zipwhip”). Communications Active Customer Accounts and Segment Active Customer Accounts are calculated using the same methodology, but using only revenue recognized from accounts in the respective segment. When presented in this Annual Report on Form 10-K, (i) the number of Active Customer Accounts is rounded down to the nearest thousand, (ii) the number of Communications Active Customer Accounts is rounded down to the nearest thousand, and (iii) the number of Segment Active Customer Accounts is rounded down to the nearest hundred.</w:t>
      </w:r>
    </w:p>
    <w:p>
      <w:pPr>
        <w:spacing w:after="0" w:line="18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Our business and customer relationships have grown since we began reporting the number of Active Customer Accounts using the above definition, which is anchored to a minimum $5 monthly revenue figure. We have a large number of Active Customer Accounts with relatively low individual spend that in the aggregate do not drive a significant portion of our revenue. Due to this dynamic, we believe that the number of Active Customer Accounts, as currently defined, is less informative now as an indicator of the growth of our business and future revenue trends than it has been in prior periods. In the three years ended December 31, 2024, 2023 and 2022, revenue from Active Customer Accounts represented over 99% of total revenue in each period.</w:t>
      </w:r>
    </w:p>
    <w:p>
      <w:pPr>
        <w:spacing w:after="0" w:line="145"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Dollar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Net Expansion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-44450</wp:posOffset>
            </wp:positionV>
            <wp:extent cx="6350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241"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Our Dollar-Based Net Expansion Rate compares the total revenue from all Active Customer Accounts and customer accounts from Zipwhip in a quarter to the same quarter in the prior year. To calculate the Dollar-Based Net Expansion Rate, we first identify the cohort of Active Customer Accounts and customer accounts from Zipwhip that were Active Customer Accounts or customer accounts from Zipwhip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As a result, for the year ended December 31, 2024, our Dollar-Based Net Expansion Rate excludes the contributions from acquisitions made after October 1, 2023. Revenue from divestitures does not impact the Dollar-Based Net Expansion Rate calculation beginning in the quarter the divestiture closed, unless the divestiture closing date is the last day of a quarter. As a result, for the year ended December 31, 2024, our Dollar-Based Net Expansion Rate excludes the contributions from divestitures made after December 31, 2023. Communications Dollar-Based Net Expansion Rate and Segment Dollar-Based Net Expansion Rate are calculated using the same methodology, but using only revenue attributable to the respective segment and Active Customer Accounts and customer accounts from Zipwhip for that respective segment.</w:t>
      </w:r>
    </w:p>
    <w:p>
      <w:pPr>
        <w:spacing w:after="0" w:line="19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We believe that measuring Dollar-Based Net Expansion Rate, on an aggregate basis and at the segment level, provides an important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ind w:right="12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recognize revenue from our products on either a usage basis or a subscription basis, depending on the nature of the product and the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customer contract.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The majority of our Communications reportable segment revenue is derived from usage-based fees. The usage-based fees are earned when customers access our cloud-based platform and start using our products. Examples of our primarily usage-based Communications products are Messaging and Voice. For Messaging products, we primarily charge fees related to the number of text messages sent or received. For Voice products, we primarily charge fees for minutes of call duration. Examples of our primarily subscription-based Communications products are Email (which includes Marketing Campaigns) and Flex. For these products, we recognize revenue evenly over the contract term.</w:t>
      </w:r>
    </w:p>
    <w:p>
      <w:pPr>
        <w:spacing w:after="0" w:line="186" w:lineRule="exact"/>
        <w:rPr>
          <w:sz w:val="20"/>
          <w:szCs w:val="20"/>
          <w:color w:val="auto"/>
        </w:rPr>
      </w:pPr>
    </w:p>
    <w:p>
      <w:pPr>
        <w:ind w:right="380" w:firstLine="480"/>
        <w:spacing w:after="0" w:line="277" w:lineRule="auto"/>
        <w:rPr>
          <w:sz w:val="20"/>
          <w:szCs w:val="20"/>
          <w:color w:val="auto"/>
        </w:rPr>
      </w:pPr>
      <w:r>
        <w:rPr>
          <w:rFonts w:ascii="Times New Roman" w:cs="Times New Roman" w:eastAsia="Times New Roman" w:hAnsi="Times New Roman"/>
          <w:sz w:val="18"/>
          <w:szCs w:val="18"/>
          <w:color w:val="auto"/>
        </w:rPr>
        <w:t>Our Segment reportable segment revenue is derived from Segment products that are subscription-based. For these products we recognize revenue evenly over the contract term.</w:t>
      </w:r>
    </w:p>
    <w:p>
      <w:pPr>
        <w:spacing w:after="0" w:line="163" w:lineRule="exact"/>
        <w:rPr>
          <w:sz w:val="20"/>
          <w:szCs w:val="20"/>
          <w:color w:val="auto"/>
        </w:rPr>
      </w:pPr>
    </w:p>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When our usage-based products are embedded into our subscription-based products, we charge for each product separately on a usage or subscription basis, respectively, and record the revenue in the reportable segment in which each product resides.</w:t>
      </w:r>
    </w:p>
    <w:p>
      <w:pPr>
        <w:spacing w:after="0" w:line="163"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Most of our usage-based customers gain access to our platform through our self-service sign-up format,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 Usage-based customers subject to such contracts are typically invoiced monthly in arrears for products used. In the years ended December 31, 2024, 2023 and 2022, we generated 72%, 71% and 73% of our revenue, respectively, from usage-based fees.</w:t>
      </w:r>
    </w:p>
    <w:p>
      <w:pPr>
        <w:spacing w:after="0" w:line="185" w:lineRule="exact"/>
        <w:rPr>
          <w:sz w:val="20"/>
          <w:szCs w:val="20"/>
          <w:color w:val="auto"/>
        </w:rPr>
      </w:pPr>
    </w:p>
    <w:p>
      <w:pPr>
        <w:jc w:val="both"/>
        <w:ind w:right="80" w:firstLine="480"/>
        <w:spacing w:after="0" w:line="229" w:lineRule="exact"/>
        <w:rPr>
          <w:sz w:val="20"/>
          <w:szCs w:val="20"/>
          <w:color w:val="auto"/>
        </w:rPr>
      </w:pPr>
      <w:r>
        <w:rPr>
          <w:rFonts w:ascii="Times New Roman" w:cs="Times New Roman" w:eastAsia="Times New Roman" w:hAnsi="Times New Roman"/>
          <w:sz w:val="17"/>
          <w:szCs w:val="17"/>
          <w:color w:val="auto"/>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the years ended December 31, 2024, 2023 and 2022, we generated 28%, 29% and 27% of our revenue, respectively, from non-usage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fees.</w:t>
      </w:r>
    </w:p>
    <w:p>
      <w:pPr>
        <w:spacing w:after="0" w:line="167" w:lineRule="exact"/>
        <w:rPr>
          <w:sz w:val="20"/>
          <w:szCs w:val="20"/>
          <w:color w:val="auto"/>
        </w:rPr>
      </w:pPr>
    </w:p>
    <w:p>
      <w:pPr>
        <w:jc w:val="both"/>
        <w:ind w:right="40" w:firstLine="480"/>
        <w:spacing w:after="0" w:line="284" w:lineRule="auto"/>
        <w:rPr>
          <w:sz w:val="20"/>
          <w:szCs w:val="20"/>
          <w:color w:val="auto"/>
        </w:rPr>
      </w:pPr>
      <w:r>
        <w:rPr>
          <w:rFonts w:ascii="Times New Roman" w:cs="Times New Roman" w:eastAsia="Times New Roman" w:hAnsi="Times New Roman"/>
          <w:sz w:val="17"/>
          <w:szCs w:val="17"/>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60" w:lineRule="exact"/>
        <w:rPr>
          <w:sz w:val="20"/>
          <w:szCs w:val="20"/>
          <w:color w:val="auto"/>
        </w:rPr>
      </w:pPr>
    </w:p>
    <w:p>
      <w:pPr>
        <w:ind w:right="200" w:firstLine="480"/>
        <w:spacing w:after="0" w:line="277" w:lineRule="auto"/>
        <w:rPr>
          <w:sz w:val="20"/>
          <w:szCs w:val="20"/>
          <w:color w:val="auto"/>
        </w:rPr>
      </w:pPr>
      <w:r>
        <w:rPr>
          <w:rFonts w:ascii="Times New Roman" w:cs="Times New Roman" w:eastAsia="Times New Roman" w:hAnsi="Times New Roman"/>
          <w:sz w:val="18"/>
          <w:szCs w:val="18"/>
          <w:color w:val="auto"/>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22" w:lineRule="exact"/>
        <w:rPr>
          <w:sz w:val="20"/>
          <w:szCs w:val="20"/>
          <w:color w:val="auto"/>
        </w:rPr>
      </w:pPr>
    </w:p>
    <w:p>
      <w:pPr>
        <w:ind w:firstLine="480"/>
        <w:spacing w:after="0" w:line="218" w:lineRule="exact"/>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consists primarily of fees paid to network service providers. Cost of revenue also includes cloud infrastructure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costs of personnel, such as salaries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our customer support employees,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such as depreciation and amortization expense related to data centers and hosting equipment, and amortization of capitalized internal-use software development costs and acquired intangible assets. Costs of revenue are generally directly attributable to each segment. Certain costs of revenue are allocated to segments based on methodologies that best reflect the patterns of consumption of these costs.</w:t>
      </w:r>
    </w:p>
    <w:p>
      <w:pPr>
        <w:spacing w:after="0" w:line="196"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Our arrangements with network service providers require us to pay fees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represents revenue less cost of revenue.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p>
      <w:pPr>
        <w:ind w:right="520" w:firstLine="480"/>
        <w:spacing w:after="0" w:line="237" w:lineRule="exact"/>
        <w:rPr>
          <w:sz w:val="20"/>
          <w:szCs w:val="20"/>
          <w:color w:val="auto"/>
        </w:rPr>
      </w:pPr>
      <w:r>
        <w:rPr>
          <w:rFonts w:ascii="Times New Roman" w:cs="Times New Roman" w:eastAsia="Times New Roman" w:hAnsi="Times New Roman"/>
          <w:sz w:val="18"/>
          <w:szCs w:val="18"/>
          <w:color w:val="auto"/>
        </w:rPr>
        <w:t>The most significant components of operating expenses are personnel costs, which consist of salaries, benefits, sales commissions, bonuses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We also incur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related to our general overhead expenses.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personnel costs, outsourced engineering services,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 Research and development expenses are generally directly attributable to each segment. Certain research and development expenses are allocated to segments based on methodologies that best reflect the patterns of consumption of these costs. A small percentage of research and development costs, such as costs related to digital architecture and information security, are not allocated to segments because they support company-wide processes and are managed on a company-wide level.</w:t>
      </w:r>
    </w:p>
    <w:p>
      <w:pPr>
        <w:spacing w:after="0" w:line="189" w:lineRule="exact"/>
        <w:rPr>
          <w:sz w:val="20"/>
          <w:szCs w:val="20"/>
          <w:color w:val="auto"/>
        </w:rPr>
      </w:pPr>
    </w:p>
    <w:p>
      <w:pPr>
        <w:ind w:right="680" w:firstLine="480"/>
        <w:spacing w:after="0" w:line="277" w:lineRule="auto"/>
        <w:rPr>
          <w:sz w:val="20"/>
          <w:szCs w:val="20"/>
          <w:color w:val="auto"/>
        </w:rPr>
      </w:pPr>
      <w:r>
        <w:rPr>
          <w:rFonts w:ascii="Times New Roman" w:cs="Times New Roman" w:eastAsia="Times New Roman" w:hAnsi="Times New Roman"/>
          <w:sz w:val="18"/>
          <w:szCs w:val="18"/>
          <w:color w:val="auto"/>
        </w:rPr>
        <w:t>We are focusing our research and development investment in the highest impact product areas for our future. We are investing strategically in alignment with our focus on building a trusted, leading customer engagement platform.</w:t>
      </w:r>
    </w:p>
    <w:p>
      <w:pPr>
        <w:spacing w:after="0" w:line="161"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including commissions and bonuses to our sales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 Sales and marketing expenses are generally directly attributable to each segment. Certain sales and marketing expenses are allocated to segments based on methodologies that best reflect the patterns of consumption of these costs. A small percentage of sales and marketing costs, such as costs related to corporate communications and global brand awareness, are not allocated to segments because they support company-wide processes and are managed on a company-wide level.</w:t>
      </w:r>
    </w:p>
    <w:p>
      <w:pPr>
        <w:spacing w:after="0" w:line="175" w:lineRule="exact"/>
        <w:rPr>
          <w:sz w:val="20"/>
          <w:szCs w:val="20"/>
          <w:color w:val="auto"/>
        </w:rPr>
      </w:pPr>
    </w:p>
    <w:p>
      <w:pPr>
        <w:ind w:right="940" w:firstLine="480"/>
        <w:spacing w:after="0" w:line="261" w:lineRule="auto"/>
        <w:rPr>
          <w:sz w:val="20"/>
          <w:szCs w:val="20"/>
          <w:color w:val="auto"/>
        </w:rPr>
      </w:pPr>
      <w:r>
        <w:rPr>
          <w:rFonts w:ascii="Times New Roman" w:cs="Times New Roman" w:eastAsia="Times New Roman" w:hAnsi="Times New Roman"/>
          <w:sz w:val="18"/>
          <w:szCs w:val="18"/>
          <w:color w:val="auto"/>
        </w:rPr>
        <w:t>We focus our sales and marketing efforts on generating awareness of our company, platform and products, creating sales leads, expanding relationships with existing customers and establishing and promoting our brand, both domestically and internationally.</w:t>
      </w:r>
    </w:p>
    <w:p>
      <w:pPr>
        <w:spacing w:after="0" w:line="175"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personnel costs for our accounting, finance, legal,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 General and administrative expenses are allocated to each segment when they are directly attributable to each segment or are allocated to segments based on methodologies that best reflect the patterns of consumption of these costs. A significant portion of general and administrative costs, such as costs related to corporate governance and certain costs related to legal, human resources, finance and accounting functions, are not allocated to segments because they support company-wide processes and are managed on a company-wide level.</w:t>
      </w:r>
    </w:p>
    <w:p>
      <w:pPr>
        <w:spacing w:after="0" w:line="187" w:lineRule="exact"/>
        <w:rPr>
          <w:sz w:val="20"/>
          <w:szCs w:val="20"/>
          <w:color w:val="auto"/>
        </w:rPr>
      </w:pPr>
    </w:p>
    <w:p>
      <w:pPr>
        <w:ind w:right="8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Restructuring costs consist primarily of personnel costs, such as employee severance payments, benefits and certain facilitation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our workforce reductions. Restructuring costs also include stock-based compensation expense related to vesting of stock-based awards of the impacted employees.</w:t>
      </w:r>
    </w:p>
    <w:p>
      <w:pPr>
        <w:spacing w:after="0" w:line="173" w:lineRule="exact"/>
        <w:rPr>
          <w:sz w:val="20"/>
          <w:szCs w:val="20"/>
          <w:color w:val="auto"/>
        </w:rPr>
      </w:pPr>
    </w:p>
    <w:p>
      <w:pPr>
        <w:ind w:right="80" w:firstLine="480"/>
        <w:spacing w:after="0" w:line="309" w:lineRule="auto"/>
        <w:rPr>
          <w:sz w:val="20"/>
          <w:szCs w:val="20"/>
          <w:color w:val="auto"/>
        </w:rPr>
      </w:pPr>
      <w:r>
        <w:rPr>
          <w:rFonts w:ascii="Times New Roman" w:cs="Times New Roman" w:eastAsia="Times New Roman" w:hAnsi="Times New Roman"/>
          <w:sz w:val="17"/>
          <w:szCs w:val="17"/>
          <w:i w:val="1"/>
          <w:iCs w:val="1"/>
          <w:color w:val="auto"/>
        </w:rPr>
        <w:t xml:space="preserve">Impairment of Long-Lived Assets. </w:t>
      </w:r>
      <w:r>
        <w:rPr>
          <w:rFonts w:ascii="Times New Roman" w:cs="Times New Roman" w:eastAsia="Times New Roman" w:hAnsi="Times New Roman"/>
          <w:sz w:val="17"/>
          <w:szCs w:val="17"/>
          <w:color w:val="auto"/>
        </w:rPr>
        <w:t>Impairment of long-lived assets consists of impairment of intangible assets and certain operating right-of-use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associated leasehold improvements and property and equipment when the carrying amounts of these assets exceed their respective fair values.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224"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Our other expenses, net, consist primarily of our share of losses from our equity method investment, impairment charges and gains and losses related to our strategic investments, realized gains and losses from marketable securities, interest income and expense and debt-related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4"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18"/>
          <w:szCs w:val="18"/>
          <w:color w:val="auto"/>
        </w:rPr>
        <w:t>Our provision for income taxes consists primarily of federal, state and foreign income taxes and withholding taxes in foreign jurisdictions in which the Company conducts business.</w:t>
      </w:r>
    </w:p>
    <w:p>
      <w:pPr>
        <w:spacing w:after="0" w:line="163" w:lineRule="exact"/>
        <w:rPr>
          <w:sz w:val="20"/>
          <w:szCs w:val="20"/>
          <w:color w:val="auto"/>
        </w:rPr>
      </w:pPr>
    </w:p>
    <w:p>
      <w:pPr>
        <w:ind w:right="140" w:firstLine="480"/>
        <w:spacing w:after="0" w:line="277" w:lineRule="auto"/>
        <w:rPr>
          <w:sz w:val="20"/>
          <w:szCs w:val="20"/>
          <w:color w:val="auto"/>
        </w:rPr>
      </w:pPr>
      <w:r>
        <w:rPr>
          <w:rFonts w:ascii="Times New Roman" w:cs="Times New Roman" w:eastAsia="Times New Roman" w:hAnsi="Times New Roman"/>
          <w:sz w:val="18"/>
          <w:szCs w:val="18"/>
          <w:color w:val="auto"/>
        </w:rPr>
        <w:t>The primary difference between our effective tax rate and the federal statutory rate relates to the valuation allowance the Company established on the federal, state and certain foreign net operating losses and credits.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3" w:lineRule="exact"/>
        <w:rPr>
          <w:sz w:val="20"/>
          <w:szCs w:val="20"/>
          <w:color w:val="auto"/>
        </w:rPr>
      </w:pPr>
    </w:p>
    <w:p>
      <w:pPr>
        <w:ind w:firstLine="480"/>
        <w:spacing w:after="0" w:line="224" w:lineRule="exact"/>
        <w:rPr>
          <w:sz w:val="20"/>
          <w:szCs w:val="20"/>
          <w:color w:val="auto"/>
        </w:rPr>
      </w:pPr>
      <w:r>
        <w:rPr>
          <w:rFonts w:ascii="Times New Roman" w:cs="Times New Roman" w:eastAsia="Times New Roman" w:hAnsi="Times New Roman"/>
          <w:sz w:val="18"/>
          <w:szCs w:val="18"/>
          <w:color w:val="auto"/>
        </w:rPr>
        <w:t>We use the following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evaluate our ongoing operations and for internal planning and forecasting purposes. We believe that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may be helpful to investors because it provides consistency and comparability with past financial performance, facilitates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of results of operations and assists in comparisons with other companies, many of which use similar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supplement their results of operations reported in accordance with generally accepted accounting principles (“GAAP”). We believe free cash flow and free cash flow margin provide useful supplemental information to help investors understand underlying trends in our business and our liquidity.</w:t>
      </w:r>
    </w:p>
    <w:p>
      <w:pPr>
        <w:spacing w:after="0" w:line="154" w:lineRule="exact"/>
        <w:rPr>
          <w:sz w:val="20"/>
          <w:szCs w:val="20"/>
          <w:color w:val="auto"/>
        </w:rPr>
      </w:pPr>
    </w:p>
    <w:p>
      <w:pPr>
        <w:ind w:right="20" w:firstLine="480"/>
        <w:spacing w:after="0" w:line="226"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is presented for supplemental informational purposes only, should not be considered a substitute for financial information presented in accordance with GAAP, and may be different from similarly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titled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measures used by other companies. Whenever we use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GAAP financial measures.</w:t>
      </w:r>
    </w:p>
    <w:p>
      <w:pPr>
        <w:spacing w:after="0" w:line="155"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Gross Profit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-44450</wp:posOffset>
            </wp:positionV>
            <wp:extent cx="6350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500" cy="3937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-44450</wp:posOffset>
            </wp:positionV>
            <wp:extent cx="6350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200" w:lineRule="exact"/>
        <w:rPr>
          <w:sz w:val="20"/>
          <w:szCs w:val="20"/>
          <w:color w:val="auto"/>
        </w:rPr>
      </w:pPr>
    </w:p>
    <w:p>
      <w:pPr>
        <w:ind w:right="840" w:firstLine="480"/>
        <w:spacing w:after="0" w:line="244"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gross profit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gross margin as GAAP gross profit and GAAP gross margin, respectively, adjusted to exclude, as applicable, certain expenses as presented in the table below:</w:t>
      </w:r>
    </w:p>
    <w:p>
      <w:pPr>
        <w:spacing w:after="0" w:line="331"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center"/>
              <w:ind w:left="7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2,278,212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2,043,930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1,813,577</w:t>
            </w:r>
          </w:p>
        </w:tc>
        <w:tc>
          <w:tcPr>
            <w:tcW w:w="0" w:type="dxa"/>
            <w:vAlign w:val="bottom"/>
          </w:tcPr>
          <w:p>
            <w:pPr>
              <w:spacing w:after="0"/>
              <w:rPr>
                <w:sz w:val="1"/>
                <w:szCs w:val="1"/>
                <w:color w:val="auto"/>
              </w:rPr>
            </w:pPr>
          </w:p>
        </w:tc>
      </w:tr>
      <w:tr>
        <w:trPr>
          <w:trHeight w:val="211"/>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gross margin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26,343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21,136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62,728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113,266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122,653</w:t>
            </w:r>
          </w:p>
        </w:tc>
        <w:tc>
          <w:tcPr>
            <w:tcW w:w="0" w:type="dxa"/>
            <w:vAlign w:val="bottom"/>
          </w:tcPr>
          <w:p>
            <w:pPr>
              <w:spacing w:after="0"/>
              <w:rPr>
                <w:sz w:val="1"/>
                <w:szCs w:val="1"/>
                <w:color w:val="auto"/>
              </w:rPr>
            </w:pPr>
          </w:p>
        </w:tc>
      </w:tr>
      <w:tr>
        <w:trPr>
          <w:trHeight w:val="211"/>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34"/>
        </w:trPr>
        <w:tc>
          <w:tcPr>
            <w:tcW w:w="4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Non-GAAP gross profit</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2,364,074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2,184,238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1,957,905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Non-GAAP gross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53 %</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-44450</wp:posOffset>
            </wp:positionV>
            <wp:extent cx="6350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200" w:lineRule="exact"/>
        <w:rPr>
          <w:sz w:val="20"/>
          <w:szCs w:val="20"/>
          <w:color w:val="auto"/>
        </w:rPr>
      </w:pPr>
    </w:p>
    <w:p>
      <w:pPr>
        <w:ind w:right="40" w:firstLine="480"/>
        <w:spacing w:after="0" w:line="244"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operating expenses (including categories of operating expenses) as GAAP operating expenses (and categories of operating expenses) adjusted to exclude, as applicable, certain expenses as presented in the table below:</w:t>
      </w:r>
    </w:p>
    <w:p>
      <w:pPr>
        <w:spacing w:after="0" w:line="331" w:lineRule="exact"/>
        <w:rPr>
          <w:sz w:val="20"/>
          <w:szCs w:val="20"/>
          <w:color w:val="auto"/>
        </w:rPr>
      </w:pPr>
    </w:p>
    <w:tbl>
      <w:tblPr>
        <w:tblLayout w:type="fixed"/>
        <w:tblInd w:w="14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68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20" w:type="dxa"/>
            <w:vAlign w:val="bottom"/>
            <w:tcBorders>
              <w:bottom w:val="single" w:sz="8" w:color="auto"/>
            </w:tcBorders>
          </w:tcPr>
          <w:p>
            <w:pPr>
              <w:spacing w:after="0"/>
              <w:rPr>
                <w:sz w:val="18"/>
                <w:szCs w:val="18"/>
                <w:color w:val="auto"/>
              </w:rPr>
            </w:pPr>
          </w:p>
        </w:tc>
      </w:tr>
      <w:tr>
        <w:trPr>
          <w:trHeight w:val="207"/>
        </w:trPr>
        <w:tc>
          <w:tcPr>
            <w:tcW w:w="4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4"/>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(In thousands)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operating expenses</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2,331,920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2,920,471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3,018,885</w:t>
            </w:r>
          </w:p>
        </w:tc>
      </w:tr>
      <w:tr>
        <w:trPr>
          <w:trHeight w:val="211"/>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(763,149)</w:t>
            </w:r>
          </w:p>
        </w:tc>
      </w:tr>
      <w:tr>
        <w:trPr>
          <w:trHeight w:val="211"/>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(83,528)</w:t>
            </w: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r>
      <w:tr>
        <w:trPr>
          <w:trHeight w:val="211"/>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net assets divested</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(23,293)</w:t>
            </w:r>
          </w:p>
        </w:tc>
      </w:tr>
      <w:tr>
        <w:trPr>
          <w:trHeight w:val="211"/>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Charitable contributions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(9,541)</w:t>
            </w: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(165,733)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(76,636)</w:t>
            </w:r>
          </w:p>
        </w:tc>
      </w:tr>
      <w:tr>
        <w:trPr>
          <w:trHeight w:val="211"/>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(97,722)</w:t>
            </w:r>
          </w:p>
        </w:tc>
      </w:tr>
      <w:tr>
        <w:trPr>
          <w:trHeight w:val="234"/>
        </w:trPr>
        <w:tc>
          <w:tcPr>
            <w:tcW w:w="4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1,649,680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1,651,230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1,962,395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Income (Loss) from Operations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-44450</wp:posOffset>
            </wp:positionV>
            <wp:extent cx="6350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500" cy="39370"/>
                    </a:xfrm>
                    <a:prstGeom prst="rect">
                      <a:avLst/>
                    </a:prstGeom>
                    <a:noFill/>
                  </pic:spPr>
                </pic:pic>
              </a:graphicData>
            </a:graphic>
          </wp:anchor>
        </w:drawing>
        <w:drawing>
          <wp:anchor simplePos="0" relativeHeight="251657728" behindDoc="1" locked="0" layoutInCell="0" allowOverlap="1">
            <wp:simplePos x="0" y="0"/>
            <wp:positionH relativeFrom="column">
              <wp:posOffset>2778760</wp:posOffset>
            </wp:positionH>
            <wp:positionV relativeFrom="paragraph">
              <wp:posOffset>-44450</wp:posOffset>
            </wp:positionV>
            <wp:extent cx="6350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87" w:lineRule="exact"/>
        <w:rPr>
          <w:sz w:val="20"/>
          <w:szCs w:val="20"/>
          <w:color w:val="auto"/>
        </w:rPr>
      </w:pPr>
    </w:p>
    <w:p>
      <w:pPr>
        <w:ind w:left="480"/>
        <w:spacing w:after="0" w:line="196" w:lineRule="exact"/>
        <w:rPr>
          <w:sz w:val="20"/>
          <w:szCs w:val="20"/>
          <w:color w:val="auto"/>
        </w:rPr>
      </w:pPr>
      <w:r>
        <w:rPr>
          <w:rFonts w:ascii="Times New Roman" w:cs="Times New Roman" w:eastAsia="Times New Roman" w:hAnsi="Times New Roman"/>
          <w:sz w:val="17"/>
          <w:szCs w:val="17"/>
          <w:color w:val="auto"/>
        </w:rPr>
        <w:t>For the periods presented, we define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income (loss) from operations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GAAP operating margin as GAAP loss from operations and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operating margin, respectively, adjusted to exclude, as applicable, certain expenses as presented in the table below:</w:t>
      </w:r>
    </w:p>
    <w:p>
      <w:pPr>
        <w:spacing w:after="0" w:line="336" w:lineRule="exact"/>
        <w:rPr>
          <w:sz w:val="20"/>
          <w:szCs w:val="20"/>
          <w:color w:val="auto"/>
        </w:rPr>
      </w:pPr>
    </w:p>
    <w:tbl>
      <w:tblPr>
        <w:tblLayout w:type="fixed"/>
        <w:tblInd w:w="106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r>
      <w:tr>
        <w:trPr>
          <w:trHeight w:val="207"/>
        </w:trPr>
        <w:tc>
          <w:tcPr>
            <w:tcW w:w="4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4"/>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(In thousands)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loss from operations</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(53,708)</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(876,541)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(1,205,308)</w:t>
            </w:r>
          </w:p>
        </w:tc>
      </w:tr>
      <w:tr>
        <w:trPr>
          <w:trHeight w:val="211"/>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operating margin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1"/>
        </w:trPr>
        <w:tc>
          <w:tcPr>
            <w:tcW w:w="4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613,429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662,842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784,285</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111,851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192,307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206,181</w:t>
            </w:r>
          </w:p>
        </w:tc>
      </w:tr>
      <w:tr>
        <w:trPr>
          <w:trHeight w:val="211"/>
        </w:trPr>
        <w:tc>
          <w:tcPr>
            <w:tcW w:w="4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34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5,555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2,621</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net assets divested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32,277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4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9,642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12,985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23,832</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Charitable contributions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19,907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17,346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9,541</w:t>
            </w:r>
          </w:p>
        </w:tc>
      </w:tr>
      <w:tr>
        <w:trPr>
          <w:trHeight w:val="211"/>
        </w:trPr>
        <w:tc>
          <w:tcPr>
            <w:tcW w:w="4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34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13,273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165,733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76,636</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320,504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97,722</w:t>
            </w:r>
          </w:p>
        </w:tc>
      </w:tr>
      <w:tr>
        <w:trPr>
          <w:trHeight w:val="207"/>
        </w:trPr>
        <w:tc>
          <w:tcPr>
            <w:tcW w:w="4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Non-GAAP income (loss) from operations</w:t>
            </w: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714,394</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533,008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(4,490)</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7"/>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Non-GAAP operating margin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24" w:lineRule="exact"/>
        <w:rPr>
          <w:sz w:val="20"/>
          <w:szCs w:val="20"/>
          <w:color w:val="auto"/>
        </w:rPr>
      </w:pPr>
    </w:p>
    <w:p>
      <w:pPr>
        <w:ind w:firstLine="480"/>
        <w:spacing w:after="0" w:line="307" w:lineRule="auto"/>
        <w:rPr>
          <w:sz w:val="20"/>
          <w:szCs w:val="20"/>
          <w:color w:val="auto"/>
        </w:rPr>
      </w:pPr>
      <w:r>
        <w:rPr>
          <w:rFonts w:ascii="Times New Roman" w:cs="Times New Roman" w:eastAsia="Times New Roman" w:hAnsi="Times New Roman"/>
          <w:sz w:val="17"/>
          <w:szCs w:val="17"/>
          <w:color w:val="auto"/>
        </w:rPr>
        <w:t>For the periods presented, we define free cash flow as net cash provided by (used in) operating activities less capitalized software development costs and purchases of long-lived and intangible assets, and we define free cash flow margin as free cash flow divided by revenue, as presented in the table below:</w:t>
      </w:r>
    </w:p>
    <w:p>
      <w:pPr>
        <w:spacing w:after="0" w:line="183" w:lineRule="exact"/>
        <w:rPr>
          <w:sz w:val="20"/>
          <w:szCs w:val="20"/>
          <w:color w:val="auto"/>
        </w:rPr>
      </w:pPr>
    </w:p>
    <w:tbl>
      <w:tblPr>
        <w:tblLayout w:type="fixed"/>
        <w:tblInd w:w="820" w:type="dxa"/>
        <w:tblCellMar>
          <w:top w:w="0" w:type="dxa"/>
          <w:left w:w="0" w:type="dxa"/>
          <w:bottom w:w="0" w:type="dxa"/>
          <w:right w:w="0" w:type="dxa"/>
        </w:tblCellMar>
      </w:tblPr>
      <w:tr>
        <w:trPr>
          <w:trHeight w:val="213"/>
        </w:trPr>
        <w:tc>
          <w:tcPr>
            <w:tcW w:w="5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r>
      <w:tr>
        <w:trPr>
          <w:trHeight w:val="207"/>
        </w:trPr>
        <w:tc>
          <w:tcPr>
            <w:tcW w:w="5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716,241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414,752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(254,368)</w:t>
            </w:r>
          </w:p>
        </w:tc>
      </w:tr>
      <w:tr>
        <w:trPr>
          <w:trHeight w:val="211"/>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 margin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1"/>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40" w:type="dxa"/>
            <w:vAlign w:val="bottom"/>
          </w:tcPr>
          <w:p>
            <w:pPr>
              <w:spacing w:after="0"/>
              <w:rPr>
                <w:sz w:val="18"/>
                <w:szCs w:val="18"/>
                <w:color w:val="auto"/>
              </w:rPr>
            </w:pP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(51,808)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(39,925)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(45,761)</w:t>
            </w:r>
          </w:p>
        </w:tc>
      </w:tr>
      <w:tr>
        <w:trPr>
          <w:trHeight w:val="21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long-lived and intangible assets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(11,310)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(34,421)</w:t>
            </w:r>
          </w:p>
        </w:tc>
      </w:tr>
      <w:tr>
        <w:trPr>
          <w:trHeight w:val="209"/>
        </w:trPr>
        <w:tc>
          <w:tcPr>
            <w:tcW w:w="5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Free cash flow</w:t>
            </w: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657,455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363,517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(334,550)</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7"/>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Free cash flow margin</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1"/>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1,370,837</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228,603</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(616,452)</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(2,311,572)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(643,610)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45,007</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The period-to-period comparison of our historical results are not indicative of the results that may be expected in the future.</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center"/>
              <w:ind w:left="7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4"/>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40" w:type="dxa"/>
            <w:vAlign w:val="bottom"/>
          </w:tcPr>
          <w:p>
            <w:pPr>
              <w:spacing w:after="0"/>
              <w:rPr>
                <w:sz w:val="16"/>
                <w:szCs w:val="16"/>
                <w:color w:val="auto"/>
              </w:rPr>
            </w:pPr>
          </w:p>
        </w:tc>
        <w:tc>
          <w:tcPr>
            <w:tcW w:w="434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4,458,036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4,153,945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3,826,321</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0"/>
                <w:szCs w:val="20"/>
                <w:color w:val="auto"/>
                <w:vertAlign w:val="superscript"/>
              </w:rPr>
              <w:t>(1) (2)</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2,179,824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2,110,015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2,012,744</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2,278,212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2,043,930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1,813,577</w:t>
            </w:r>
          </w:p>
        </w:tc>
        <w:tc>
          <w:tcPr>
            <w:tcW w:w="0" w:type="dxa"/>
            <w:vAlign w:val="bottom"/>
          </w:tcPr>
          <w:p>
            <w:pPr>
              <w:spacing w:after="0"/>
              <w:rPr>
                <w:sz w:val="1"/>
                <w:szCs w:val="1"/>
                <w:color w:val="auto"/>
              </w:rPr>
            </w:pPr>
          </w:p>
        </w:tc>
      </w:tr>
      <w:tr>
        <w:trPr>
          <w:trHeight w:val="191"/>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0"/>
                <w:szCs w:val="20"/>
                <w:color w:val="auto"/>
                <w:vertAlign w:val="superscript"/>
              </w:rPr>
              <w:t>(1) (2)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1,008,747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1,079,081</w:t>
            </w: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0"/>
                <w:szCs w:val="20"/>
                <w:color w:val="auto"/>
                <w:vertAlign w:val="superscript"/>
              </w:rPr>
              <w:t>(1) (2)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860,821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1,248,032</w:t>
            </w: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0"/>
                <w:szCs w:val="20"/>
                <w:color w:val="auto"/>
                <w:vertAlign w:val="superscript"/>
              </w:rPr>
              <w:t>(1) (2)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517,414</w:t>
            </w: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0"/>
                <w:szCs w:val="20"/>
                <w:color w:val="auto"/>
                <w:vertAlign w:val="superscript"/>
              </w:rPr>
              <w:t>(1)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76,636</w:t>
            </w: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97,722</w:t>
            </w:r>
          </w:p>
        </w:tc>
        <w:tc>
          <w:tcPr>
            <w:tcW w:w="0" w:type="dxa"/>
            <w:vAlign w:val="bottom"/>
          </w:tcPr>
          <w:p>
            <w:pPr>
              <w:spacing w:after="0"/>
              <w:rPr>
                <w:sz w:val="1"/>
                <w:szCs w:val="1"/>
                <w:color w:val="auto"/>
              </w:rPr>
            </w:pPr>
          </w:p>
        </w:tc>
      </w:tr>
      <w:tr>
        <w:trPr>
          <w:trHeight w:val="204"/>
        </w:trPr>
        <w:tc>
          <w:tcPr>
            <w:tcW w:w="4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2,331,920</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2,920,471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3,018,885</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(1,205,308)</w:t>
            </w:r>
          </w:p>
        </w:tc>
        <w:tc>
          <w:tcPr>
            <w:tcW w:w="0" w:type="dxa"/>
            <w:vAlign w:val="bottom"/>
          </w:tcPr>
          <w:p>
            <w:pPr>
              <w:spacing w:after="0"/>
              <w:rPr>
                <w:sz w:val="1"/>
                <w:szCs w:val="1"/>
                <w:color w:val="auto"/>
              </w:rPr>
            </w:pPr>
          </w:p>
        </w:tc>
      </w:tr>
      <w:tr>
        <w:trPr>
          <w:trHeight w:val="191"/>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(35,315)</w:t>
            </w:r>
          </w:p>
        </w:tc>
        <w:tc>
          <w:tcPr>
            <w:tcW w:w="0" w:type="dxa"/>
            <w:vAlign w:val="bottom"/>
          </w:tcPr>
          <w:p>
            <w:pPr>
              <w:spacing w:after="0"/>
              <w:rPr>
                <w:sz w:val="1"/>
                <w:szCs w:val="1"/>
                <w:color w:val="auto"/>
              </w:rPr>
            </w:pPr>
          </w:p>
        </w:tc>
      </w:tr>
      <w:tr>
        <w:trPr>
          <w:trHeight w:val="211"/>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81,796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0" w:type="dxa"/>
            <w:vAlign w:val="bottom"/>
          </w:tcPr>
          <w:p>
            <w:pPr>
              <w:spacing w:after="0"/>
              <w:rPr>
                <w:sz w:val="1"/>
                <w:szCs w:val="1"/>
                <w:color w:val="auto"/>
              </w:rPr>
            </w:pPr>
          </w:p>
        </w:tc>
      </w:tr>
      <w:tr>
        <w:trPr>
          <w:trHeight w:val="204"/>
        </w:trPr>
        <w:tc>
          <w:tcPr>
            <w:tcW w:w="4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(120,188)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(38,324)</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before provision for from income taxes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(1,243,632)</w:t>
            </w:r>
          </w:p>
        </w:tc>
        <w:tc>
          <w:tcPr>
            <w:tcW w:w="0" w:type="dxa"/>
            <w:vAlign w:val="bottom"/>
          </w:tcPr>
          <w:p>
            <w:pPr>
              <w:spacing w:after="0"/>
              <w:rPr>
                <w:sz w:val="1"/>
                <w:szCs w:val="1"/>
                <w:color w:val="auto"/>
              </w:rPr>
            </w:pPr>
          </w:p>
        </w:tc>
      </w:tr>
      <w:tr>
        <w:trPr>
          <w:trHeight w:val="211"/>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(12,513)</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(1,015,441)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(1,256,145)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340"/>
              <w:spacing w:after="0" w:line="147" w:lineRule="exact"/>
              <w:rPr>
                <w:sz w:val="20"/>
                <w:szCs w:val="20"/>
                <w:color w:val="auto"/>
              </w:rPr>
            </w:pPr>
            <w:r>
              <w:rPr>
                <w:rFonts w:ascii="Times New Roman" w:cs="Times New Roman" w:eastAsia="Times New Roman" w:hAnsi="Times New Roman"/>
                <w:sz w:val="16"/>
                <w:szCs w:val="16"/>
                <w:color w:val="auto"/>
              </w:rPr>
              <w:t>Net loss per share attributable to common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980" w:type="dxa"/>
            <w:vAlign w:val="bottom"/>
            <w:vMerge w:val="continue"/>
          </w:tcPr>
          <w:p>
            <w:pPr>
              <w:spacing w:after="0"/>
              <w:rPr>
                <w:sz w:val="9"/>
                <w:szCs w:val="9"/>
                <w:color w:val="auto"/>
              </w:rPr>
            </w:pPr>
          </w:p>
        </w:tc>
        <w:tc>
          <w:tcPr>
            <w:tcW w:w="3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20" w:type="dxa"/>
            <w:vAlign w:val="bottom"/>
          </w:tcPr>
          <w:p>
            <w:pPr>
              <w:spacing w:after="0"/>
              <w:rPr>
                <w:sz w:val="9"/>
                <w:szCs w:val="9"/>
                <w:color w:val="auto"/>
              </w:rPr>
            </w:pPr>
          </w:p>
        </w:tc>
        <w:tc>
          <w:tcPr>
            <w:tcW w:w="3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9"/>
                <w:szCs w:val="9"/>
                <w:color w:val="auto"/>
              </w:rPr>
            </w:pPr>
          </w:p>
        </w:tc>
        <w:tc>
          <w:tcPr>
            <w:tcW w:w="3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192"/>
        </w:trPr>
        <w:tc>
          <w:tcPr>
            <w:tcW w:w="49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3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980" w:type="dxa"/>
            <w:vAlign w:val="bottom"/>
            <w:shd w:val="clear" w:color="auto" w:fill="CCEEFF"/>
          </w:tcPr>
          <w:p>
            <w:pPr>
              <w:ind w:left="340"/>
              <w:spacing w:after="0" w:line="127" w:lineRule="exact"/>
              <w:rPr>
                <w:sz w:val="20"/>
                <w:szCs w:val="20"/>
                <w:color w:val="auto"/>
              </w:rPr>
            </w:pPr>
            <w:r>
              <w:rPr>
                <w:rFonts w:ascii="Times New Roman" w:cs="Times New Roman" w:eastAsia="Times New Roman" w:hAnsi="Times New Roman"/>
                <w:sz w:val="14"/>
                <w:szCs w:val="14"/>
                <w:color w:val="auto"/>
              </w:rPr>
              <w:t>Weighted-average shares used in computing net</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980" w:type="dxa"/>
            <w:vAlign w:val="bottom"/>
            <w:shd w:val="clear" w:color="auto" w:fill="CCEEFF"/>
          </w:tcPr>
          <w:p>
            <w:pPr>
              <w:ind w:left="540"/>
              <w:spacing w:after="0" w:line="160" w:lineRule="exact"/>
              <w:rPr>
                <w:sz w:val="20"/>
                <w:szCs w:val="20"/>
                <w:color w:val="auto"/>
              </w:rPr>
            </w:pPr>
            <w:r>
              <w:rPr>
                <w:rFonts w:ascii="Times New Roman" w:cs="Times New Roman" w:eastAsia="Times New Roman" w:hAnsi="Times New Roman"/>
                <w:sz w:val="16"/>
                <w:szCs w:val="16"/>
                <w:color w:val="auto"/>
              </w:rPr>
              <w:t>loss per share attributable to common</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165,925,128</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183,327,844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182,994,038</w:t>
            </w:r>
          </w:p>
        </w:tc>
        <w:tc>
          <w:tcPr>
            <w:tcW w:w="0" w:type="dxa"/>
            <w:vAlign w:val="bottom"/>
          </w:tcPr>
          <w:p>
            <w:pPr>
              <w:spacing w:after="0"/>
              <w:rPr>
                <w:sz w:val="1"/>
                <w:szCs w:val="1"/>
                <w:color w:val="auto"/>
              </w:rPr>
            </w:pPr>
          </w:p>
        </w:tc>
      </w:tr>
      <w:tr>
        <w:trPr>
          <w:trHeight w:val="207"/>
        </w:trPr>
        <w:tc>
          <w:tcPr>
            <w:tcW w:w="49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Includes stock-based compensation expense as follows:</w:t>
      </w:r>
    </w:p>
    <w:p>
      <w:pPr>
        <w:spacing w:after="0" w:line="14" w:lineRule="exact"/>
        <w:rPr>
          <w:sz w:val="20"/>
          <w:szCs w:val="20"/>
          <w:color w:val="auto"/>
        </w:rPr>
      </w:pPr>
    </w:p>
    <w:tbl>
      <w:tblPr>
        <w:tblLayout w:type="fixed"/>
        <w:tblInd w:w="48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40" w:type="dxa"/>
            <w:vAlign w:val="bottom"/>
            <w:tcBorders>
              <w:bottom w:val="single" w:sz="8" w:color="auto"/>
            </w:tcBorders>
          </w:tcPr>
          <w:p>
            <w:pPr>
              <w:spacing w:after="0"/>
              <w:rPr>
                <w:sz w:val="17"/>
                <w:szCs w:val="17"/>
                <w:color w:val="auto"/>
              </w:rPr>
            </w:pPr>
          </w:p>
        </w:tc>
      </w:tr>
      <w:tr>
        <w:trPr>
          <w:trHeight w:val="205"/>
        </w:trPr>
        <w:tc>
          <w:tcPr>
            <w:tcW w:w="4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7"/>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22,001</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21,136</w:t>
            </w: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374,846</w:t>
            </w: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240,109</w:t>
            </w: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148,194</w:t>
            </w: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14,275</w:t>
            </w:r>
          </w:p>
        </w:tc>
      </w:tr>
      <w:tr>
        <w:trPr>
          <w:trHeight w:val="207"/>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616,607</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675,857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798,560</w:t>
            </w: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Includes amortization of acquired intangibles as follows:</w:t>
      </w:r>
    </w:p>
    <w:tbl>
      <w:tblPr>
        <w:tblLayout w:type="fixed"/>
        <w:tblInd w:w="48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40" w:type="dxa"/>
            <w:vAlign w:val="bottom"/>
            <w:tcBorders>
              <w:bottom w:val="single" w:sz="8" w:color="auto"/>
            </w:tcBorders>
          </w:tcPr>
          <w:p>
            <w:pPr>
              <w:spacing w:after="0"/>
              <w:rPr>
                <w:sz w:val="17"/>
                <w:szCs w:val="17"/>
                <w:color w:val="auto"/>
              </w:rPr>
            </w:pPr>
          </w:p>
        </w:tc>
      </w:tr>
      <w:tr>
        <w:trPr>
          <w:trHeight w:val="205"/>
        </w:trPr>
        <w:tc>
          <w:tcPr>
            <w:tcW w:w="49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7"/>
        </w:trPr>
        <w:tc>
          <w:tcPr>
            <w:tcW w:w="4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62,728</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122,653</w:t>
            </w: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81,841</w:t>
            </w: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4"/>
        </w:trPr>
        <w:tc>
          <w:tcPr>
            <w:tcW w:w="4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top w:val="single" w:sz="8" w:color="auto"/>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111,851</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206,181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121" w:right="7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 as a percentage of our total revenue:</w:t>
      </w:r>
    </w:p>
    <w:p>
      <w:pPr>
        <w:spacing w:after="0" w:line="2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46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42"/>
        </w:trPr>
        <w:tc>
          <w:tcPr>
            <w:tcW w:w="46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Consolidated Statements of Operations, as a percentage of</w:t>
            </w: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2"/>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revenue: **</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1"/>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5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16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6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53</w:t>
            </w:r>
          </w:p>
        </w:tc>
      </w:tr>
      <w:tr>
        <w:trPr>
          <w:trHeight w:val="209"/>
        </w:trPr>
        <w:tc>
          <w:tcPr>
            <w:tcW w:w="46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47</w:t>
            </w:r>
          </w:p>
        </w:tc>
      </w:tr>
      <w:tr>
        <w:trPr>
          <w:trHeight w:val="191"/>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w:t>
            </w:r>
          </w:p>
        </w:tc>
      </w:tr>
      <w:tr>
        <w:trPr>
          <w:trHeight w:val="211"/>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5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6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6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33</w:t>
            </w:r>
          </w:p>
        </w:tc>
      </w:tr>
      <w:tr>
        <w:trPr>
          <w:trHeight w:val="216"/>
        </w:trPr>
        <w:tc>
          <w:tcPr>
            <w:tcW w:w="5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r>
      <w:tr>
        <w:trPr>
          <w:trHeight w:val="211"/>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5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r>
      <w:tr>
        <w:trPr>
          <w:trHeight w:val="204"/>
        </w:trPr>
        <w:tc>
          <w:tcPr>
            <w:tcW w:w="4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79</w:t>
            </w:r>
          </w:p>
        </w:tc>
      </w:tr>
      <w:tr>
        <w:trPr>
          <w:trHeight w:val="209"/>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from operations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r>
      <w:tr>
        <w:trPr>
          <w:trHeight w:val="191"/>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5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5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10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w:t>
            </w:r>
          </w:p>
        </w:tc>
      </w:tr>
      <w:tr>
        <w:trPr>
          <w:trHeight w:val="211"/>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Less than 0.5% of revenue.</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Columns may not add up to 100% due to rounding.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60"/>
          </w:cols>
          <w:pgMar w:left="320" w:top="121" w:right="1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Ended December 31, 2024, 2023 and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60"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2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1"/>
        </w:trPr>
        <w:tc>
          <w:tcPr>
            <w:tcW w:w="2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2023 to 2024 Change</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2022 to 2023 Change</w:t>
            </w:r>
          </w:p>
        </w:tc>
        <w:tc>
          <w:tcPr>
            <w:tcW w:w="280" w:type="dxa"/>
            <w:vAlign w:val="bottom"/>
            <w:tcBorders>
              <w:bottom w:val="single" w:sz="8" w:color="auto"/>
            </w:tcBorders>
          </w:tcPr>
          <w:p>
            <w:pPr>
              <w:spacing w:after="0"/>
              <w:rPr>
                <w:sz w:val="18"/>
                <w:szCs w:val="18"/>
                <w:color w:val="auto"/>
              </w:rPr>
            </w:pPr>
          </w:p>
        </w:tc>
      </w:tr>
      <w:tr>
        <w:trPr>
          <w:trHeight w:val="187"/>
        </w:trPr>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Twilio Communications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4,160,340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3,858,693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3,550,087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301,647</w:t>
            </w: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4"/>
              </w:rPr>
              <w:t>8 %</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308,606</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9 %</w:t>
            </w:r>
          </w:p>
        </w:tc>
      </w:tr>
      <w:tr>
        <w:trPr>
          <w:trHeight w:val="211"/>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Twilio Segment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297,696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295,252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276,234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6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w w:val="94"/>
              </w:rPr>
              <w:t>1 %</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19,018</w:t>
            </w:r>
          </w:p>
        </w:tc>
        <w:tc>
          <w:tcPr>
            <w:tcW w:w="6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4"/>
              </w:rPr>
              <w:t>7 %</w:t>
            </w:r>
          </w:p>
        </w:tc>
      </w:tr>
      <w:tr>
        <w:trPr>
          <w:trHeight w:val="234"/>
        </w:trPr>
        <w:tc>
          <w:tcPr>
            <w:tcW w:w="2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total revenue</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4,458,036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4,153,945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3,826,321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304,091</w:t>
            </w:r>
          </w:p>
        </w:tc>
        <w:tc>
          <w:tcPr>
            <w:tcW w:w="6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4"/>
              </w:rPr>
              <w:t>7 %</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327,624</w:t>
            </w:r>
          </w:p>
        </w:tc>
        <w:tc>
          <w:tcPr>
            <w:tcW w:w="6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9 %</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222" w:lineRule="exact"/>
        <w:rPr>
          <w:sz w:val="20"/>
          <w:szCs w:val="20"/>
          <w:color w:val="auto"/>
        </w:rPr>
      </w:pPr>
    </w:p>
    <w:p>
      <w:pPr>
        <w:ind w:right="160" w:firstLine="480"/>
        <w:spacing w:after="0" w:line="219" w:lineRule="exact"/>
        <w:rPr>
          <w:sz w:val="20"/>
          <w:szCs w:val="20"/>
          <w:color w:val="auto"/>
        </w:rPr>
      </w:pPr>
      <w:r>
        <w:rPr>
          <w:rFonts w:ascii="Times New Roman" w:cs="Times New Roman" w:eastAsia="Times New Roman" w:hAnsi="Times New Roman"/>
          <w:sz w:val="18"/>
          <w:szCs w:val="18"/>
          <w:color w:val="auto"/>
        </w:rPr>
        <w:t>In 2024, Communications revenue increased by $301.6 million, or 8%, compared to the same period last year. This increase was primarily attributable to the increased usage of our products by our existing customers, as reflected in our Communications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Expansion Rate of 105%, as well as $201.6 million in revenue derived from our new Communications Active Customer Accounts. These increases were partially offset by a decrease of $52.8 million related to revenue from our ValueFirst and Internet of Things (“IoT”) businesses, which we divested during 2023.</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2024, Segment revenue increased by $2.4 million, or 1%, compared to the same period last year. This increase was primarily attributable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 million in revenue derived from our new Segment Active Customer Accounts, partially offset by the decreased usage of our products due to churn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contraction affecting our existing customers, as reflected in our Segment Dollar-Based Net Expansion Rate of 92%.</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222" w:lineRule="exact"/>
        <w:rPr>
          <w:sz w:val="20"/>
          <w:szCs w:val="20"/>
          <w:color w:val="auto"/>
        </w:rPr>
      </w:pPr>
    </w:p>
    <w:p>
      <w:pPr>
        <w:ind w:right="260" w:firstLine="480"/>
        <w:spacing w:after="0" w:line="217" w:lineRule="exact"/>
        <w:rPr>
          <w:sz w:val="20"/>
          <w:szCs w:val="20"/>
          <w:color w:val="auto"/>
        </w:rPr>
      </w:pPr>
      <w:r>
        <w:rPr>
          <w:rFonts w:ascii="Times New Roman" w:cs="Times New Roman" w:eastAsia="Times New Roman" w:hAnsi="Times New Roman"/>
          <w:sz w:val="18"/>
          <w:szCs w:val="18"/>
          <w:color w:val="auto"/>
        </w:rPr>
        <w:t>In 2023, Communications revenue increased by $308.6 million, or 9%, compared to the same period in the prior year. This increase was primarily attributable to a 5% increase in the number of Communications Active Customer Accounts from over 282,000 as of December 31, 2022, to over 297,000 as of December 31, 2023, as well as the increased usage of our products by our existing customers, as reflected in our Communications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Expansion Rate of 103%. These increases were offset by a decrease of $59.8 million related to revenue from our ValueFirst and IoT businesses, which we divested during 2023.</w:t>
      </w:r>
    </w:p>
    <w:p>
      <w:pPr>
        <w:spacing w:after="0" w:line="199" w:lineRule="exact"/>
        <w:rPr>
          <w:sz w:val="20"/>
          <w:szCs w:val="20"/>
          <w:color w:val="auto"/>
        </w:rPr>
      </w:pPr>
    </w:p>
    <w:p>
      <w:pPr>
        <w:ind w:right="120" w:firstLine="480"/>
        <w:spacing w:after="0" w:line="219" w:lineRule="exact"/>
        <w:rPr>
          <w:sz w:val="20"/>
          <w:szCs w:val="20"/>
          <w:color w:val="auto"/>
        </w:rPr>
      </w:pPr>
      <w:r>
        <w:rPr>
          <w:rFonts w:ascii="Times New Roman" w:cs="Times New Roman" w:eastAsia="Times New Roman" w:hAnsi="Times New Roman"/>
          <w:sz w:val="18"/>
          <w:szCs w:val="18"/>
          <w:color w:val="auto"/>
        </w:rPr>
        <w:t>In 2023, Segment revenue increased by $19.0 million, or 7%, compared to the same period in the prior year. This increase was primarily attributable to a 4% increase in the number of Segment Active Customer Accounts from over 7,700 as of December 31, 2022 to over 8,000 as of December 31, 2023. Our Segment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Expansion Rate was 97% for the year ended December 31, 2023, due to higher contraction and customer churn compared to the same period in the prior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360"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2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1"/>
        </w:trPr>
        <w:tc>
          <w:tcPr>
            <w:tcW w:w="2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 to 2024 Change</w:t>
            </w: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 to 2023 Change</w:t>
            </w:r>
          </w:p>
        </w:tc>
      </w:tr>
      <w:tr>
        <w:trPr>
          <w:trHeight w:val="187"/>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(Dollars in thousands)</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1"/>
        </w:trPr>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2,179,824</w:t>
            </w:r>
          </w:p>
        </w:tc>
        <w:tc>
          <w:tcPr>
            <w:tcW w:w="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2,110,015</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2,012,744</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69,809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97,271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09"/>
        </w:trPr>
        <w:tc>
          <w:tcPr>
            <w:tcW w:w="2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2,278,212</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2,043,930</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1,813,577</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234,282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230,353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bl>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2024, cost of revenue increased by $69.8 million, or 3%, compared to the same period last year. This increase was primarily attributable to 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$87.8 million increase in network service providers’ costs, net of the impact of the hedging instruments, and a $34.7 million increase in hosting fees, which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the growth in usage of our products by our new and existing customers. The increase was partially offset by a $50.5 million decrease in amortization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intangible assets.</w:t>
      </w:r>
    </w:p>
    <w:p>
      <w:pPr>
        <w:spacing w:after="0" w:line="201" w:lineRule="exact"/>
        <w:rPr>
          <w:sz w:val="20"/>
          <w:szCs w:val="20"/>
          <w:color w:val="auto"/>
        </w:rPr>
      </w:pPr>
    </w:p>
    <w:p>
      <w:pPr>
        <w:ind w:right="820" w:firstLine="480"/>
        <w:spacing w:after="0" w:line="277" w:lineRule="auto"/>
        <w:rPr>
          <w:sz w:val="20"/>
          <w:szCs w:val="20"/>
          <w:color w:val="auto"/>
        </w:rPr>
      </w:pPr>
      <w:r>
        <w:rPr>
          <w:rFonts w:ascii="Times New Roman" w:cs="Times New Roman" w:eastAsia="Times New Roman" w:hAnsi="Times New Roman"/>
          <w:sz w:val="18"/>
          <w:szCs w:val="18"/>
          <w:color w:val="auto"/>
        </w:rPr>
        <w:t>In 2024, gross profit increased by $234.3 million, or 11%, compared to the same period last year. This increase was attributable to the factors impacting our revenue and cost of revenue, as described above.</w:t>
      </w: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222"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In 2023, cost of revenue increased by $97.3 million, or 5%, compared to the same period in the prior year. This increase was primarily attributable to a $51.4 million increase in network service providers’ costs, net of the impact of the hedging instruments, and a $28.7 million increase in hosting fees, which support the growth in usage of our products by our new and existing customers. The increase was also attributable to a $20.3 million increase in amortization of capitalized internal-use software development costs due to additional internal-use software projects placed in service in 2023.</w:t>
      </w:r>
    </w:p>
    <w:p>
      <w:pPr>
        <w:spacing w:after="0" w:line="181" w:lineRule="exact"/>
        <w:rPr>
          <w:sz w:val="20"/>
          <w:szCs w:val="20"/>
          <w:color w:val="auto"/>
        </w:rPr>
      </w:pPr>
    </w:p>
    <w:p>
      <w:pPr>
        <w:ind w:right="260" w:firstLine="480"/>
        <w:spacing w:after="0" w:line="277" w:lineRule="auto"/>
        <w:rPr>
          <w:sz w:val="20"/>
          <w:szCs w:val="20"/>
          <w:color w:val="auto"/>
        </w:rPr>
      </w:pPr>
      <w:r>
        <w:rPr>
          <w:rFonts w:ascii="Times New Roman" w:cs="Times New Roman" w:eastAsia="Times New Roman" w:hAnsi="Times New Roman"/>
          <w:sz w:val="18"/>
          <w:szCs w:val="18"/>
          <w:color w:val="auto"/>
        </w:rPr>
        <w:t>In 2023, gross profit increased by $230.4 million, or 13%, compared to the same period in the prior year. This increase was attributable to the factors impacting our revenue and cost of revenue, as described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60"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2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2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 to 2024 Change</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 to 2023 Change</w:t>
            </w:r>
          </w:p>
        </w:tc>
      </w:tr>
      <w:tr>
        <w:trPr>
          <w:trHeight w:val="187"/>
        </w:trPr>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1,008,747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1,079,081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65,957</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7 %</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(136,291)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1"/>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860,821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1,248,032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(162,164)</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(225,047)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517,414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(19,380)</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1"/>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76,636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(152,460)</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89,097</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116</w:t>
            </w:r>
          </w:p>
        </w:tc>
      </w:tr>
      <w:tr>
        <w:trPr>
          <w:trHeight w:val="21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97,722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(320,504)</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222,782</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w:t>
            </w:r>
          </w:p>
        </w:tc>
      </w:tr>
      <w:tr>
        <w:trPr>
          <w:trHeight w:val="209"/>
        </w:trPr>
        <w:tc>
          <w:tcPr>
            <w:tcW w:w="2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2,331,920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2,920,471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3,018,885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(588,551)</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(98,414)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222" w:lineRule="exact"/>
        <w:rPr>
          <w:sz w:val="20"/>
          <w:szCs w:val="20"/>
          <w:color w:val="auto"/>
        </w:rPr>
      </w:pPr>
    </w:p>
    <w:p>
      <w:pPr>
        <w:ind w:right="160" w:firstLine="480"/>
        <w:spacing w:after="0" w:line="253" w:lineRule="auto"/>
        <w:rPr>
          <w:sz w:val="20"/>
          <w:szCs w:val="20"/>
          <w:color w:val="auto"/>
        </w:rPr>
      </w:pPr>
      <w:r>
        <w:rPr>
          <w:rFonts w:ascii="Times New Roman" w:cs="Times New Roman" w:eastAsia="Times New Roman" w:hAnsi="Times New Roman"/>
          <w:sz w:val="18"/>
          <w:szCs w:val="18"/>
          <w:color w:val="auto"/>
        </w:rPr>
        <w:t>In 2024, research and development expenses increased by $66.0 million, or 7%, compared to the same period last year. The increase was primarily attributable to a $53.6 million increase in total personnel costs despite a 16% decrease in average research and development headcount compared to the same period last year. The increase in personnel costs was primarily driven by an $80.1 million increase in bonus expenses as a result of the introduction of our new cash bonus program, partially offset by a $20.0 million decrease in salaries expense. The increase in research and development expenses was also attributable to a $14.9 million increase in hosting fees to support development and staging of our products and a $7.0 million increase in software subscription expenses. These increases were partially offset by an $11.9 million increase in capitalized internal-use software development costs.</w:t>
      </w:r>
    </w:p>
    <w:p>
      <w:pPr>
        <w:spacing w:after="0" w:line="185"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In 2024, sales and marketing expenses decreased by $162.2 million, or 16%, compared to the same period last year. The decrease was primarily attributable to an $86.8 million decrease in total personnel costs, which was primarily driven by a 21% decrease in average sales and marketing headcount compared to the same period last year. The decrease in headcount was primarily driven by the restructuring of our workforce in February 2023 and December 2023. Sales and marketing expenses also decreased due to a $29.6 million decrease in amortization of intangible assets, a $22.3 million decrease in advertising expenses and a $9.7 million decrease in expenses related to corporate events.</w:t>
      </w:r>
    </w:p>
    <w:p>
      <w:pPr>
        <w:spacing w:after="0" w:line="186" w:lineRule="exact"/>
        <w:rPr>
          <w:sz w:val="20"/>
          <w:szCs w:val="20"/>
          <w:color w:val="auto"/>
        </w:rPr>
      </w:pPr>
    </w:p>
    <w:p>
      <w:pPr>
        <w:ind w:right="200" w:firstLine="480"/>
        <w:spacing w:after="0" w:line="269" w:lineRule="auto"/>
        <w:rPr>
          <w:sz w:val="20"/>
          <w:szCs w:val="20"/>
          <w:color w:val="auto"/>
        </w:rPr>
      </w:pPr>
      <w:r>
        <w:rPr>
          <w:rFonts w:ascii="Times New Roman" w:cs="Times New Roman" w:eastAsia="Times New Roman" w:hAnsi="Times New Roman"/>
          <w:sz w:val="17"/>
          <w:szCs w:val="17"/>
          <w:color w:val="auto"/>
        </w:rPr>
        <w:t>In 2024, general and administrative expenses decreased by $19.4 million, or 4%, compared to the same period last year. The decrease was primarily attributable to the $32.3 million loss on divested net assets recorded in the 2023 period related to the sale of our ValueFirst and Internet of Things businesses and a $15.8 million decrease in the provision for doubtful accounts. The decrease in general and administrative expenses was partially offset by an</w:t>
      </w:r>
    </w:p>
    <w:p>
      <w:pPr>
        <w:spacing w:after="0" w:line="2"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$18.3 million increase in professional services fees and an $11.9 million increase in bonus expenses as a result of the introduction of our new cash bonus program.</w:t>
      </w:r>
    </w:p>
    <w:p>
      <w:pPr>
        <w:spacing w:after="0" w:line="182"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In 2024, restructuring costs decreased by $152.5 million, or 92%, compared to the same period last year. The decrease was primarily attributable to the significant restructuring costs incurred in the 2023 period related to our February 2023 and December 2023 restructuring activities.</w:t>
      </w:r>
    </w:p>
    <w:p>
      <w:pPr>
        <w:spacing w:after="0" w:line="163" w:lineRule="exact"/>
        <w:rPr>
          <w:sz w:val="20"/>
          <w:szCs w:val="20"/>
          <w:color w:val="auto"/>
        </w:rPr>
      </w:pPr>
    </w:p>
    <w:p>
      <w:pPr>
        <w:ind w:right="360" w:firstLine="480"/>
        <w:spacing w:after="0" w:line="262" w:lineRule="auto"/>
        <w:rPr>
          <w:sz w:val="20"/>
          <w:szCs w:val="20"/>
          <w:color w:val="auto"/>
        </w:rPr>
      </w:pPr>
      <w:r>
        <w:rPr>
          <w:rFonts w:ascii="Times New Roman" w:cs="Times New Roman" w:eastAsia="Times New Roman" w:hAnsi="Times New Roman"/>
          <w:sz w:val="18"/>
          <w:szCs w:val="18"/>
          <w:color w:val="auto"/>
        </w:rPr>
        <w:t>In 2024, impairment of long-lived assets decreased by $320.5 million, or 100%, compared to the same period last year. The prior year charges were related to the impairment of Segment intangible assets and the impairment of certain of our operating leases and other long-lived assets as a result of permanent office closures in 2023. There were no such impairments in the current period.</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222" w:lineRule="exact"/>
        <w:rPr>
          <w:sz w:val="20"/>
          <w:szCs w:val="20"/>
          <w:color w:val="auto"/>
        </w:rPr>
      </w:pPr>
    </w:p>
    <w:p>
      <w:pPr>
        <w:ind w:right="160" w:firstLine="480"/>
        <w:spacing w:after="0" w:line="262" w:lineRule="auto"/>
        <w:rPr>
          <w:sz w:val="20"/>
          <w:szCs w:val="20"/>
          <w:color w:val="auto"/>
        </w:rPr>
      </w:pPr>
      <w:r>
        <w:rPr>
          <w:rFonts w:ascii="Times New Roman" w:cs="Times New Roman" w:eastAsia="Times New Roman" w:hAnsi="Times New Roman"/>
          <w:sz w:val="18"/>
          <w:szCs w:val="18"/>
          <w:color w:val="auto"/>
        </w:rPr>
        <w:t>In 2023, research and development expenses decreased by $136.3 million, or 13%, compared to the same period in the prior year. The decrease was primarily attributable to a $140.7 million decrease in total personnel costs, which was mostly driven by the restructuring of our workforce in September 2022, February 2023 and December 2023, that contributed to an 8% decrease in average research and development headcount in 2023.</w:t>
      </w:r>
    </w:p>
    <w:p>
      <w:pPr>
        <w:spacing w:after="0" w:line="176" w:lineRule="exact"/>
        <w:rPr>
          <w:sz w:val="20"/>
          <w:szCs w:val="20"/>
          <w:color w:val="auto"/>
        </w:rPr>
      </w:pPr>
    </w:p>
    <w:p>
      <w:pPr>
        <w:ind w:right="360" w:firstLine="480"/>
        <w:spacing w:after="0" w:line="257" w:lineRule="auto"/>
        <w:rPr>
          <w:sz w:val="20"/>
          <w:szCs w:val="20"/>
          <w:color w:val="auto"/>
        </w:rPr>
      </w:pPr>
      <w:r>
        <w:rPr>
          <w:rFonts w:ascii="Times New Roman" w:cs="Times New Roman" w:eastAsia="Times New Roman" w:hAnsi="Times New Roman"/>
          <w:sz w:val="18"/>
          <w:szCs w:val="18"/>
          <w:color w:val="auto"/>
        </w:rPr>
        <w:t>In 2023, sales and marketing expenses decreased by $225.0 million, or 18%, compared to the same period in the prior year. The decrease was primarily attributable to a $183.2 million decrease in total personnel costs, which was mostly driven by the restructuring of our workforce in September 2022, February 2023 and December 2023, that contributed to a 14% decrease in average sales and marketing headcount in 2023. Sales and marketing expenses also decreased due to a $21.5 million decrease in advertising expenses.</w:t>
      </w:r>
    </w:p>
    <w:p>
      <w:pPr>
        <w:spacing w:after="0" w:line="181"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In 2023, general and administrative expenses decreased by $49.0 million, or 9%, compared to the same period in the prior year. The decrease was primarily attributable to a $78.1 million decrease in total personnel costs, which was mostly driven by the restructuring of our workforce in September 2022, February 2023 and December 2023, that contributed to a 21% decrease in average general and administrative headcount in 2023. These decreases were partially offset by a $32.3 million loss on divestiture related to the sale of our ValueFirst business and our IoT asset group. For further detail on the restructuring plans and divestitures, refer to Note 7 and Note 5, respectively, to our consolidated financial statements included elsewhere in this Annual Report on Form 10-K.</w:t>
      </w:r>
    </w:p>
    <w:p>
      <w:pPr>
        <w:spacing w:after="0" w:line="185"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In 2023, restructuring costs increased by $89.1 million, or 116%, compared to the same period in the prior year. The increase was primarily attributable to our restructuring activities under the February 2023 Plan and December 2023 Plan, which collectively had a more substantial financial impact than our restructuring activities undertaken in September 2022.</w:t>
      </w:r>
    </w:p>
    <w:p>
      <w:pPr>
        <w:spacing w:after="0" w:line="176"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In 2023, impairment of long-lived assets increased by $222.8 million, or 228%, compared to the same period in the prior year. The increase was primarily attributable to the impairment of Segment intangible assets of $285.7 million in 2023, as a result of the performance of our Segment reportable segment. This increase was partially offset by a $62.9 million decrease in impairments of operating right-of-use assets and property and equipment due to fewer office closures in 2023 compared to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 to 2024 Change</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 to 2023 Change</w:t>
            </w: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1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Share of losses from equity method</w:t>
            </w:r>
          </w:p>
        </w:tc>
        <w:tc>
          <w:tcPr>
            <w:tcW w:w="26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108,481</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121,897</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35,315</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10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86,582</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0" w:type="dxa"/>
            <w:vAlign w:val="bottom"/>
          </w:tcPr>
          <w:p>
            <w:pPr>
              <w:spacing w:after="0"/>
              <w:rPr>
                <w:sz w:val="1"/>
                <w:szCs w:val="1"/>
                <w:color w:val="auto"/>
              </w:rPr>
            </w:pPr>
          </w:p>
        </w:tc>
      </w:tr>
      <w:tr>
        <w:trPr>
          <w:trHeight w:val="213"/>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w:t>
            </w:r>
          </w:p>
        </w:tc>
        <w:tc>
          <w:tcPr>
            <w:tcW w:w="2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(37,934)</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220" w:type="dxa"/>
            <w:vAlign w:val="bottom"/>
          </w:tcPr>
          <w:p>
            <w:pPr>
              <w:spacing w:after="0"/>
              <w:rPr>
                <w:sz w:val="18"/>
                <w:szCs w:val="18"/>
                <w:color w:val="auto"/>
              </w:rPr>
            </w:pPr>
          </w:p>
        </w:tc>
        <w:tc>
          <w:tcPr>
            <w:tcW w:w="86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46,154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(81,796)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(33,933)</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71 %</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w w:val="98"/>
              </w:rPr>
              <w:t>(50,872)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0" w:type="dxa"/>
            <w:vAlign w:val="bottom"/>
          </w:tcPr>
          <w:p>
            <w:pPr>
              <w:spacing w:after="0"/>
              <w:rPr>
                <w:sz w:val="1"/>
                <w:szCs w:val="1"/>
                <w:color w:val="auto"/>
              </w:rPr>
            </w:pPr>
          </w:p>
        </w:tc>
      </w:tr>
      <w:tr>
        <w:trPr>
          <w:trHeight w:val="209"/>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120,188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(85,283)</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center"/>
              <w:ind w:left="180"/>
              <w:spacing w:after="0"/>
              <w:rPr>
                <w:sz w:val="20"/>
                <w:szCs w:val="20"/>
                <w:color w:val="auto"/>
              </w:rPr>
            </w:pPr>
            <w:r>
              <w:rPr>
                <w:rFonts w:ascii="Times New Roman" w:cs="Times New Roman" w:eastAsia="Times New Roman" w:hAnsi="Times New Roman"/>
                <w:sz w:val="16"/>
                <w:szCs w:val="16"/>
                <w:color w:val="auto"/>
                <w:w w:val="99"/>
              </w:rPr>
              <w:t>81,864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222" w:lineRule="exact"/>
        <w:rPr>
          <w:sz w:val="20"/>
          <w:szCs w:val="20"/>
          <w:color w:val="auto"/>
        </w:rPr>
      </w:pPr>
    </w:p>
    <w:p>
      <w:pPr>
        <w:jc w:val="both"/>
        <w:ind w:right="80" w:firstLine="480"/>
        <w:spacing w:after="0" w:line="257" w:lineRule="auto"/>
        <w:rPr>
          <w:sz w:val="20"/>
          <w:szCs w:val="20"/>
          <w:color w:val="auto"/>
        </w:rPr>
      </w:pPr>
      <w:r>
        <w:rPr>
          <w:rFonts w:ascii="Times New Roman" w:cs="Times New Roman" w:eastAsia="Times New Roman" w:hAnsi="Times New Roman"/>
          <w:sz w:val="18"/>
          <w:szCs w:val="18"/>
          <w:color w:val="auto"/>
        </w:rPr>
        <w:t>In 2024, other expenses, net, decreased by $85.3 million, or 71%, compared to the same period last year. The decrease was primarily attributable to a $37.9 million decrease related to impairment of strategic investments due to a $46.2 million impairment of a strategic investment recorded in 2023 and less significant impairments recorded in 2024, an increase of $33.9 million in other (income) expenses, net, primarily related to an increase in income earned on our debt securities and a $13.4 million decrease in our share of losses from our equity method investment.</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222" w:lineRule="exact"/>
        <w:rPr>
          <w:sz w:val="20"/>
          <w:szCs w:val="20"/>
          <w:color w:val="auto"/>
        </w:rPr>
      </w:pPr>
    </w:p>
    <w:p>
      <w:pPr>
        <w:ind w:right="140" w:firstLine="480"/>
        <w:spacing w:after="0" w:line="262" w:lineRule="auto"/>
        <w:rPr>
          <w:sz w:val="20"/>
          <w:szCs w:val="20"/>
          <w:color w:val="auto"/>
        </w:rPr>
      </w:pPr>
      <w:r>
        <w:rPr>
          <w:rFonts w:ascii="Times New Roman" w:cs="Times New Roman" w:eastAsia="Times New Roman" w:hAnsi="Times New Roman"/>
          <w:sz w:val="18"/>
          <w:szCs w:val="18"/>
          <w:color w:val="auto"/>
        </w:rPr>
        <w:t>In 2023, other expenses, net, increased by $81.9 million, or 214%, compared to the same period in the prior year. The increase was primarily attributable to a $86.6 million increase in our share of losses from our equity method investment and a $46.2 million increase related to an impairment of a strategic investment, partially offset by a $53.8 million increase in income related to our investments.</w:t>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results for non-GAAP operating income (loss), as reviewed by our CODM, for each of our Communications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reportable segments for the years ended December 31, 2024, 2023 and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1"/>
        </w:trPr>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8"/>
                <w:szCs w:val="18"/>
                <w:color w:val="auto"/>
              </w:rPr>
            </w:pPr>
          </w:p>
        </w:tc>
        <w:tc>
          <w:tcPr>
            <w:tcW w:w="96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8"/>
                <w:szCs w:val="18"/>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2023 to 2024 Change</w:t>
            </w:r>
          </w:p>
        </w:tc>
        <w:tc>
          <w:tcPr>
            <w:tcW w:w="2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 to 2023 Change</w:t>
            </w:r>
          </w:p>
        </w:tc>
      </w:tr>
      <w:tr>
        <w:trPr>
          <w:trHeight w:val="184"/>
        </w:trPr>
        <w:tc>
          <w:tcPr>
            <w:tcW w:w="25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5"/>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Twilio Communications</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1,042,049</w:t>
            </w:r>
          </w:p>
        </w:tc>
        <w:tc>
          <w:tcPr>
            <w:tcW w:w="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841,990</w:t>
            </w:r>
          </w:p>
        </w:tc>
        <w:tc>
          <w:tcPr>
            <w:tcW w:w="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318,680</w:t>
            </w:r>
          </w:p>
        </w:tc>
        <w:tc>
          <w:tcPr>
            <w:tcW w:w="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200,059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523,310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21"/>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Twilio Segment</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(62,655)</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(72,430)</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(29,695)</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9,775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(42,735)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r>
    </w:tbl>
    <w:p>
      <w:pPr>
        <w:spacing w:after="0" w:line="2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222"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In 2024, Communications non-GAAP income from operations increased by $200.1 million, or 24%, compared to the same period last year. The increase was driven by an increase in Communications revenue of $301.6 million, as described in the Revenue section above, and a $16.8 million decrease in the provision for doubtful accounts. These drivers were partially offset by an $87.8 million increase in network service providers’ costs, net of the impact of hedging instruments, and a $27.3 million increase in hosting fees.</w:t>
      </w:r>
    </w:p>
    <w:p>
      <w:pPr>
        <w:spacing w:after="0" w:line="181"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In 2024, Segment non-GAAP loss from operations decreased by $9.8 million, or 13%, compared to the same period last year. The decrease was driven by a decrease in Segment operating expenses of $18.4 million primarily attributable to a decrease in total personnel costs and an increase in Segment revenue of $2.4 million, as described in the Revenue section above, partially offset by a $7.4 million increase in hosting fees and a $5.2 million increase in amortization of capitalized internal-use software development costs.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222"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In 2023, Communications non-GAAP income from operations increased by $523.3 million, or 164%, compared to the same period in the prior year. The increase was driven by an increase in Communications revenue of $308.6 million, as described in the Revenue section above, and a decrease in Communications operating expenses, partially offset by an increase in Communications cost of revenue. The decrease in operating expenses was primarily attributable to a $254.1 million decrease in total Communications personnel costs, which was mainly due to the restructuring of our workforce in September 2022, February 2023 and December 2023, that contributed to a 16% decrease in average Communications headcount in 2023. The increase in Communications cost of revenue was primarily attributable to a $19.5 million increase in hosting fees and a $51.3 million increase in network service providers’ costs, net of the impact of hedging instruments, to support the increase in revenue due to the growth in usage of our products by our new and existing customers.</w:t>
      </w:r>
    </w:p>
    <w:p>
      <w:pPr>
        <w:spacing w:after="0" w:line="190"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In 2023, Segment non-GAAP loss from operations increased by $42.7 million, or 144%, compared to the same period in the prior year. The increase was driven by an increase in Segment operating expenses and cost of revenue, partially offset by an increase in Segment revenue of $19.0 million, as described in the Revenue section above. The increase in operating expenses was primarily attributable to a $25.2 million increase in total Segment personnel costs, which was mainly due to a 12% increase in average Segment headcount in 2023, as we continued to focus on enhancing our Segment product and expanding our sales efforts. The increase in Segment cost of revenue was primarily attributable to a $9.2 million increase in hosting fees and a $4.9 million increase in amortization of capitalized internal-use software development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$421.3 million and short-term marketable securities of $2.0 billion. Cash equivalents consist of money market funds, commercial paper and U.S. treasury bills. Short-term marketable securities consist primarily of U.S. treasury securities, non-U.S. government securities, high credit quality corporate debt securities and commercial paper. The cash and cash equivalents and short-term marketable securities are held for working capital purposes.</w:t>
      </w:r>
    </w:p>
    <w:p>
      <w:pPr>
        <w:spacing w:after="0" w:line="181"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Our principal sources of liquidity have been (i) the payments received from customers using our products; (ii) public equity offerings, most recently in February 2021; and (iii) debt financings, most recently the issuance of our 2029 Notes and 2031 Notes (each, as defined below) in March 2021.</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00" w:firstLine="480"/>
        <w:spacing w:after="0" w:line="253" w:lineRule="auto"/>
        <w:rPr>
          <w:sz w:val="20"/>
          <w:szCs w:val="20"/>
          <w:color w:val="auto"/>
        </w:rPr>
      </w:pPr>
      <w:r>
        <w:rPr>
          <w:rFonts w:ascii="Times New Roman" w:cs="Times New Roman" w:eastAsia="Times New Roman" w:hAnsi="Times New Roman"/>
          <w:sz w:val="18"/>
          <w:szCs w:val="18"/>
          <w:color w:val="auto"/>
        </w:rPr>
        <w:t>Our primary uses of cash include operating costs, such as personnel-related costs, network service provider costs, cloud infrastructure costs, facility-related spending, acquisitions and investments we may make from time to time, and repurchases of common stock under our share repurchase program.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10, Note 14 and Note 17(a) to our consolidated financial statements included elsewhere in this Annual Report on Form 10-K for discussions of our obligations and commitments related to leases, debt and other purchase obligations.</w:t>
      </w:r>
    </w:p>
    <w:p>
      <w:pPr>
        <w:spacing w:after="0" w:line="185" w:lineRule="exact"/>
        <w:rPr>
          <w:sz w:val="20"/>
          <w:szCs w:val="20"/>
          <w:color w:val="auto"/>
        </w:rPr>
      </w:pPr>
    </w:p>
    <w:p>
      <w:pPr>
        <w:ind w:right="140" w:firstLine="480"/>
        <w:spacing w:after="0" w:line="262" w:lineRule="auto"/>
        <w:rPr>
          <w:sz w:val="20"/>
          <w:szCs w:val="20"/>
          <w:color w:val="auto"/>
        </w:rPr>
      </w:pPr>
      <w:r>
        <w:rPr>
          <w:rFonts w:ascii="Times New Roman" w:cs="Times New Roman" w:eastAsia="Times New Roman" w:hAnsi="Times New Roman"/>
          <w:sz w:val="18"/>
          <w:szCs w:val="18"/>
          <w:color w:val="auto"/>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spacing w:after="0" w:line="176" w:lineRule="exact"/>
        <w:rPr>
          <w:sz w:val="20"/>
          <w:szCs w:val="20"/>
          <w:color w:val="auto"/>
        </w:rPr>
      </w:pPr>
    </w:p>
    <w:p>
      <w:pPr>
        <w:ind w:right="60" w:firstLine="480"/>
        <w:spacing w:after="0" w:line="269" w:lineRule="auto"/>
        <w:rPr>
          <w:sz w:val="20"/>
          <w:szCs w:val="20"/>
          <w:color w:val="auto"/>
        </w:rPr>
      </w:pPr>
      <w:r>
        <w:rPr>
          <w:rFonts w:ascii="Times New Roman" w:cs="Times New Roman" w:eastAsia="Times New Roman" w:hAnsi="Times New Roman"/>
          <w:sz w:val="17"/>
          <w:szCs w:val="17"/>
          <w:color w:val="auto"/>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 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 Item 1A, “Risk Factors.”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24" w:lineRule="exact"/>
        <w:rPr>
          <w:sz w:val="20"/>
          <w:szCs w:val="20"/>
          <w:color w:val="auto"/>
        </w:rPr>
      </w:pPr>
    </w:p>
    <w:p>
      <w:pPr>
        <w:ind w:right="280" w:firstLine="480"/>
        <w:spacing w:after="0" w:line="257" w:lineRule="auto"/>
        <w:rPr>
          <w:sz w:val="20"/>
          <w:szCs w:val="20"/>
          <w:color w:val="auto"/>
        </w:rPr>
      </w:pPr>
      <w:r>
        <w:rPr>
          <w:rFonts w:ascii="Times New Roman" w:cs="Times New Roman" w:eastAsia="Times New Roman" w:hAnsi="Times New Roman"/>
          <w:sz w:val="18"/>
          <w:szCs w:val="18"/>
          <w:color w:val="auto"/>
        </w:rPr>
        <w:t>In February 2023, our board of directors authorized the repurchase of up to $1.0 billion in aggregate value of our Class A common stock. In March 2024, our board of directors authorized the repurchase of an additional $2.0 billion in aggregate value of our Class A common stock. As of December 31, 2024, we had repurchased $3.0 billion in aggregate value of our common stock in the open market under these prior authorizations, which expired on December 31, 2024.</w:t>
      </w:r>
    </w:p>
    <w:p>
      <w:pPr>
        <w:spacing w:after="0" w:line="181" w:lineRule="exact"/>
        <w:rPr>
          <w:sz w:val="20"/>
          <w:szCs w:val="20"/>
          <w:color w:val="auto"/>
        </w:rPr>
      </w:pPr>
    </w:p>
    <w:p>
      <w:pPr>
        <w:ind w:right="320" w:firstLine="480"/>
        <w:spacing w:after="0" w:line="277" w:lineRule="auto"/>
        <w:rPr>
          <w:sz w:val="20"/>
          <w:szCs w:val="20"/>
          <w:color w:val="auto"/>
        </w:rPr>
      </w:pPr>
      <w:r>
        <w:rPr>
          <w:rFonts w:ascii="Times New Roman" w:cs="Times New Roman" w:eastAsia="Times New Roman" w:hAnsi="Times New Roman"/>
          <w:sz w:val="18"/>
          <w:szCs w:val="18"/>
          <w:color w:val="auto"/>
        </w:rPr>
        <w:t>In the year ended December 31, 2024, we repurchased $2.3 billion in aggregate value, or 36.8 million shares, of our Class A common stock on the open market.</w:t>
      </w:r>
    </w:p>
    <w:p>
      <w:pPr>
        <w:spacing w:after="0" w:line="163"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In January 2025, our board of directors authorized the repurchase of up to $2.0 billion in aggregate value of our Class A common stock, with such program expiring on December 31, 2027. Repurchases under this program can be made through open market, private transactions or other means, in compliance with applicable federal securities laws, and could include repurchases pursuant to Rule 10b5-1 trading plans. We have discretion in determining the conditions under which shares may be repurchased from time to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Notes and 2031 Notes</w:t>
      </w:r>
    </w:p>
    <w:p>
      <w:pPr>
        <w:spacing w:after="0" w:line="224"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In March 2021, we issued and sold $1.0 billion aggregate principal amount of senior notes, consisting of $500.0 million principal amount of 3.625% notes due 2029 (the “2029 Notes”) and $500.0 million principal amount of 3.875% notes due 2031 (the “2031 Notes,” and together with the 2029 Notes, the “Notes”). These Notes are described in detail in Note 14 to our consolidated financial statements included elsewhere in this Annual Report on Form 10-K.</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00" w:type="dxa"/>
            <w:vAlign w:val="bottom"/>
            <w:tcBorders>
              <w:bottom w:val="single" w:sz="8" w:color="auto"/>
            </w:tcBorders>
          </w:tcPr>
          <w:p>
            <w:pPr>
              <w:spacing w:after="0"/>
              <w:rPr>
                <w:sz w:val="18"/>
                <w:szCs w:val="18"/>
                <w:color w:val="auto"/>
              </w:rPr>
            </w:pPr>
          </w:p>
        </w:tc>
      </w:tr>
      <w:tr>
        <w:trPr>
          <w:trHeight w:val="208"/>
        </w:trPr>
        <w:tc>
          <w:tcPr>
            <w:tcW w:w="7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7"/>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operating activities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716,241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(254,368)</w:t>
            </w:r>
          </w:p>
        </w:tc>
      </w:tr>
      <w:tr>
        <w:trPr>
          <w:trHeight w:val="211"/>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(used in) investing activities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1,370,837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(616,452)</w:t>
            </w: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provided by financing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(2,311,572)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45,007</w:t>
            </w:r>
          </w:p>
        </w:tc>
      </w:tr>
      <w:tr>
        <w:trPr>
          <w:trHeight w:val="211"/>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4"/>
        </w:trPr>
        <w:tc>
          <w:tcPr>
            <w:tcW w:w="7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(825,753)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2"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In 2024, cash provided by operating activities consisted primarily of our net loss of $109.4 million adjusted for non-cash items, including $616.6 million of stock-based compensation expense, $206.0 million of depreciation and amortization expense, $76.3 million amortization of deferred commissions, $19.1 million of non-cash reduction in our operating right-of-use asset, $108.5 million of share of losses from equity method investments, $35.4 million of provision for doubtful accounts and $234.1 million of cumulative changes in operating assets and liabilities. With respect to changes in operating assets and liabilities, accounts receivable and prepaid expenses increased $214.6 million primarily due to revenue growth, timing of cash receipts and pre-payments of our cloud infrastructure fees and certain operating expenses. Accrued expenses and other current liabilities increased $87.4 million primarily driven by a $109.8 million accrual related to our company-wide bonus program introduced in 2024, offset by a $28.8 million decrease in our restructuring liability. Operating lease liabilities decreased $48.8 million due to payments made against our operating lease obligations.</w:t>
      </w:r>
    </w:p>
    <w:p>
      <w:pPr>
        <w:spacing w:after="0" w:line="190"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In 2023, cash provided by operating activities consisted primarily of our net loss of $1.0 billion adjusted for non-cash items, including $675.9 million of stock-based compensation expense, $284.4 million of depreciation and amortization expense, $320.5 million of impairment of intangible assets and other long-lived assets, $72.9 million amortization of deferred commissions, $27.0 million of non-cash reduction in our operating right-of-use asset, $121.9 million of share of losses from equity method investments, $51.9 million of provision for bad debt and $230.6 million of cumulative changes in operating assets and liabilities. With respect to changes in operating assets and liabilities, accounts receivable and prepaid expenses increased $141.4 million primarily due to revenue growth, timing of cash receipts and pre-payments of our cloud infrastructure fees and certain operating expenses. Accounts payable and other current liabilities decreased $39.4 million primarily driven by lower personnel-related accruals due to lower headcount, including a $25.2 million decrease in the sabbatical benefit accrual driven by lower headcount and the sunsetting of the program.</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2" w:lineRule="exact"/>
        <w:rPr>
          <w:sz w:val="20"/>
          <w:szCs w:val="20"/>
          <w:color w:val="auto"/>
        </w:rPr>
      </w:pPr>
    </w:p>
    <w:p>
      <w:pPr>
        <w:jc w:val="both"/>
        <w:ind w:right="120" w:firstLine="480"/>
        <w:spacing w:after="0" w:line="262" w:lineRule="auto"/>
        <w:rPr>
          <w:sz w:val="20"/>
          <w:szCs w:val="20"/>
          <w:color w:val="auto"/>
        </w:rPr>
      </w:pPr>
      <w:r>
        <w:rPr>
          <w:rFonts w:ascii="Times New Roman" w:cs="Times New Roman" w:eastAsia="Times New Roman" w:hAnsi="Times New Roman"/>
          <w:sz w:val="18"/>
          <w:szCs w:val="18"/>
          <w:color w:val="auto"/>
        </w:rPr>
        <w:t>In 2024, cash provided by investing activities was $1.4 billion primarily consisting of $1.4 billion of maturities and sales of marketable securities and other investments, net of purchases, partially offset by $51.8 million related to capitalized software development costs and $7.0 million related to purchases of long-lived assets.</w:t>
      </w:r>
    </w:p>
    <w:p>
      <w:pPr>
        <w:spacing w:after="0" w:line="176" w:lineRule="exact"/>
        <w:rPr>
          <w:sz w:val="20"/>
          <w:szCs w:val="20"/>
          <w:color w:val="auto"/>
        </w:rPr>
      </w:pPr>
    </w:p>
    <w:p>
      <w:pPr>
        <w:ind w:right="400" w:firstLine="480"/>
        <w:spacing w:after="0" w:line="262" w:lineRule="auto"/>
        <w:rPr>
          <w:sz w:val="20"/>
          <w:szCs w:val="20"/>
          <w:color w:val="auto"/>
        </w:rPr>
      </w:pPr>
      <w:r>
        <w:rPr>
          <w:rFonts w:ascii="Times New Roman" w:cs="Times New Roman" w:eastAsia="Times New Roman" w:hAnsi="Times New Roman"/>
          <w:sz w:val="18"/>
          <w:szCs w:val="18"/>
          <w:color w:val="auto"/>
        </w:rPr>
        <w:t>In 2023, cash provided by investing activities was $228.6 million primarily consisting of $247.4 million of maturities and sales of marketable securities and other investments, net of purchases, and $38.2 million of proceeds from divestitures, net of cash divested, partially offset by $39.9 million related to capitalized software development costs and $11.3 million related to purchases of long-lived assets.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2" w:lineRule="exact"/>
        <w:rPr>
          <w:sz w:val="20"/>
          <w:szCs w:val="20"/>
          <w:color w:val="auto"/>
        </w:rPr>
      </w:pPr>
    </w:p>
    <w:p>
      <w:pPr>
        <w:jc w:val="both"/>
        <w:ind w:right="360" w:firstLine="480"/>
        <w:spacing w:after="0" w:line="262" w:lineRule="auto"/>
        <w:rPr>
          <w:sz w:val="20"/>
          <w:szCs w:val="20"/>
          <w:color w:val="auto"/>
        </w:rPr>
      </w:pPr>
      <w:r>
        <w:rPr>
          <w:rFonts w:ascii="Times New Roman" w:cs="Times New Roman" w:eastAsia="Times New Roman" w:hAnsi="Times New Roman"/>
          <w:sz w:val="18"/>
          <w:szCs w:val="18"/>
          <w:color w:val="auto"/>
        </w:rPr>
        <w:t>In 2024, cash used in financing activities was $2.3 billion primarily consisting of $2.3 billion of cash paid to repurchase 36.8 million shares of our common stock in the open market, including related costs, offset by $37.4 million in proceeds from stock options exercised by our employees and shares issued under our employee stock purchase plan.</w:t>
      </w:r>
    </w:p>
    <w:p>
      <w:pPr>
        <w:spacing w:after="0" w:line="176" w:lineRule="exact"/>
        <w:rPr>
          <w:sz w:val="20"/>
          <w:szCs w:val="20"/>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In 2023, cash used in financing activities was $643.6 million primarily consisting of $668.8 million of cash paid to repurchase 11.3 million shares of our common stock in the open market, including related costs, offset by $43.8 million in proceeds from stock options exercised by our employees and shares issued under our employee stock purchase plan.</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4"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1" w:lineRule="exact"/>
        <w:rPr>
          <w:sz w:val="20"/>
          <w:szCs w:val="20"/>
          <w:color w:val="auto"/>
        </w:rPr>
      </w:pPr>
    </w:p>
    <w:p>
      <w:pPr>
        <w:ind w:right="420" w:firstLine="480"/>
        <w:spacing w:after="0" w:line="277" w:lineRule="auto"/>
        <w:rPr>
          <w:sz w:val="20"/>
          <w:szCs w:val="20"/>
          <w:color w:val="auto"/>
        </w:rPr>
      </w:pPr>
      <w:r>
        <w:rPr>
          <w:rFonts w:ascii="Times New Roman" w:cs="Times New Roman" w:eastAsia="Times New Roman" w:hAnsi="Times New Roman"/>
          <w:sz w:val="18"/>
          <w:szCs w:val="18"/>
          <w:color w:val="auto"/>
        </w:rPr>
        <w:t>We believe that the accounting policies, assumptions and estimates associated with revenue recognition have the greatest potential impact on our consolidated financial statements. Therefore, we consider these to be our critical accounting policies and estimates.</w:t>
      </w:r>
    </w:p>
    <w:p>
      <w:pPr>
        <w:spacing w:after="0" w:line="163" w:lineRule="exact"/>
        <w:rPr>
          <w:sz w:val="20"/>
          <w:szCs w:val="20"/>
          <w:color w:val="auto"/>
        </w:rPr>
      </w:pPr>
    </w:p>
    <w:p>
      <w:pPr>
        <w:ind w:right="540" w:firstLine="480"/>
        <w:spacing w:after="0" w:line="277"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Annual Report on Form 10-K for a discussion of our accounting policies.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97"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credits and any taxes collected from customers, which are subsequently remitted to governmental authorities.</w:t>
      </w:r>
    </w:p>
    <w:p>
      <w:pPr>
        <w:spacing w:after="0" w:line="141"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Our revenue is derived from usage and non-usage based fees. Our usage-based fees are earned from certain of our Communications products when customers access our platform. Platform usage is considered a monthly series comprising one performance obligation and usage-based fees are recognized as revenue in the period in which the usage occurs.</w:t>
      </w:r>
    </w:p>
    <w:p>
      <w:pPr>
        <w:spacing w:after="0" w:line="136" w:lineRule="exact"/>
        <w:rPr>
          <w:sz w:val="20"/>
          <w:szCs w:val="20"/>
          <w:color w:val="auto"/>
        </w:rPr>
      </w:pPr>
    </w:p>
    <w:p>
      <w:pPr>
        <w:jc w:val="both"/>
        <w:ind w:right="120" w:firstLine="480"/>
        <w:spacing w:after="0" w:line="262" w:lineRule="auto"/>
        <w:rPr>
          <w:sz w:val="20"/>
          <w:szCs w:val="20"/>
          <w:color w:val="auto"/>
        </w:rPr>
      </w:pPr>
      <w:r>
        <w:rPr>
          <w:rFonts w:ascii="Times New Roman" w:cs="Times New Roman" w:eastAsia="Times New Roman" w:hAnsi="Times New Roman"/>
          <w:sz w:val="18"/>
          <w:szCs w:val="18"/>
          <w:color w:val="auto"/>
        </w:rPr>
        <w:t>Our subscription-based fees are derived from our software products, such as Segment, Flex, Email and Marketing Campaigns, and certain other non-usage-based contracts, such as with the sales of short codes and customer support. Non-usage-based contracts revenue is recognized on a ratable basis over the contractual term which is generally from one to three years.</w:t>
      </w:r>
    </w:p>
    <w:p>
      <w:pPr>
        <w:spacing w:after="0" w:line="149"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Our arrangements do not contain general rights of return. However, credits may be issued on a case-by-case basis. Credits are accounted for as variable consideration, are estimated based on historical trends and are recorded against revenue. The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84"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See Note 2(af) to the consolidated financial statements included elsewhere in this Annual Report on Form 10-K for a discussion of recent accounting pronouncements not yet adopted.</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including sensitivities as follows: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4" w:lineRule="exact"/>
        <w:rPr>
          <w:sz w:val="20"/>
          <w:szCs w:val="20"/>
          <w:color w:val="auto"/>
        </w:rPr>
      </w:pPr>
    </w:p>
    <w:p>
      <w:pPr>
        <w:ind w:firstLine="480"/>
        <w:spacing w:after="0" w:line="215" w:lineRule="exact"/>
        <w:rPr>
          <w:sz w:val="20"/>
          <w:szCs w:val="20"/>
          <w:color w:val="auto"/>
        </w:rPr>
      </w:pPr>
      <w:r>
        <w:rPr>
          <w:rFonts w:ascii="Times New Roman" w:cs="Times New Roman" w:eastAsia="Times New Roman" w:hAnsi="Times New Roman"/>
          <w:sz w:val="18"/>
          <w:szCs w:val="18"/>
          <w:color w:val="auto"/>
        </w:rPr>
        <w:t>We had cash and cash equivalents of $421.3 million and marketable securities of $2.0 billion as of December 31, 2024. In any given period, cash, cash equivalents and restricted cash may consist of bank deposits, money market funds, reverse repurchase agreements and commercial paper. Marketable securities consist primarily of U.S. treasury securities, non-U.S. government securities, high credit quality corporate debt securities and commercial paper. The cash and cash equivalents and marketable securities are held for working capital purposes. Such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consolidated financial statements included elsewhere in this Annual Report on Form 10-K.</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Risks</w:t>
      </w:r>
    </w:p>
    <w:p>
      <w:pPr>
        <w:spacing w:after="0" w:line="224"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The functional currency of most of our foreign subsidiaries is the U.S. dollar. The local currencies of our foreign subsidiaries are the Australian dollar, the Brazilian real, the British pound, the Canadian dollar, the Colombian peso, the Euro, the Hong Kong dollar, the Indian rupee, the Japanese yen, the Mexican peso, the Polish zloty, the Serbian dinar, the Singapore dollar and the Swedish krona.</w:t>
      </w:r>
    </w:p>
    <w:p>
      <w:pPr>
        <w:spacing w:after="0" w:line="176"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consolidated statements of operations included elsewhere in this Annual Report on Form 10-K.</w:t>
      </w:r>
    </w:p>
    <w:p>
      <w:pPr>
        <w:spacing w:after="0" w:line="181"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We enter into foreign currency derivative hedging transactions to mitigate our exposure to market risks that may result from changes in foreign currency exchange rates. For further information, refer to Note 9 to our consolidated financial statements included elsewhere in this Annual Report on Form 10-K.</w:t>
      </w:r>
    </w:p>
    <w:p>
      <w:pPr>
        <w:spacing w:after="0" w:line="176" w:lineRule="exact"/>
        <w:rPr>
          <w:sz w:val="20"/>
          <w:szCs w:val="20"/>
          <w:color w:val="auto"/>
        </w:rPr>
      </w:pPr>
    </w:p>
    <w:p>
      <w:pPr>
        <w:ind w:right="220" w:firstLine="480"/>
        <w:spacing w:after="0" w:line="277" w:lineRule="auto"/>
        <w:rPr>
          <w:sz w:val="20"/>
          <w:szCs w:val="20"/>
          <w:color w:val="auto"/>
        </w:rPr>
      </w:pPr>
      <w:r>
        <w:rPr>
          <w:rFonts w:ascii="Times New Roman" w:cs="Times New Roman" w:eastAsia="Times New Roman" w:hAnsi="Times New Roman"/>
          <w:sz w:val="18"/>
          <w:szCs w:val="18"/>
          <w:color w:val="auto"/>
        </w:rPr>
        <w:t>A hypothetical 10% change in foreign exchange rates during any of the periods presented would not have had a material impact on our 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1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9"/>
        </w:trPr>
        <w:tc>
          <w:tcPr>
            <w:tcW w:w="7820" w:type="dxa"/>
            <w:vAlign w:val="bottom"/>
            <w:gridSpan w:val="7"/>
          </w:tcPr>
          <w:p>
            <w:pPr>
              <w:spacing w:after="0" w:line="179" w:lineRule="exact"/>
              <w:rPr>
                <w:sz w:val="20"/>
                <w:szCs w:val="20"/>
                <w:color w:val="auto"/>
              </w:rPr>
            </w:pPr>
            <w:r>
              <w:rPr>
                <w:rFonts w:ascii="Times New Roman" w:cs="Times New Roman" w:eastAsia="Times New Roman" w:hAnsi="Times New Roman"/>
                <w:sz w:val="16"/>
                <w:szCs w:val="16"/>
                <w:color w:val="0000FF"/>
              </w:rPr>
              <w:t xml:space="preserve">Reports of Independent Registered Public Accounting Firm (PCAOB ID: </w:t>
            </w:r>
            <w:r>
              <w:rPr>
                <w:rFonts w:ascii="Times New Roman" w:cs="Times New Roman" w:eastAsia="Times New Roman" w:hAnsi="Times New Roman"/>
                <w:sz w:val="16"/>
                <w:szCs w:val="16"/>
                <w:color w:val="000000"/>
              </w:rPr>
              <w:t>185</w:t>
            </w:r>
            <w:r>
              <w:rPr>
                <w:rFonts w:ascii="Times New Roman" w:cs="Times New Roman" w:eastAsia="Times New Roman" w:hAnsi="Times New Roman"/>
                <w:sz w:val="16"/>
                <w:szCs w:val="16"/>
                <w:u w:val="single" w:color="auto"/>
                <w:color w:val="0000FF"/>
              </w:rPr>
              <w:t>)</w:t>
            </w:r>
          </w:p>
        </w:tc>
        <w:tc>
          <w:tcPr>
            <w:tcW w:w="33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0000FF"/>
              </w:rPr>
              <w:t>68</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0000FF"/>
                <w:w w:val="99"/>
              </w:rPr>
              <w:t>Consolidated Balance Sheets</w:t>
            </w:r>
          </w:p>
        </w:tc>
        <w:tc>
          <w:tcPr>
            <w:tcW w:w="2880" w:type="dxa"/>
            <w:vAlign w:val="bottom"/>
            <w:gridSpan w:val="5"/>
          </w:tcPr>
          <w:p>
            <w:pPr>
              <w:spacing w:after="0"/>
              <w:rPr>
                <w:sz w:val="16"/>
                <w:szCs w:val="16"/>
                <w:color w:val="auto"/>
              </w:rPr>
            </w:pPr>
          </w:p>
        </w:tc>
        <w:tc>
          <w:tcPr>
            <w:tcW w:w="3080" w:type="dxa"/>
            <w:vAlign w:val="bottom"/>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70</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78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71</w:t>
            </w:r>
          </w:p>
        </w:tc>
      </w:tr>
      <w:tr>
        <w:trPr>
          <w:trHeight w:val="20"/>
        </w:trPr>
        <w:tc>
          <w:tcPr>
            <w:tcW w:w="2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31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8"/>
              </w:rPr>
              <w:t>Consolidated Statements of Comprehensive Loss</w:t>
            </w:r>
          </w:p>
        </w:tc>
        <w:tc>
          <w:tcPr>
            <w:tcW w:w="4680" w:type="dxa"/>
            <w:vAlign w:val="bottom"/>
            <w:gridSpan w:val="2"/>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72</w:t>
            </w:r>
          </w:p>
        </w:tc>
      </w:tr>
      <w:tr>
        <w:trPr>
          <w:trHeight w:val="20"/>
        </w:trPr>
        <w:tc>
          <w:tcPr>
            <w:tcW w:w="2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80" w:type="dxa"/>
            <w:vAlign w:val="bottom"/>
            <w:tcBorders>
              <w:left w:val="single" w:sz="8" w:color="0000FF"/>
            </w:tcBorders>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31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8"/>
              </w:rPr>
              <w:t>Consolidated Statements of Stockholders' Equity</w:t>
            </w:r>
          </w:p>
        </w:tc>
        <w:tc>
          <w:tcPr>
            <w:tcW w:w="4680" w:type="dxa"/>
            <w:vAlign w:val="bottom"/>
            <w:gridSpan w:val="2"/>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73</w:t>
            </w:r>
          </w:p>
        </w:tc>
      </w:tr>
      <w:tr>
        <w:trPr>
          <w:trHeight w:val="20"/>
        </w:trPr>
        <w:tc>
          <w:tcPr>
            <w:tcW w:w="2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2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9"/>
              </w:rPr>
              <w:t>Consolidated Statements of Cash Flows</w:t>
            </w:r>
          </w:p>
        </w:tc>
        <w:tc>
          <w:tcPr>
            <w:tcW w:w="580" w:type="dxa"/>
            <w:vAlign w:val="bottom"/>
            <w:gridSpan w:val="2"/>
          </w:tcPr>
          <w:p>
            <w:pPr>
              <w:spacing w:after="0"/>
              <w:rPr>
                <w:sz w:val="16"/>
                <w:szCs w:val="16"/>
                <w:color w:val="auto"/>
              </w:rPr>
            </w:pPr>
          </w:p>
        </w:tc>
        <w:tc>
          <w:tcPr>
            <w:tcW w:w="4680" w:type="dxa"/>
            <w:vAlign w:val="bottom"/>
            <w:gridSpan w:val="2"/>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76</w:t>
            </w:r>
          </w:p>
        </w:tc>
      </w:tr>
      <w:tr>
        <w:trPr>
          <w:trHeight w:val="20"/>
        </w:trPr>
        <w:tc>
          <w:tcPr>
            <w:tcW w:w="25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3"/>
        </w:trPr>
        <w:tc>
          <w:tcPr>
            <w:tcW w:w="2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9"/>
              </w:rPr>
              <w:t>Notes to Consolidated Financial Statements</w:t>
            </w:r>
          </w:p>
        </w:tc>
        <w:tc>
          <w:tcPr>
            <w:tcW w:w="5020" w:type="dxa"/>
            <w:vAlign w:val="bottom"/>
            <w:gridSpan w:val="3"/>
          </w:tcPr>
          <w:p>
            <w:pPr>
              <w:spacing w:after="0"/>
              <w:rPr>
                <w:sz w:val="16"/>
                <w:szCs w:val="16"/>
                <w:color w:val="auto"/>
              </w:rPr>
            </w:pP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77</w:t>
            </w:r>
          </w:p>
        </w:tc>
      </w:tr>
      <w:tr>
        <w:trPr>
          <w:trHeight w:val="20"/>
        </w:trPr>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Twilio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2" w:lineRule="exact"/>
        <w:rPr>
          <w:sz w:val="20"/>
          <w:szCs w:val="20"/>
          <w:color w:val="auto"/>
        </w:rPr>
      </w:pPr>
    </w:p>
    <w:p>
      <w:pPr>
        <w:ind w:right="180" w:firstLine="64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Twilio Inc. and subsidiaries (the Company) as of December 31, 2024 and 2023, the related consolidated statements of operations, comprehensive loss, stockholders’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w:t>
      </w:r>
    </w:p>
    <w:p>
      <w:pPr>
        <w:spacing w:after="0" w:line="186" w:lineRule="exact"/>
        <w:rPr>
          <w:sz w:val="20"/>
          <w:szCs w:val="20"/>
          <w:color w:val="auto"/>
        </w:rPr>
      </w:pPr>
    </w:p>
    <w:p>
      <w:pPr>
        <w:ind w:right="160" w:firstLine="640"/>
        <w:spacing w:after="0" w:line="254"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2" w:lineRule="exact"/>
        <w:rPr>
          <w:sz w:val="20"/>
          <w:szCs w:val="20"/>
          <w:color w:val="auto"/>
        </w:rPr>
      </w:pPr>
    </w:p>
    <w:p>
      <w:pPr>
        <w:ind w:right="60" w:firstLine="64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right="360" w:firstLine="640"/>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00" w:firstLine="640"/>
        <w:spacing w:after="0" w:line="269"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2" w:lineRule="exact"/>
        <w:rPr>
          <w:sz w:val="20"/>
          <w:szCs w:val="20"/>
          <w:color w:val="auto"/>
        </w:rPr>
      </w:pPr>
    </w:p>
    <w:p>
      <w:pPr>
        <w:ind w:firstLine="640"/>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20" w:firstLine="64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2" w:lineRule="exact"/>
        <w:rPr>
          <w:sz w:val="20"/>
          <w:szCs w:val="20"/>
          <w:color w:val="auto"/>
        </w:rPr>
      </w:pPr>
    </w:p>
    <w:p>
      <w:pPr>
        <w:jc w:val="both"/>
        <w:ind w:right="260" w:firstLine="64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Evaluation of the sufficiency of audit evidence over revenue recognition</w:t>
      </w:r>
    </w:p>
    <w:p>
      <w:pPr>
        <w:spacing w:after="0" w:line="222" w:lineRule="exact"/>
        <w:rPr>
          <w:sz w:val="20"/>
          <w:szCs w:val="20"/>
          <w:color w:val="auto"/>
        </w:rPr>
      </w:pPr>
    </w:p>
    <w:p>
      <w:pPr>
        <w:ind w:right="100" w:firstLine="640"/>
        <w:spacing w:after="0" w:line="257" w:lineRule="auto"/>
        <w:rPr>
          <w:sz w:val="20"/>
          <w:szCs w:val="20"/>
          <w:color w:val="auto"/>
        </w:rPr>
      </w:pPr>
      <w:r>
        <w:rPr>
          <w:rFonts w:ascii="Times New Roman" w:cs="Times New Roman" w:eastAsia="Times New Roman" w:hAnsi="Times New Roman"/>
          <w:sz w:val="18"/>
          <w:szCs w:val="18"/>
          <w:color w:val="auto"/>
        </w:rPr>
        <w:t>As discussed in Note 2(e) to the consolidated financial statements, the Company's revenue is derived from usage and non-usage-based fees earned from customers accessing the Company's cloud-based platform. As of December 31, 2024, the Company recorded $4.5 billion in revenues, a portion of which related to Programmable Messaging and Programmable Voice APIs. The Company’s revenue recognition process is highly automated, and revenue is recorded within the Company’s general ledger through reliance on customized and proprietary information technology (IT) systems.</w:t>
      </w:r>
    </w:p>
    <w:p>
      <w:pPr>
        <w:spacing w:after="0" w:line="181" w:lineRule="exact"/>
        <w:rPr>
          <w:sz w:val="20"/>
          <w:szCs w:val="20"/>
          <w:color w:val="auto"/>
        </w:rPr>
      </w:pPr>
    </w:p>
    <w:p>
      <w:pPr>
        <w:ind w:right="120" w:firstLine="640"/>
        <w:spacing w:after="0" w:line="273" w:lineRule="auto"/>
        <w:rPr>
          <w:sz w:val="20"/>
          <w:szCs w:val="20"/>
          <w:color w:val="auto"/>
        </w:rPr>
      </w:pPr>
      <w:r>
        <w:rPr>
          <w:rFonts w:ascii="Times New Roman" w:cs="Times New Roman" w:eastAsia="Times New Roman" w:hAnsi="Times New Roman"/>
          <w:sz w:val="17"/>
          <w:szCs w:val="17"/>
          <w:color w:val="auto"/>
        </w:rPr>
        <w:t>We identified the evaluation of the sufficiency of audit evidence over revenue recognition related to the Company’s Programmable Messaging and Programmable Voice APIs as a critical audit matter. This matter required especially subjective auditor judgment because of the large number of information technology (IT) applications involved in the revenue recognition process. Auditor judgment was required in determining the nature and extent of audit evidence obtained over these information systems that process revenue transactions. Involvement of IT professionals with specialized skills and knowledge was required to assist with the performance and evaluation of certain procedures and determination of IT applications subject to testing.</w:t>
      </w:r>
    </w:p>
    <w:p>
      <w:pPr>
        <w:spacing w:after="0" w:line="169"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revenue recognition. We evaluated the design and tested the operating effectiveness of certain internal controls related to the Company’s Programmable Messaging and Programmable Voice revenue recognition process. We involved IT professionals with specialized skills and knowledge, who assisted in testing controls related to the Company’s general information technology and application controls related to the systems utilized within the Company’s Programmable Messaging and Programmable Voice revenue recognition process. For a sample of customer agreements, we compared the pricing reflected in the Company’s revenue IT system to the contractually agreed upon pricing with the customer. For a sample of revenue transactions, we compared the amounts recognized for consistency with underlying documentation, including contracts with customers. We assessed the recorded revenue by comparing revenue to underlying cash receipts. We evaluated credits issued after year end to assess the revenue recorded within the period. In addition, we evaluated the overall sufficiency of audit evidence obtained by assessing the results of procedures performed, including appropriateness of the nature and extent of such evidence.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0"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40" w:type="dxa"/>
            <w:vAlign w:val="bottom"/>
            <w:tcBorders>
              <w:bottom w:val="single" w:sz="8" w:color="auto"/>
            </w:tcBorders>
          </w:tcPr>
          <w:p>
            <w:pPr>
              <w:spacing w:after="0"/>
              <w:rPr>
                <w:sz w:val="18"/>
                <w:szCs w:val="18"/>
                <w:color w:val="auto"/>
              </w:rPr>
            </w:pPr>
          </w:p>
        </w:tc>
      </w:tr>
      <w:tr>
        <w:trPr>
          <w:trHeight w:val="208"/>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r>
      <w:tr>
        <w:trPr>
          <w:trHeight w:val="22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1"/>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421,297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655,931</w:t>
            </w:r>
          </w:p>
        </w:tc>
      </w:tr>
      <w:tr>
        <w:trPr>
          <w:trHeight w:val="211"/>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1,963,102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3,356,064</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588,540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562,773</w:t>
            </w:r>
          </w:p>
        </w:tc>
      </w:tr>
      <w:tr>
        <w:trPr>
          <w:trHeight w:val="211"/>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474,360</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329,204</w:t>
            </w:r>
          </w:p>
        </w:tc>
      </w:tr>
      <w:tr>
        <w:trPr>
          <w:trHeight w:val="209"/>
        </w:trPr>
        <w:tc>
          <w:tcPr>
            <w:tcW w:w="7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3,447,299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4,903,972</w:t>
            </w:r>
          </w:p>
        </w:tc>
      </w:tr>
      <w:tr>
        <w:trPr>
          <w:trHeight w:val="211"/>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191,042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209,639</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73,959</w:t>
            </w:r>
          </w:p>
        </w:tc>
      </w:tr>
      <w:tr>
        <w:trPr>
          <w:trHeight w:val="211"/>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485,835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593,582</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238,503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350,490</w:t>
            </w:r>
          </w:p>
        </w:tc>
      </w:tr>
      <w:tr>
        <w:trPr>
          <w:trHeight w:val="211"/>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5,243,266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5,243,266</w:t>
            </w:r>
          </w:p>
        </w:tc>
      </w:tr>
      <w:tr>
        <w:trPr>
          <w:trHeight w:val="21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206,122</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234,799</w:t>
            </w:r>
          </w:p>
        </w:tc>
      </w:tr>
      <w:tr>
        <w:trPr>
          <w:trHeight w:val="209"/>
        </w:trPr>
        <w:tc>
          <w:tcPr>
            <w:tcW w:w="73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9,865,472</w:t>
            </w: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11,609,707</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0"/>
        </w:trPr>
        <w:tc>
          <w:tcPr>
            <w:tcW w:w="7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1"/>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100,169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119,615</w:t>
            </w:r>
          </w:p>
        </w:tc>
      </w:tr>
      <w:tr>
        <w:trPr>
          <w:trHeight w:val="211"/>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530,686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424,311</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and customer deposits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155,680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144,499</w:t>
            </w:r>
          </w:p>
        </w:tc>
      </w:tr>
      <w:tr>
        <w:trPr>
          <w:trHeight w:val="211"/>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33,685</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49,872</w:t>
            </w:r>
          </w:p>
        </w:tc>
      </w:tr>
      <w:tr>
        <w:trPr>
          <w:trHeight w:val="209"/>
        </w:trPr>
        <w:tc>
          <w:tcPr>
            <w:tcW w:w="7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820,220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738,297</w:t>
            </w:r>
          </w:p>
        </w:tc>
      </w:tr>
      <w:tr>
        <w:trPr>
          <w:trHeight w:val="211"/>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120,770</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990,587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988,953</w:t>
            </w:r>
          </w:p>
        </w:tc>
      </w:tr>
      <w:tr>
        <w:trPr>
          <w:trHeight w:val="211"/>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15,824</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29,135</w:t>
            </w:r>
          </w:p>
        </w:tc>
      </w:tr>
      <w:tr>
        <w:trPr>
          <w:trHeight w:val="209"/>
        </w:trPr>
        <w:tc>
          <w:tcPr>
            <w:tcW w:w="7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1,912,506</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1,877,155</w:t>
            </w: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1"/>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$0.001 par value, 100,000,000 shares authorized, none issued</w:t>
            </w:r>
          </w:p>
        </w:tc>
        <w:tc>
          <w:tcPr>
            <w:tcW w:w="2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shares 1,000,000,000 as of December 31, 2024 and 2023; Issued and outstanding shares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73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152,610,697 and 181,945,771 as of December 31, 2024 and 2023</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15,476,124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14,797,723</w:t>
            </w:r>
          </w:p>
        </w:tc>
      </w:tr>
      <w:tr>
        <w:trPr>
          <w:trHeight w:val="211"/>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(7,522,010)</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(5,065,972)</w:t>
            </w:r>
          </w:p>
        </w:tc>
      </w:tr>
      <w:tr>
        <w:trPr>
          <w:trHeight w:val="204"/>
        </w:trPr>
        <w:tc>
          <w:tcPr>
            <w:tcW w:w="73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7,952,966</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9,732,552</w:t>
            </w:r>
          </w:p>
        </w:tc>
      </w:tr>
      <w:tr>
        <w:trPr>
          <w:trHeight w:val="234"/>
        </w:trPr>
        <w:tc>
          <w:tcPr>
            <w:tcW w:w="73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9,865,472</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11,609,707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64"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187"/>
        </w:trPr>
        <w:tc>
          <w:tcPr>
            <w:tcW w:w="6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00" w:type="dxa"/>
            <w:vAlign w:val="bottom"/>
            <w:gridSpan w:val="7"/>
          </w:tcPr>
          <w:p>
            <w:pPr>
              <w:jc w:val="center"/>
              <w:ind w:left="50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4,458,036</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4,153,945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3,826,321</w:t>
            </w:r>
          </w:p>
        </w:tc>
        <w:tc>
          <w:tcPr>
            <w:tcW w:w="0" w:type="dxa"/>
            <w:vAlign w:val="bottom"/>
          </w:tcPr>
          <w:p>
            <w:pPr>
              <w:spacing w:after="0"/>
              <w:rPr>
                <w:sz w:val="1"/>
                <w:szCs w:val="1"/>
                <w:color w:val="auto"/>
              </w:rPr>
            </w:pPr>
          </w:p>
        </w:tc>
      </w:tr>
      <w:tr>
        <w:trPr>
          <w:trHeight w:val="211"/>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2,179,824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2,110,015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2,012,744</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2,278,212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2,043,930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1,813,577</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1,008,747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942,790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1,079,081</w:t>
            </w:r>
          </w:p>
        </w:tc>
        <w:tc>
          <w:tcPr>
            <w:tcW w:w="0" w:type="dxa"/>
            <w:vAlign w:val="bottom"/>
          </w:tcPr>
          <w:p>
            <w:pPr>
              <w:spacing w:after="0"/>
              <w:rPr>
                <w:sz w:val="1"/>
                <w:szCs w:val="1"/>
                <w:color w:val="auto"/>
              </w:rPr>
            </w:pPr>
          </w:p>
        </w:tc>
      </w:tr>
      <w:tr>
        <w:trPr>
          <w:trHeight w:val="211"/>
        </w:trPr>
        <w:tc>
          <w:tcPr>
            <w:tcW w:w="6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860,821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1,022,985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1,248,032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517,414</w:t>
            </w:r>
          </w:p>
        </w:tc>
        <w:tc>
          <w:tcPr>
            <w:tcW w:w="0" w:type="dxa"/>
            <w:vAlign w:val="bottom"/>
          </w:tcPr>
          <w:p>
            <w:pPr>
              <w:spacing w:after="0"/>
              <w:rPr>
                <w:sz w:val="1"/>
                <w:szCs w:val="1"/>
                <w:color w:val="auto"/>
              </w:rPr>
            </w:pPr>
          </w:p>
        </w:tc>
      </w:tr>
      <w:tr>
        <w:trPr>
          <w:trHeight w:val="211"/>
        </w:trPr>
        <w:tc>
          <w:tcPr>
            <w:tcW w:w="6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Restructuring costs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165,733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76,636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320,504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97,722</w:t>
            </w:r>
          </w:p>
        </w:tc>
        <w:tc>
          <w:tcPr>
            <w:tcW w:w="0" w:type="dxa"/>
            <w:vAlign w:val="bottom"/>
          </w:tcPr>
          <w:p>
            <w:pPr>
              <w:spacing w:after="0"/>
              <w:rPr>
                <w:sz w:val="1"/>
                <w:szCs w:val="1"/>
                <w:color w:val="auto"/>
              </w:rPr>
            </w:pPr>
          </w:p>
        </w:tc>
      </w:tr>
      <w:tr>
        <w:trPr>
          <w:trHeight w:val="204"/>
        </w:trPr>
        <w:tc>
          <w:tcPr>
            <w:tcW w:w="62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2,331,920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2,920,471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3,018,885</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(876,541)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(1,205,308)</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 net:</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(121,897)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(35,315)</w:t>
            </w:r>
          </w:p>
        </w:tc>
        <w:tc>
          <w:tcPr>
            <w:tcW w:w="0" w:type="dxa"/>
            <w:vAlign w:val="bottom"/>
          </w:tcPr>
          <w:p>
            <w:pPr>
              <w:spacing w:after="0"/>
              <w:rPr>
                <w:sz w:val="1"/>
                <w:szCs w:val="1"/>
                <w:color w:val="auto"/>
              </w:rPr>
            </w:pPr>
          </w:p>
        </w:tc>
      </w:tr>
      <w:tr>
        <w:trPr>
          <w:trHeight w:val="211"/>
        </w:trPr>
        <w:tc>
          <w:tcPr>
            <w:tcW w:w="6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 of strategic investments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81,796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0" w:type="dxa"/>
            <w:vAlign w:val="bottom"/>
          </w:tcPr>
          <w:p>
            <w:pPr>
              <w:spacing w:after="0"/>
              <w:rPr>
                <w:sz w:val="1"/>
                <w:szCs w:val="1"/>
                <w:color w:val="auto"/>
              </w:rPr>
            </w:pPr>
          </w:p>
        </w:tc>
      </w:tr>
      <w:tr>
        <w:trPr>
          <w:trHeight w:val="204"/>
        </w:trPr>
        <w:tc>
          <w:tcPr>
            <w:tcW w:w="62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(34,905)</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(120,188)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(38,324)</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(1,243,632)</w:t>
            </w:r>
          </w:p>
        </w:tc>
        <w:tc>
          <w:tcPr>
            <w:tcW w:w="0" w:type="dxa"/>
            <w:vAlign w:val="bottom"/>
          </w:tcPr>
          <w:p>
            <w:pPr>
              <w:spacing w:after="0"/>
              <w:rPr>
                <w:sz w:val="1"/>
                <w:szCs w:val="1"/>
                <w:color w:val="auto"/>
              </w:rPr>
            </w:pPr>
          </w:p>
        </w:tc>
      </w:tr>
      <w:tr>
        <w:trPr>
          <w:trHeight w:val="211"/>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(12,513)</w:t>
            </w:r>
          </w:p>
        </w:tc>
        <w:tc>
          <w:tcPr>
            <w:tcW w:w="0" w:type="dxa"/>
            <w:vAlign w:val="bottom"/>
          </w:tcPr>
          <w:p>
            <w:pPr>
              <w:spacing w:after="0"/>
              <w:rPr>
                <w:sz w:val="1"/>
                <w:szCs w:val="1"/>
                <w:color w:val="auto"/>
              </w:rPr>
            </w:pPr>
          </w:p>
        </w:tc>
      </w:tr>
      <w:tr>
        <w:trPr>
          <w:trHeight w:val="232"/>
        </w:trPr>
        <w:tc>
          <w:tcPr>
            <w:tcW w:w="62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(1,015,441)</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(1,256,145)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vMerge w:val="restart"/>
          </w:tcPr>
          <w:p>
            <w:pPr>
              <w:ind w:left="3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3"/>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220" w:type="dxa"/>
            <w:vAlign w:val="bottom"/>
            <w:tcBorders>
              <w:top w:val="single" w:sz="8" w:color="CCEEFF"/>
            </w:tcBorders>
            <w:vMerge w:val="continue"/>
          </w:tcPr>
          <w:p>
            <w:pPr>
              <w:spacing w:after="0"/>
              <w:rPr>
                <w:sz w:val="16"/>
                <w:szCs w:val="16"/>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shd w:val="clear" w:color="auto" w:fill="CCEEFF"/>
          </w:tcPr>
          <w:p>
            <w:pPr>
              <w:ind w:left="320"/>
              <w:spacing w:after="0" w:line="129" w:lineRule="exact"/>
              <w:rPr>
                <w:sz w:val="20"/>
                <w:szCs w:val="20"/>
                <w:color w:val="auto"/>
              </w:rPr>
            </w:pPr>
            <w:r>
              <w:rPr>
                <w:rFonts w:ascii="Times New Roman" w:cs="Times New Roman" w:eastAsia="Times New Roman" w:hAnsi="Times New Roman"/>
                <w:sz w:val="14"/>
                <w:szCs w:val="14"/>
                <w:color w:val="auto"/>
              </w:rPr>
              <w:t>Weighted-average shares used in computing net loss per share attributable to common</w:t>
            </w:r>
          </w:p>
        </w:tc>
        <w:tc>
          <w:tcPr>
            <w:tcW w:w="3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165,925,128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183,327,844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182,994,038</w:t>
            </w:r>
          </w:p>
        </w:tc>
        <w:tc>
          <w:tcPr>
            <w:tcW w:w="0" w:type="dxa"/>
            <w:vAlign w:val="bottom"/>
          </w:tcPr>
          <w:p>
            <w:pPr>
              <w:spacing w:after="0"/>
              <w:rPr>
                <w:sz w:val="1"/>
                <w:szCs w:val="1"/>
                <w:color w:val="auto"/>
              </w:rPr>
            </w:pPr>
          </w:p>
        </w:tc>
      </w:tr>
      <w:tr>
        <w:trPr>
          <w:trHeight w:val="207"/>
        </w:trPr>
        <w:tc>
          <w:tcPr>
            <w:tcW w:w="6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3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(109,403)</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(1,256,145)</w:t>
            </w:r>
          </w:p>
        </w:tc>
        <w:tc>
          <w:tcPr>
            <w:tcW w:w="0" w:type="dxa"/>
            <w:vAlign w:val="bottom"/>
          </w:tcPr>
          <w:p>
            <w:pPr>
              <w:spacing w:after="0"/>
              <w:rPr>
                <w:sz w:val="1"/>
                <w:szCs w:val="1"/>
                <w:color w:val="auto"/>
              </w:rPr>
            </w:pPr>
          </w:p>
        </w:tc>
      </w:tr>
      <w:tr>
        <w:trPr>
          <w:trHeight w:val="211"/>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gain (loss) on marketable securities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99,742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(83,049)</w:t>
            </w:r>
          </w:p>
        </w:tc>
        <w:tc>
          <w:tcPr>
            <w:tcW w:w="0" w:type="dxa"/>
            <w:vAlign w:val="bottom"/>
          </w:tcPr>
          <w:p>
            <w:pPr>
              <w:spacing w:after="0"/>
              <w:rPr>
                <w:sz w:val="1"/>
                <w:szCs w:val="1"/>
                <w:color w:val="auto"/>
              </w:rPr>
            </w:pPr>
          </w:p>
        </w:tc>
      </w:tr>
      <w:tr>
        <w:trPr>
          <w:trHeight w:val="211"/>
        </w:trPr>
        <w:tc>
          <w:tcPr>
            <w:tcW w:w="6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(5,587)</w:t>
            </w:r>
          </w:p>
        </w:tc>
        <w:tc>
          <w:tcPr>
            <w:tcW w:w="0" w:type="dxa"/>
            <w:vAlign w:val="bottom"/>
          </w:tcPr>
          <w:p>
            <w:pPr>
              <w:spacing w:after="0"/>
              <w:rPr>
                <w:sz w:val="1"/>
                <w:szCs w:val="1"/>
                <w:color w:val="auto"/>
              </w:rPr>
            </w:pPr>
          </w:p>
        </w:tc>
      </w:tr>
      <w:tr>
        <w:trPr>
          <w:trHeight w:val="163"/>
        </w:trPr>
        <w:tc>
          <w:tcPr>
            <w:tcW w:w="6240" w:type="dxa"/>
            <w:vAlign w:val="bottom"/>
            <w:shd w:val="clear" w:color="auto" w:fill="CCEEFF"/>
          </w:tcPr>
          <w:p>
            <w:pPr>
              <w:ind w:left="320"/>
              <w:spacing w:after="0" w:line="163" w:lineRule="exact"/>
              <w:rPr>
                <w:sz w:val="20"/>
                <w:szCs w:val="20"/>
                <w:color w:val="auto"/>
              </w:rPr>
            </w:pPr>
            <w:r>
              <w:rPr>
                <w:rFonts w:ascii="Times New Roman" w:cs="Times New Roman" w:eastAsia="Times New Roman" w:hAnsi="Times New Roman"/>
                <w:sz w:val="16"/>
                <w:szCs w:val="16"/>
                <w:color w:val="auto"/>
              </w:rPr>
              <w:t>Net change in market value of effective foreign currency</w:t>
            </w: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3"/>
        </w:trPr>
        <w:tc>
          <w:tcPr>
            <w:tcW w:w="6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240" w:type="dxa"/>
            <w:vAlign w:val="bottom"/>
          </w:tcPr>
          <w:p>
            <w:pPr>
              <w:ind w:left="320"/>
              <w:spacing w:after="0" w:line="160" w:lineRule="exact"/>
              <w:rPr>
                <w:sz w:val="20"/>
                <w:szCs w:val="20"/>
                <w:color w:val="auto"/>
              </w:rPr>
            </w:pPr>
            <w:r>
              <w:rPr>
                <w:rFonts w:ascii="Times New Roman" w:cs="Times New Roman" w:eastAsia="Times New Roman" w:hAnsi="Times New Roman"/>
                <w:sz w:val="16"/>
                <w:szCs w:val="16"/>
                <w:color w:val="auto"/>
              </w:rPr>
              <w:t>Share of other comprehensive income (loss) from equity method</w:t>
            </w:r>
          </w:p>
        </w:tc>
        <w:tc>
          <w:tcPr>
            <w:tcW w:w="3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15,553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(14,940)</w:t>
            </w:r>
          </w:p>
        </w:tc>
        <w:tc>
          <w:tcPr>
            <w:tcW w:w="0" w:type="dxa"/>
            <w:vAlign w:val="bottom"/>
          </w:tcPr>
          <w:p>
            <w:pPr>
              <w:spacing w:after="0"/>
              <w:rPr>
                <w:sz w:val="1"/>
                <w:szCs w:val="1"/>
                <w:color w:val="auto"/>
              </w:rPr>
            </w:pPr>
          </w:p>
        </w:tc>
      </w:tr>
      <w:tr>
        <w:trPr>
          <w:trHeight w:val="211"/>
        </w:trPr>
        <w:tc>
          <w:tcPr>
            <w:tcW w:w="6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investment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121,780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(103,020)</w:t>
            </w:r>
          </w:p>
        </w:tc>
        <w:tc>
          <w:tcPr>
            <w:tcW w:w="0" w:type="dxa"/>
            <w:vAlign w:val="bottom"/>
          </w:tcPr>
          <w:p>
            <w:pPr>
              <w:spacing w:after="0"/>
              <w:rPr>
                <w:sz w:val="1"/>
                <w:szCs w:val="1"/>
                <w:color w:val="auto"/>
              </w:rPr>
            </w:pPr>
          </w:p>
        </w:tc>
      </w:tr>
      <w:tr>
        <w:trPr>
          <w:trHeight w:val="207"/>
        </w:trPr>
        <w:tc>
          <w:tcPr>
            <w:tcW w:w="62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Comprehensive loss attributable to common stockholders</w:t>
            </w: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(111,323)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(893,661)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(1,359,165)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494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restart"/>
          </w:tcPr>
          <w:p>
            <w:pPr>
              <w:jc w:val="center"/>
              <w:ind w:right="29"/>
              <w:spacing w:after="0" w:line="14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5"/>
        </w:trPr>
        <w:tc>
          <w:tcPr>
            <w:tcW w:w="4940" w:type="dxa"/>
            <w:vAlign w:val="bottom"/>
          </w:tcPr>
          <w:p>
            <w:pPr>
              <w:spacing w:after="0"/>
              <w:rPr>
                <w:sz w:val="5"/>
                <w:szCs w:val="5"/>
                <w:color w:val="auto"/>
              </w:rPr>
            </w:pPr>
          </w:p>
        </w:tc>
        <w:tc>
          <w:tcPr>
            <w:tcW w:w="1300" w:type="dxa"/>
            <w:vAlign w:val="bottom"/>
            <w:gridSpan w:val="3"/>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920" w:type="dxa"/>
            <w:vAlign w:val="bottom"/>
          </w:tcPr>
          <w:p>
            <w:pPr>
              <w:jc w:val="center"/>
              <w:ind w:right="29"/>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10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2"/>
                <w:szCs w:val="12"/>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181,945,771</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8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14,797,723</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619</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(5,065,972)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9,732,552</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(109,403)</w:t>
            </w:r>
          </w:p>
        </w:tc>
        <w:tc>
          <w:tcPr>
            <w:tcW w:w="0" w:type="dxa"/>
            <w:vAlign w:val="bottom"/>
          </w:tcPr>
          <w:p>
            <w:pPr>
              <w:spacing w:after="0"/>
              <w:rPr>
                <w:sz w:val="1"/>
                <w:szCs w:val="1"/>
                <w:color w:val="auto"/>
              </w:rPr>
            </w:pPr>
          </w:p>
        </w:tc>
      </w:tr>
      <w:tr>
        <w:trPr>
          <w:trHeight w:val="192"/>
        </w:trPr>
        <w:tc>
          <w:tcPr>
            <w:tcW w:w="4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181,818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w:t>
            </w:r>
          </w:p>
        </w:tc>
        <w:tc>
          <w:tcPr>
            <w:tcW w:w="0" w:type="dxa"/>
            <w:vAlign w:val="bottom"/>
          </w:tcPr>
          <w:p>
            <w:pPr>
              <w:spacing w:after="0"/>
              <w:rPr>
                <w:sz w:val="1"/>
                <w:szCs w:val="1"/>
                <w:color w:val="auto"/>
              </w:rPr>
            </w:pPr>
          </w:p>
        </w:tc>
      </w:tr>
      <w:tr>
        <w:trPr>
          <w:trHeight w:val="208"/>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6,639,672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08"/>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Shares of Class A common stock issued and donated to charity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5,907</w:t>
            </w:r>
          </w:p>
        </w:tc>
        <w:tc>
          <w:tcPr>
            <w:tcW w:w="0" w:type="dxa"/>
            <w:vAlign w:val="bottom"/>
          </w:tcPr>
          <w:p>
            <w:pPr>
              <w:spacing w:after="0"/>
              <w:rPr>
                <w:sz w:val="1"/>
                <w:szCs w:val="1"/>
                <w:color w:val="auto"/>
              </w:rPr>
            </w:pPr>
          </w:p>
        </w:tc>
      </w:tr>
      <w:tr>
        <w:trPr>
          <w:trHeight w:val="192"/>
        </w:trPr>
        <w:tc>
          <w:tcPr>
            <w:tcW w:w="4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0" w:type="dxa"/>
            <w:vAlign w:val="bottom"/>
          </w:tcPr>
          <w:p>
            <w:pPr>
              <w:spacing w:after="0"/>
              <w:rPr>
                <w:sz w:val="1"/>
                <w:szCs w:val="1"/>
                <w:color w:val="auto"/>
              </w:rPr>
            </w:pPr>
          </w:p>
        </w:tc>
      </w:tr>
      <w:tr>
        <w:trPr>
          <w:trHeight w:val="208"/>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Repurchases of shares of Class A common stock including related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(36,848,645)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(2,346,671)</w:t>
            </w:r>
          </w:p>
        </w:tc>
        <w:tc>
          <w:tcPr>
            <w:tcW w:w="0" w:type="dxa"/>
            <w:vAlign w:val="bottom"/>
          </w:tcPr>
          <w:p>
            <w:pPr>
              <w:spacing w:after="0"/>
              <w:rPr>
                <w:sz w:val="1"/>
                <w:szCs w:val="1"/>
                <w:color w:val="auto"/>
              </w:rPr>
            </w:pPr>
          </w:p>
        </w:tc>
      </w:tr>
      <w:tr>
        <w:trPr>
          <w:trHeight w:val="192"/>
        </w:trPr>
        <w:tc>
          <w:tcPr>
            <w:tcW w:w="4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Shares returned from escrow</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08"/>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Shares issued under ESPP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33,045</w:t>
            </w:r>
          </w:p>
        </w:tc>
        <w:tc>
          <w:tcPr>
            <w:tcW w:w="0" w:type="dxa"/>
            <w:vAlign w:val="bottom"/>
          </w:tcPr>
          <w:p>
            <w:pPr>
              <w:spacing w:after="0"/>
              <w:rPr>
                <w:sz w:val="1"/>
                <w:szCs w:val="1"/>
                <w:color w:val="auto"/>
              </w:rPr>
            </w:pPr>
          </w:p>
        </w:tc>
      </w:tr>
      <w:tr>
        <w:trPr>
          <w:trHeight w:val="137"/>
        </w:trPr>
        <w:tc>
          <w:tcPr>
            <w:tcW w:w="494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Net change in market value of effective foreign currency forward exchange</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(9,986)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(9,986)</w:t>
            </w:r>
          </w:p>
        </w:tc>
        <w:tc>
          <w:tcPr>
            <w:tcW w:w="0" w:type="dxa"/>
            <w:vAlign w:val="bottom"/>
          </w:tcPr>
          <w:p>
            <w:pPr>
              <w:spacing w:after="0"/>
              <w:rPr>
                <w:sz w:val="1"/>
                <w:szCs w:val="1"/>
                <w:color w:val="auto"/>
              </w:rPr>
            </w:pPr>
          </w:p>
        </w:tc>
      </w:tr>
      <w:tr>
        <w:trPr>
          <w:trHeight w:val="190"/>
        </w:trPr>
        <w:tc>
          <w:tcPr>
            <w:tcW w:w="4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contracts</w:t>
            </w:r>
          </w:p>
        </w:tc>
        <w:tc>
          <w:tcPr>
            <w:tcW w:w="10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 of other comprehensive income from equity method investment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92"/>
        </w:trPr>
        <w:tc>
          <w:tcPr>
            <w:tcW w:w="4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634,129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634,129</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 restructuring</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0" w:type="dxa"/>
            <w:vAlign w:val="bottom"/>
          </w:tcPr>
          <w:p>
            <w:pPr>
              <w:spacing w:after="0"/>
              <w:rPr>
                <w:sz w:val="1"/>
                <w:szCs w:val="1"/>
                <w:color w:val="auto"/>
              </w:rPr>
            </w:pPr>
          </w:p>
        </w:tc>
      </w:tr>
      <w:tr>
        <w:trPr>
          <w:trHeight w:val="20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152,610,697</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15,476,124</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(7,522,010)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7,952,966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68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restart"/>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6"/>
                <w:szCs w:val="6"/>
                <w:color w:val="auto"/>
              </w:rPr>
            </w:pPr>
          </w:p>
        </w:tc>
        <w:tc>
          <w:tcPr>
            <w:tcW w:w="1040" w:type="dxa"/>
            <w:vAlign w:val="bottom"/>
            <w:gridSpan w:val="2"/>
            <w:vMerge w:val="restart"/>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restart"/>
          </w:tcPr>
          <w:p>
            <w:pPr>
              <w:jc w:val="center"/>
              <w:ind w:right="29"/>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3680" w:type="dxa"/>
            <w:vAlign w:val="bottom"/>
          </w:tcPr>
          <w:p>
            <w:pPr>
              <w:spacing w:after="0"/>
              <w:rPr>
                <w:sz w:val="5"/>
                <w:szCs w:val="5"/>
                <w:color w:val="auto"/>
              </w:rPr>
            </w:pPr>
          </w:p>
        </w:tc>
        <w:tc>
          <w:tcPr>
            <w:tcW w:w="1300" w:type="dxa"/>
            <w:vAlign w:val="bottom"/>
            <w:gridSpan w:val="3"/>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940" w:type="dxa"/>
            <w:vAlign w:val="bottom"/>
          </w:tcPr>
          <w:p>
            <w:pPr>
              <w:jc w:val="center"/>
              <w:ind w:right="29"/>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2"/>
                <w:szCs w:val="12"/>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176,358,104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174</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9,617,605</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14,055,853</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(121,161)</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(3,375,836)</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10,559,042</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(1,015,441)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(1,015,441)</w:t>
            </w:r>
          </w:p>
        </w:tc>
        <w:tc>
          <w:tcPr>
            <w:tcW w:w="0" w:type="dxa"/>
            <w:vAlign w:val="bottom"/>
          </w:tcPr>
          <w:p>
            <w:pPr>
              <w:spacing w:after="0"/>
              <w:rPr>
                <w:sz w:val="1"/>
                <w:szCs w:val="1"/>
                <w:color w:val="auto"/>
              </w:rPr>
            </w:pPr>
          </w:p>
        </w:tc>
      </w:tr>
      <w:tr>
        <w:trPr>
          <w:trHeight w:val="192"/>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238,474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127,982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7,344</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5,939,641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0" w:type="dxa"/>
            <w:vAlign w:val="bottom"/>
          </w:tcPr>
          <w:p>
            <w:pPr>
              <w:spacing w:after="0"/>
              <w:rPr>
                <w:sz w:val="1"/>
                <w:szCs w:val="1"/>
                <w:color w:val="auto"/>
              </w:rPr>
            </w:pPr>
          </w:p>
        </w:tc>
      </w:tr>
      <w:tr>
        <w:trPr>
          <w:trHeight w:val="145"/>
        </w:trPr>
        <w:tc>
          <w:tcPr>
            <w:tcW w:w="368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Conversion of shares of Class B common stock into</w:t>
            </w:r>
          </w:p>
        </w:tc>
        <w:tc>
          <w:tcPr>
            <w:tcW w:w="9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9,745,587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(9,745,587)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shares of Class A common stock</w:t>
            </w: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68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Shares of Class A common stock issued and donated to</w:t>
            </w:r>
          </w:p>
        </w:tc>
        <w:tc>
          <w:tcPr>
            <w:tcW w:w="9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88,408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5,346</w:t>
            </w:r>
          </w:p>
        </w:tc>
        <w:tc>
          <w:tcPr>
            <w:tcW w:w="0" w:type="dxa"/>
            <w:vAlign w:val="bottom"/>
          </w:tcPr>
          <w:p>
            <w:pPr>
              <w:spacing w:after="0"/>
              <w:rPr>
                <w:sz w:val="1"/>
                <w:szCs w:val="1"/>
                <w:color w:val="auto"/>
              </w:rPr>
            </w:pPr>
          </w:p>
        </w:tc>
      </w:tr>
      <w:tr>
        <w:trPr>
          <w:trHeight w:val="190"/>
        </w:trPr>
        <w:tc>
          <w:tcPr>
            <w:tcW w:w="3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charity</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99,742</w:t>
            </w:r>
          </w:p>
        </w:tc>
        <w:tc>
          <w:tcPr>
            <w:tcW w:w="0" w:type="dxa"/>
            <w:vAlign w:val="bottom"/>
          </w:tcPr>
          <w:p>
            <w:pPr>
              <w:spacing w:after="0"/>
              <w:rPr>
                <w:sz w:val="1"/>
                <w:szCs w:val="1"/>
                <w:color w:val="auto"/>
              </w:rPr>
            </w:pPr>
          </w:p>
        </w:tc>
      </w:tr>
      <w:tr>
        <w:trPr>
          <w:trHeight w:val="137"/>
        </w:trPr>
        <w:tc>
          <w:tcPr>
            <w:tcW w:w="368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Repurchases of shares of Class A common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(11,292,516)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(674,695)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(674,706)</w:t>
            </w:r>
          </w:p>
        </w:tc>
        <w:tc>
          <w:tcPr>
            <w:tcW w:w="0" w:type="dxa"/>
            <w:vAlign w:val="bottom"/>
          </w:tcPr>
          <w:p>
            <w:pPr>
              <w:spacing w:after="0"/>
              <w:rPr>
                <w:sz w:val="1"/>
                <w:szCs w:val="1"/>
                <w:color w:val="auto"/>
              </w:rPr>
            </w:pPr>
          </w:p>
        </w:tc>
      </w:tr>
      <w:tr>
        <w:trPr>
          <w:trHeight w:val="190"/>
        </w:trPr>
        <w:tc>
          <w:tcPr>
            <w:tcW w:w="3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including related costs</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5,587</w:t>
            </w:r>
          </w:p>
        </w:tc>
        <w:tc>
          <w:tcPr>
            <w:tcW w:w="0" w:type="dxa"/>
            <w:vAlign w:val="bottom"/>
          </w:tcPr>
          <w:p>
            <w:pPr>
              <w:spacing w:after="0"/>
              <w:rPr>
                <w:sz w:val="1"/>
                <w:szCs w:val="1"/>
                <w:color w:val="auto"/>
              </w:rPr>
            </w:pPr>
          </w:p>
        </w:tc>
      </w:tr>
      <w:tr>
        <w:trPr>
          <w:trHeight w:val="192"/>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Shares issued under ESPP</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906,728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36,496</w:t>
            </w:r>
          </w:p>
        </w:tc>
        <w:tc>
          <w:tcPr>
            <w:tcW w:w="0" w:type="dxa"/>
            <w:vAlign w:val="bottom"/>
          </w:tcPr>
          <w:p>
            <w:pPr>
              <w:spacing w:after="0"/>
              <w:rPr>
                <w:sz w:val="1"/>
                <w:szCs w:val="1"/>
                <w:color w:val="auto"/>
              </w:rPr>
            </w:pPr>
          </w:p>
        </w:tc>
      </w:tr>
      <w:tr>
        <w:trPr>
          <w:trHeight w:val="145"/>
        </w:trPr>
        <w:tc>
          <w:tcPr>
            <w:tcW w:w="368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Net change in market value of effective foreign currency</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196"/>
        </w:trPr>
        <w:tc>
          <w:tcPr>
            <w:tcW w:w="3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forward exchange contracts</w:t>
            </w:r>
          </w:p>
        </w:tc>
        <w:tc>
          <w:tcPr>
            <w:tcW w:w="10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68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Share of other comprehensive income from equity method</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15,553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15,553</w:t>
            </w:r>
          </w:p>
        </w:tc>
        <w:tc>
          <w:tcPr>
            <w:tcW w:w="0" w:type="dxa"/>
            <w:vAlign w:val="bottom"/>
          </w:tcPr>
          <w:p>
            <w:pPr>
              <w:spacing w:after="0"/>
              <w:rPr>
                <w:sz w:val="1"/>
                <w:szCs w:val="1"/>
                <w:color w:val="auto"/>
              </w:rPr>
            </w:pPr>
          </w:p>
        </w:tc>
      </w:tr>
      <w:tr>
        <w:trPr>
          <w:trHeight w:val="190"/>
        </w:trPr>
        <w:tc>
          <w:tcPr>
            <w:tcW w:w="3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investment</w:t>
            </w: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682,241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682,241</w:t>
            </w:r>
          </w:p>
        </w:tc>
        <w:tc>
          <w:tcPr>
            <w:tcW w:w="0" w:type="dxa"/>
            <w:vAlign w:val="bottom"/>
          </w:tcPr>
          <w:p>
            <w:pPr>
              <w:spacing w:after="0"/>
              <w:rPr>
                <w:sz w:val="1"/>
                <w:szCs w:val="1"/>
                <w:color w:val="auto"/>
              </w:rPr>
            </w:pPr>
          </w:p>
        </w:tc>
      </w:tr>
      <w:tr>
        <w:trPr>
          <w:trHeight w:val="193"/>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 restructuring</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center"/>
              <w:ind w:left="1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13,015</w:t>
            </w:r>
          </w:p>
        </w:tc>
        <w:tc>
          <w:tcPr>
            <w:tcW w:w="0" w:type="dxa"/>
            <w:vAlign w:val="bottom"/>
          </w:tcPr>
          <w:p>
            <w:pPr>
              <w:spacing w:after="0"/>
              <w:rPr>
                <w:sz w:val="1"/>
                <w:szCs w:val="1"/>
                <w:color w:val="auto"/>
              </w:rPr>
            </w:pPr>
          </w:p>
        </w:tc>
      </w:tr>
      <w:tr>
        <w:trPr>
          <w:trHeight w:val="225"/>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181,945,771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14,797,723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(5,065,972)</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9,732,552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68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restart"/>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6"/>
                <w:szCs w:val="6"/>
                <w:color w:val="auto"/>
              </w:rPr>
            </w:pPr>
          </w:p>
        </w:tc>
        <w:tc>
          <w:tcPr>
            <w:tcW w:w="1040" w:type="dxa"/>
            <w:vAlign w:val="bottom"/>
            <w:gridSpan w:val="2"/>
            <w:vMerge w:val="restart"/>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restart"/>
          </w:tcPr>
          <w:p>
            <w:pPr>
              <w:jc w:val="center"/>
              <w:ind w:right="29"/>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3680" w:type="dxa"/>
            <w:vAlign w:val="bottom"/>
          </w:tcPr>
          <w:p>
            <w:pPr>
              <w:spacing w:after="0"/>
              <w:rPr>
                <w:sz w:val="5"/>
                <w:szCs w:val="5"/>
                <w:color w:val="auto"/>
              </w:rPr>
            </w:pPr>
          </w:p>
        </w:tc>
        <w:tc>
          <w:tcPr>
            <w:tcW w:w="1300" w:type="dxa"/>
            <w:vAlign w:val="bottom"/>
            <w:gridSpan w:val="3"/>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4"/>
            <w:vMerge w:val="restart"/>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940" w:type="dxa"/>
            <w:vAlign w:val="bottom"/>
          </w:tcPr>
          <w:p>
            <w:pPr>
              <w:jc w:val="center"/>
              <w:ind w:right="29"/>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2"/>
                <w:szCs w:val="12"/>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170,625,994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168</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9,842,105</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13,169,118</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(18,141)</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(2,119,691)</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11,031,466</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(1,256,145)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(1,256,145)</w:t>
            </w:r>
          </w:p>
        </w:tc>
        <w:tc>
          <w:tcPr>
            <w:tcW w:w="0" w:type="dxa"/>
            <w:vAlign w:val="bottom"/>
          </w:tcPr>
          <w:p>
            <w:pPr>
              <w:spacing w:after="0"/>
              <w:rPr>
                <w:sz w:val="1"/>
                <w:szCs w:val="1"/>
                <w:color w:val="auto"/>
              </w:rPr>
            </w:pPr>
          </w:p>
        </w:tc>
      </w:tr>
      <w:tr>
        <w:trPr>
          <w:trHeight w:val="192"/>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373,793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392,231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22,500</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4,277,266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0" w:type="dxa"/>
            <w:vAlign w:val="bottom"/>
          </w:tcPr>
          <w:p>
            <w:pPr>
              <w:spacing w:after="0"/>
              <w:rPr>
                <w:sz w:val="1"/>
                <w:szCs w:val="1"/>
                <w:color w:val="auto"/>
              </w:rPr>
            </w:pPr>
          </w:p>
        </w:tc>
      </w:tr>
      <w:tr>
        <w:trPr>
          <w:trHeight w:val="145"/>
        </w:trPr>
        <w:tc>
          <w:tcPr>
            <w:tcW w:w="368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Conversion of shares of Class B common stock into</w:t>
            </w:r>
          </w:p>
        </w:tc>
        <w:tc>
          <w:tcPr>
            <w:tcW w:w="9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616,731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shares of Class A common stock</w:t>
            </w: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68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Shares of Class A common stock issued and donated to</w:t>
            </w:r>
          </w:p>
        </w:tc>
        <w:tc>
          <w:tcPr>
            <w:tcW w:w="9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88,408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9,541</w:t>
            </w:r>
          </w:p>
        </w:tc>
        <w:tc>
          <w:tcPr>
            <w:tcW w:w="0" w:type="dxa"/>
            <w:vAlign w:val="bottom"/>
          </w:tcPr>
          <w:p>
            <w:pPr>
              <w:spacing w:after="0"/>
              <w:rPr>
                <w:sz w:val="1"/>
                <w:szCs w:val="1"/>
                <w:color w:val="auto"/>
              </w:rPr>
            </w:pPr>
          </w:p>
        </w:tc>
      </w:tr>
      <w:tr>
        <w:trPr>
          <w:trHeight w:val="190"/>
        </w:trPr>
        <w:tc>
          <w:tcPr>
            <w:tcW w:w="3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charity</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(83,049)</w:t>
            </w:r>
          </w:p>
        </w:tc>
        <w:tc>
          <w:tcPr>
            <w:tcW w:w="0" w:type="dxa"/>
            <w:vAlign w:val="bottom"/>
          </w:tcPr>
          <w:p>
            <w:pPr>
              <w:spacing w:after="0"/>
              <w:rPr>
                <w:sz w:val="1"/>
                <w:szCs w:val="1"/>
                <w:color w:val="auto"/>
              </w:rPr>
            </w:pPr>
          </w:p>
        </w:tc>
      </w:tr>
      <w:tr>
        <w:trPr>
          <w:trHeight w:val="192"/>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Shares returned from escrow</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92"/>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Shares issued under ESPP</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534,401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37,065</w:t>
            </w:r>
          </w:p>
        </w:tc>
        <w:tc>
          <w:tcPr>
            <w:tcW w:w="0" w:type="dxa"/>
            <w:vAlign w:val="bottom"/>
          </w:tcPr>
          <w:p>
            <w:pPr>
              <w:spacing w:after="0"/>
              <w:rPr>
                <w:sz w:val="1"/>
                <w:szCs w:val="1"/>
                <w:color w:val="auto"/>
              </w:rPr>
            </w:pPr>
          </w:p>
        </w:tc>
      </w:tr>
      <w:tr>
        <w:trPr>
          <w:trHeight w:val="145"/>
        </w:trPr>
        <w:tc>
          <w:tcPr>
            <w:tcW w:w="368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Net change in market value of effective foreign currency</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96"/>
        </w:trPr>
        <w:tc>
          <w:tcPr>
            <w:tcW w:w="3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forward exchange contracts</w:t>
            </w:r>
          </w:p>
        </w:tc>
        <w:tc>
          <w:tcPr>
            <w:tcW w:w="10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68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Share of other comprehensive loss from equity method</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(14,940)</w:t>
            </w:r>
          </w:p>
        </w:tc>
        <w:tc>
          <w:tcPr>
            <w:tcW w:w="0" w:type="dxa"/>
            <w:vAlign w:val="bottom"/>
          </w:tcPr>
          <w:p>
            <w:pPr>
              <w:spacing w:after="0"/>
              <w:rPr>
                <w:sz w:val="1"/>
                <w:szCs w:val="1"/>
                <w:color w:val="auto"/>
              </w:rPr>
            </w:pPr>
          </w:p>
        </w:tc>
      </w:tr>
      <w:tr>
        <w:trPr>
          <w:trHeight w:val="190"/>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w:t>
            </w: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804,845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804,845</w:t>
            </w:r>
          </w:p>
        </w:tc>
        <w:tc>
          <w:tcPr>
            <w:tcW w:w="0" w:type="dxa"/>
            <w:vAlign w:val="bottom"/>
          </w:tcPr>
          <w:p>
            <w:pPr>
              <w:spacing w:after="0"/>
              <w:rPr>
                <w:sz w:val="1"/>
                <w:szCs w:val="1"/>
                <w:color w:val="auto"/>
              </w:rPr>
            </w:pPr>
          </w:p>
        </w:tc>
      </w:tr>
      <w:tr>
        <w:trPr>
          <w:trHeight w:val="193"/>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 restructuring</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14,275</w:t>
            </w:r>
          </w:p>
        </w:tc>
        <w:tc>
          <w:tcPr>
            <w:tcW w:w="0" w:type="dxa"/>
            <w:vAlign w:val="bottom"/>
          </w:tcPr>
          <w:p>
            <w:pPr>
              <w:spacing w:after="0"/>
              <w:rPr>
                <w:sz w:val="1"/>
                <w:szCs w:val="1"/>
                <w:color w:val="auto"/>
              </w:rPr>
            </w:pPr>
          </w:p>
        </w:tc>
      </w:tr>
      <w:tr>
        <w:trPr>
          <w:trHeight w:val="225"/>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176,358,104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9,617,605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14,055,853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(121,161)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(3,375,836)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10,559,042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TWILIO INC</w:t>
      </w: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5" w:lineRule="exact"/>
        <w:rPr>
          <w:sz w:val="20"/>
          <w:szCs w:val="20"/>
          <w:color w:val="auto"/>
        </w:rPr>
      </w:pPr>
    </w:p>
    <w:tbl>
      <w:tblPr>
        <w:tblLayout w:type="fixed"/>
        <w:tblInd w:w="22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6"/>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r>
      <w:tr>
        <w:trPr>
          <w:trHeight w:val="25"/>
        </w:trPr>
        <w:tc>
          <w:tcPr>
            <w:tcW w:w="7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7"/>
        </w:trPr>
        <w:tc>
          <w:tcPr>
            <w:tcW w:w="7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2"/>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(109,403)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(1,015,441)</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(1,256,145)</w:t>
            </w:r>
          </w:p>
        </w:tc>
      </w:tr>
      <w:tr>
        <w:trPr>
          <w:trHeight w:val="20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284,413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279,127</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reduction to the right-of-use asset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26,971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47,160</w:t>
            </w: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amortization of investment premium and discount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33,165</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320,504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97,722</w:t>
            </w: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including restructuring</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616,607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675,857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798,560</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deferred commissions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72,892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57,913</w:t>
            </w: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Realized and unrealized losses on equity securities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51,859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35,012</w:t>
            </w: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Value of shares of Class A common stock issued and donated to charity</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9,541</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 of losses from equity method investment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121,897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35,315</w:t>
            </w: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of strategic investments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net assets divested</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32,277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adjustments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14,669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4,905</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2"/>
        </w:trPr>
        <w:tc>
          <w:tcPr>
            <w:tcW w:w="7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(194,655)</w:t>
            </w:r>
          </w:p>
        </w:tc>
      </w:tr>
      <w:tr>
        <w:trPr>
          <w:trHeight w:val="208"/>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(94,326)</w:t>
            </w:r>
          </w:p>
        </w:tc>
      </w:tr>
      <w:tr>
        <w:trPr>
          <w:trHeight w:val="192"/>
        </w:trPr>
        <w:tc>
          <w:tcPr>
            <w:tcW w:w="7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(146,458)</w:t>
            </w:r>
          </w:p>
        </w:tc>
      </w:tr>
      <w:tr>
        <w:trPr>
          <w:trHeight w:val="208"/>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12,370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30,336</w:t>
            </w:r>
          </w:p>
        </w:tc>
      </w:tr>
      <w:tr>
        <w:trPr>
          <w:trHeight w:val="192"/>
        </w:trPr>
        <w:tc>
          <w:tcPr>
            <w:tcW w:w="7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75,430</w:t>
            </w:r>
          </w:p>
        </w:tc>
      </w:tr>
      <w:tr>
        <w:trPr>
          <w:trHeight w:val="208"/>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 and customer deposits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w:t>
            </w:r>
          </w:p>
        </w:tc>
      </w:tr>
      <w:tr>
        <w:trPr>
          <w:trHeight w:val="192"/>
        </w:trPr>
        <w:tc>
          <w:tcPr>
            <w:tcW w:w="7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(54,450)</w:t>
            </w:r>
          </w:p>
        </w:tc>
      </w:tr>
      <w:tr>
        <w:trPr>
          <w:trHeight w:val="208"/>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3,474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(9,832)</w:t>
            </w:r>
          </w:p>
        </w:tc>
      </w:tr>
      <w:tr>
        <w:trPr>
          <w:trHeight w:val="187"/>
        </w:trPr>
        <w:tc>
          <w:tcPr>
            <w:tcW w:w="7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716,241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414,752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(254,368)</w:t>
            </w:r>
          </w:p>
        </w:tc>
      </w:tr>
      <w:tr>
        <w:trPr>
          <w:trHeight w:val="18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 net of cash acquired and payments related to prior period acquisitions</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(37,410)</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Divestitures, net of cash divested</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38,194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 and other investments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(923,863)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(1,953,003)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(1,938,337)</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sales and maturities of marketable securities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2,353,486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2,200,417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1,439,477</w:t>
            </w: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(45,761)</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long-lived and intangible assets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(34,421)</w:t>
            </w:r>
          </w:p>
        </w:tc>
      </w:tr>
      <w:tr>
        <w:trPr>
          <w:trHeight w:val="187"/>
        </w:trPr>
        <w:tc>
          <w:tcPr>
            <w:tcW w:w="7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1,370,837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228,603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(616,452)</w:t>
            </w:r>
          </w:p>
        </w:tc>
      </w:tr>
      <w:tr>
        <w:trPr>
          <w:trHeight w:val="18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of costs related to public offerings</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payments on finance leases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(13,423)</w:t>
            </w: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Value of equity awards withheld for tax liabilities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Repurchases of shares of Class A common stock and related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Proceeds from exercises of stock options and shares of Class A common stock issued under ESPP</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37,386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43,840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59,563</w:t>
            </w:r>
          </w:p>
        </w:tc>
      </w:tr>
      <w:tr>
        <w:trPr>
          <w:trHeight w:val="200"/>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(2,311,572)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(643,610)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45,007</w:t>
            </w:r>
          </w:p>
        </w:tc>
      </w:tr>
      <w:tr>
        <w:trPr>
          <w:trHeight w:val="18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(825,753)</w:t>
            </w:r>
          </w:p>
        </w:tc>
      </w:tr>
      <w:tr>
        <w:trPr>
          <w:trHeight w:val="19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CASH—Beginning of period</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655,931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656,078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1,481,831</w:t>
            </w:r>
          </w:p>
        </w:tc>
      </w:tr>
      <w:tr>
        <w:trPr>
          <w:trHeight w:val="225"/>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431,437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655,931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656,078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36,547</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37,818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7,413</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2"/>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38,389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33"/>
        </w:trPr>
        <w:tc>
          <w:tcPr>
            <w:tcW w:w="73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THE CONSOLIDATED</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0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SHEETS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2"/>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421,297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655,931</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651,752</w:t>
            </w:r>
          </w:p>
        </w:tc>
      </w:tr>
      <w:tr>
        <w:trPr>
          <w:trHeight w:val="20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in other current assets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w:t>
            </w:r>
          </w:p>
        </w:tc>
      </w:tr>
      <w:tr>
        <w:trPr>
          <w:trHeight w:val="193"/>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 in other long-term assets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25"/>
        </w:trPr>
        <w:tc>
          <w:tcPr>
            <w:tcW w:w="7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655,931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656,078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4"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spacing w:after="0" w:line="181" w:lineRule="exact"/>
        <w:rPr>
          <w:sz w:val="20"/>
          <w:szCs w:val="20"/>
          <w:color w:val="auto"/>
        </w:rPr>
      </w:pPr>
    </w:p>
    <w:p>
      <w:pPr>
        <w:ind w:right="460" w:firstLine="480"/>
        <w:spacing w:after="0" w:line="277" w:lineRule="auto"/>
        <w:rPr>
          <w:sz w:val="20"/>
          <w:szCs w:val="20"/>
          <w:color w:val="auto"/>
        </w:rPr>
      </w:pPr>
      <w:r>
        <w:rPr>
          <w:rFonts w:ascii="Times New Roman" w:cs="Times New Roman" w:eastAsia="Times New Roman" w:hAnsi="Times New Roman"/>
          <w:sz w:val="18"/>
          <w:szCs w:val="18"/>
          <w:color w:val="auto"/>
        </w:rPr>
        <w:t>The Company’s headquarters are located in San Francisco, California, and the Company has subsidiaries across North America, South America, Europe, Asia and Australia.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0" w:lineRule="exact"/>
        <w:rPr>
          <w:sz w:val="20"/>
          <w:szCs w:val="20"/>
          <w:color w:val="auto"/>
        </w:rPr>
      </w:pPr>
    </w:p>
    <w:p>
      <w:pPr>
        <w:ind w:left="1280" w:hanging="793"/>
        <w:spacing w:after="0"/>
        <w:tabs>
          <w:tab w:leader="none" w:pos="128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4" w:lineRule="exact"/>
        <w:rPr>
          <w:sz w:val="20"/>
          <w:szCs w:val="20"/>
          <w:color w:val="auto"/>
        </w:rPr>
      </w:pPr>
    </w:p>
    <w:p>
      <w:pPr>
        <w:ind w:right="220" w:firstLine="480"/>
        <w:spacing w:after="0" w:line="27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w:t>
      </w:r>
    </w:p>
    <w:p>
      <w:pPr>
        <w:spacing w:after="0" w:line="159" w:lineRule="exact"/>
        <w:rPr>
          <w:sz w:val="20"/>
          <w:szCs w:val="20"/>
          <w:color w:val="auto"/>
        </w:rPr>
      </w:pPr>
    </w:p>
    <w:p>
      <w:pPr>
        <w:ind w:left="1280" w:hanging="793"/>
        <w:spacing w:after="0"/>
        <w:tabs>
          <w:tab w:leader="none" w:pos="128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4"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The consolidated financial statements include the Company and its wholly owned subsidiaries. All significant intercompany balances and transactions have been eliminated.</w:t>
      </w:r>
    </w:p>
    <w:p>
      <w:pPr>
        <w:spacing w:after="0" w:line="159" w:lineRule="exact"/>
        <w:rPr>
          <w:sz w:val="20"/>
          <w:szCs w:val="20"/>
          <w:color w:val="auto"/>
        </w:rPr>
      </w:pPr>
    </w:p>
    <w:p>
      <w:pPr>
        <w:ind w:left="1280" w:hanging="793"/>
        <w:spacing w:after="0"/>
        <w:tabs>
          <w:tab w:leader="none" w:pos="128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4"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values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186" w:lineRule="exact"/>
        <w:rPr>
          <w:sz w:val="20"/>
          <w:szCs w:val="20"/>
          <w:color w:val="auto"/>
        </w:rPr>
      </w:pPr>
    </w:p>
    <w:p>
      <w:pPr>
        <w:ind w:left="1280" w:hanging="793"/>
        <w:spacing w:after="0"/>
        <w:tabs>
          <w:tab w:leader="none" w:pos="128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4"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spacing w:after="0" w:line="176"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The Company sells its services to a wide variety of customers. If the financial condition or results of operations of any significant customer deteriorate substantially, operating results could be adversely affected. To reduce credit risk, management performs credit evaluations of the financial condition of significant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During the years ended December 31, 2024, 2023 and 2022, no customer organization accounted for more than 10% of the Company’s total revenue.</w:t>
      </w:r>
    </w:p>
    <w:p>
      <w:pPr>
        <w:spacing w:after="0" w:line="2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and 2023, no customer organization represented more than 10% of the Company’s gross accounts receivable.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hanging="793"/>
        <w:spacing w:after="0"/>
        <w:tabs>
          <w:tab w:leader="none" w:pos="128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4"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in an amount that reflects the consideration the Company expects to receive in exchange for those products or services. The Company enters into contracts that can include various combinations of products and services, which are generally capable of being distinct and accounted for as separate performance obligations. Revenue is recognized net of allowances for credits and any taxes collected from customers, which are subsequently remitted to governmental authorities.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220" w:lineRule="exact"/>
        <w:rPr>
          <w:sz w:val="20"/>
          <w:szCs w:val="20"/>
          <w:color w:val="auto"/>
        </w:rPr>
      </w:pPr>
    </w:p>
    <w:p>
      <w:pPr>
        <w:ind w:left="640" w:hanging="15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19" w:lineRule="exact"/>
        <w:rPr>
          <w:rFonts w:ascii="Times New Roman" w:cs="Times New Roman" w:eastAsia="Times New Roman" w:hAnsi="Times New Roman"/>
          <w:sz w:val="18"/>
          <w:szCs w:val="18"/>
          <w:color w:val="auto"/>
        </w:rPr>
      </w:pPr>
    </w:p>
    <w:p>
      <w:pPr>
        <w:ind w:left="640" w:hanging="15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19" w:lineRule="exact"/>
        <w:rPr>
          <w:rFonts w:ascii="Times New Roman" w:cs="Times New Roman" w:eastAsia="Times New Roman" w:hAnsi="Times New Roman"/>
          <w:sz w:val="18"/>
          <w:szCs w:val="18"/>
          <w:color w:val="auto"/>
        </w:rPr>
      </w:pPr>
    </w:p>
    <w:p>
      <w:pPr>
        <w:ind w:left="640" w:hanging="15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19" w:lineRule="exact"/>
        <w:rPr>
          <w:rFonts w:ascii="Times New Roman" w:cs="Times New Roman" w:eastAsia="Times New Roman" w:hAnsi="Times New Roman"/>
          <w:sz w:val="18"/>
          <w:szCs w:val="18"/>
          <w:color w:val="auto"/>
        </w:rPr>
      </w:pPr>
    </w:p>
    <w:p>
      <w:pPr>
        <w:ind w:left="640" w:hanging="15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19" w:lineRule="exact"/>
        <w:rPr>
          <w:rFonts w:ascii="Times New Roman" w:cs="Times New Roman" w:eastAsia="Times New Roman" w:hAnsi="Times New Roman"/>
          <w:sz w:val="18"/>
          <w:szCs w:val="18"/>
          <w:color w:val="auto"/>
        </w:rPr>
      </w:pPr>
    </w:p>
    <w:p>
      <w:pPr>
        <w:ind w:left="640" w:hanging="15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2"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The Company recognizes revenue from its products on either a usage basis or a subscription basis, depending on the nature of the product and the type of customer contract. The Company’s reportable segments may contain products that follow either revenue recognition model.</w:t>
      </w:r>
    </w:p>
    <w:p>
      <w:pPr>
        <w:spacing w:after="0" w:line="122" w:lineRule="exact"/>
        <w:rPr>
          <w:sz w:val="20"/>
          <w:szCs w:val="20"/>
          <w:color w:val="auto"/>
        </w:rPr>
      </w:pPr>
    </w:p>
    <w:p>
      <w:pPr>
        <w:ind w:firstLine="480"/>
        <w:spacing w:after="0" w:line="224" w:lineRule="exact"/>
        <w:rPr>
          <w:sz w:val="20"/>
          <w:szCs w:val="20"/>
          <w:color w:val="auto"/>
        </w:rPr>
      </w:pPr>
      <w:r>
        <w:rPr>
          <w:rFonts w:ascii="Times New Roman" w:cs="Times New Roman" w:eastAsia="Times New Roman" w:hAnsi="Times New Roman"/>
          <w:sz w:val="18"/>
          <w:szCs w:val="18"/>
          <w:color w:val="auto"/>
        </w:rPr>
        <w:t>The majority of the revenue in the Communications segment is derived from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fees. These fees are earned when customers access the Company’s cloud-based platform and start using the Company’s products. Platform access is considered a monthly series comprised of one performance obligation and usage-based fees are recognized as revenue in the period in which the usage occurs. Some examples of the usage-based products are Messaging and Voice. For the Messaging products, the fees relate to the number of text messages sent or received. For the Voice products, the fees primarily relate to minutes of call duration. In the years ended December 31, 2024, 2023 and 2022, the revenue from usage-based fees represented 72%, 71%, and 73% of total revenue, respectively.</w:t>
      </w:r>
    </w:p>
    <w:p>
      <w:pPr>
        <w:spacing w:after="0" w:line="195"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Subscription-based fees are derived from various products in both the Communications and Segment segments. Subscription-based products include products such as Segment, Flex, Email and others. Subscription-based contracts revenue is recognized on a ratable basis over the contractual term which is generally between one to three years. In the years ended December 31, 2024, 2023 and 2022, the revenue from non-usage-based fees represented 28%, 29%, and 27% of total revenue, respectively.</w:t>
      </w:r>
    </w:p>
    <w:p>
      <w:pPr>
        <w:spacing w:after="0" w:line="181" w:lineRule="exact"/>
        <w:rPr>
          <w:sz w:val="20"/>
          <w:szCs w:val="20"/>
          <w:color w:val="auto"/>
        </w:rPr>
      </w:pPr>
    </w:p>
    <w:p>
      <w:pPr>
        <w:ind w:right="620" w:firstLine="480"/>
        <w:spacing w:after="0" w:line="277" w:lineRule="auto"/>
        <w:rPr>
          <w:sz w:val="20"/>
          <w:szCs w:val="20"/>
          <w:color w:val="auto"/>
        </w:rPr>
      </w:pPr>
      <w:r>
        <w:rPr>
          <w:rFonts w:ascii="Times New Roman" w:cs="Times New Roman" w:eastAsia="Times New Roman" w:hAnsi="Times New Roman"/>
          <w:sz w:val="18"/>
          <w:szCs w:val="18"/>
          <w:color w:val="auto"/>
        </w:rPr>
        <w:t>When usage-based products are embedded into subscription-based products, the Company charges for each product separately and records the respective revenue into the reportable segment in which each product resides.</w:t>
      </w:r>
    </w:p>
    <w:p>
      <w:pPr>
        <w:spacing w:after="0" w:line="163" w:lineRule="exact"/>
        <w:rPr>
          <w:sz w:val="20"/>
          <w:szCs w:val="20"/>
          <w:color w:val="auto"/>
        </w:rPr>
      </w:pPr>
    </w:p>
    <w:p>
      <w:pPr>
        <w:ind w:right="300" w:firstLine="480"/>
        <w:spacing w:after="0" w:line="277" w:lineRule="auto"/>
        <w:rPr>
          <w:sz w:val="20"/>
          <w:szCs w:val="20"/>
          <w:color w:val="auto"/>
        </w:rPr>
      </w:pPr>
      <w:r>
        <w:rPr>
          <w:rFonts w:ascii="Times New Roman" w:cs="Times New Roman" w:eastAsia="Times New Roman" w:hAnsi="Times New Roman"/>
          <w:sz w:val="18"/>
          <w:szCs w:val="18"/>
          <w:color w:val="auto"/>
        </w:rPr>
        <w:t>No significant judgments are required in determining whether products and services are considered distinct performance obligations and should be accounted for separately versus together, or to determine the stand-alone selling price.</w:t>
      </w:r>
    </w:p>
    <w:p>
      <w:pPr>
        <w:spacing w:after="0" w:line="163" w:lineRule="exact"/>
        <w:rPr>
          <w:sz w:val="20"/>
          <w:szCs w:val="20"/>
          <w:color w:val="auto"/>
        </w:rPr>
      </w:pPr>
    </w:p>
    <w:p>
      <w:pPr>
        <w:jc w:val="both"/>
        <w:ind w:right="240" w:firstLine="480"/>
        <w:spacing w:after="0" w:line="262" w:lineRule="auto"/>
        <w:rPr>
          <w:sz w:val="20"/>
          <w:szCs w:val="20"/>
          <w:color w:val="auto"/>
        </w:rPr>
      </w:pPr>
      <w:r>
        <w:rPr>
          <w:rFonts w:ascii="Times New Roman" w:cs="Times New Roman" w:eastAsia="Times New Roman" w:hAnsi="Times New Roman"/>
          <w:sz w:val="18"/>
          <w:szCs w:val="18"/>
          <w:color w:val="auto"/>
        </w:rPr>
        <w:t>The Company's arrangements do not contain general rights of return. However, credits may be issued on a case-by-case basis. The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76"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The Company defines U.S. revenue as revenue from customers with IP addresses or mailing addresses at the time of registration in the United States. The Company defines international revenue as revenue from customers with IP addresses or mailing addresses at the time of registration outside of the United States.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2"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deferred revenue and amounts that were and will be invoiced and recognized as revenue in future periods for non-cancelable subscription arrangements with terms greater than one year. The Company applies the optional exemption of not disclosing the transaction price allocated to the remaining performance obligations for its usage-based contracts and contracts with original duration of less than one year. Revenue allocated to remaining performance obligations for contracts with durations of greater than one year was $182.3 million as of December 31, 2024, of which 59% is expected to be recognized over the next 12 months and 91% is expected to be recognized over the next 24 months.</w:t>
      </w:r>
    </w:p>
    <w:p>
      <w:pPr>
        <w:spacing w:after="0" w:line="182" w:lineRule="exact"/>
        <w:rPr>
          <w:sz w:val="20"/>
          <w:szCs w:val="20"/>
          <w:color w:val="auto"/>
        </w:rPr>
      </w:pPr>
    </w:p>
    <w:p>
      <w:pPr>
        <w:ind w:left="1280" w:hanging="793"/>
        <w:spacing w:after="0"/>
        <w:tabs>
          <w:tab w:leader="none" w:pos="128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Revenue and Customer Deposits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Deferred revenue is recorded when a non-cancellable contractual right to bill exists or when cash payments are received in advance of future usage 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non-cancelable contracts. Customer refundable prepayments are recorded as customer deposits. As of December 31, 2024 and 2023, the Company recorded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$155.7 million and $144.5 million as its deferred revenue and customer deposits, respectively, that are included in deferred revenue and customer deposits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consolidated balance sheets. During the years ended December 31, 2024, 2023 and 2022, the Company recognized $120.7 million,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$120.5 million, and $124.9 million of revenue, respectively, that was included in the deferred revenue and customer deposits balance as of the end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 year.</w:t>
      </w:r>
    </w:p>
    <w:p>
      <w:pPr>
        <w:spacing w:after="0" w:line="197" w:lineRule="exact"/>
        <w:rPr>
          <w:sz w:val="20"/>
          <w:szCs w:val="20"/>
          <w:color w:val="auto"/>
        </w:rPr>
      </w:pPr>
    </w:p>
    <w:p>
      <w:pPr>
        <w:ind w:left="1280" w:hanging="793"/>
        <w:spacing w:after="0"/>
        <w:tabs>
          <w:tab w:leader="none" w:pos="128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Sales Commissions</w:t>
      </w:r>
    </w:p>
    <w:p>
      <w:pPr>
        <w:spacing w:after="0" w:line="224" w:lineRule="exact"/>
        <w:rPr>
          <w:sz w:val="20"/>
          <w:szCs w:val="20"/>
          <w:color w:val="auto"/>
        </w:rPr>
      </w:pPr>
    </w:p>
    <w:p>
      <w:pPr>
        <w:ind w:right="60" w:firstLine="480"/>
        <w:spacing w:after="0" w:line="277" w:lineRule="auto"/>
        <w:rPr>
          <w:sz w:val="20"/>
          <w:szCs w:val="20"/>
          <w:color w:val="auto"/>
        </w:rPr>
      </w:pPr>
      <w:r>
        <w:rPr>
          <w:rFonts w:ascii="Times New Roman" w:cs="Times New Roman" w:eastAsia="Times New Roman" w:hAnsi="Times New Roman"/>
          <w:sz w:val="17"/>
          <w:szCs w:val="17"/>
          <w:color w:val="auto"/>
        </w:rPr>
        <w:t>The Company records an asset for the incremental costs of obtaining a contract with a customer, for example, sales commissions that are earned upon execution of contracts. The Company uses the portfolio of data method to determine the estimated period of benefit of capitalized commissions which is generally determined to be up to five years. Amortization expense related to these capitalized costs are recognized on a straight line basis over the estimated period of benefit. The Company applies the optional exemption of expensing these costs as incurred with amortization periods of one year or less.</w:t>
      </w:r>
    </w:p>
    <w:p>
      <w:pPr>
        <w:spacing w:after="0" w:line="165" w:lineRule="exact"/>
        <w:rPr>
          <w:sz w:val="20"/>
          <w:szCs w:val="20"/>
          <w:color w:val="auto"/>
        </w:rPr>
      </w:pPr>
    </w:p>
    <w:p>
      <w:pPr>
        <w:ind w:right="140" w:firstLine="480"/>
        <w:spacing w:after="0" w:line="219" w:lineRule="exact"/>
        <w:rPr>
          <w:sz w:val="20"/>
          <w:szCs w:val="20"/>
          <w:color w:val="auto"/>
        </w:rPr>
      </w:pPr>
      <w:r>
        <w:rPr>
          <w:rFonts w:ascii="Times New Roman" w:cs="Times New Roman" w:eastAsia="Times New Roman" w:hAnsi="Times New Roman"/>
          <w:sz w:val="18"/>
          <w:szCs w:val="18"/>
          <w:color w:val="auto"/>
        </w:rPr>
        <w:t>Total net capitalized commission costs as of December 31, 2024 and 2023, were $166.0 million and $200.1 million, respectively, and are included in prepaid expenses and other current assets and other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assets in the accompanying consolidated balance sheets. Amortization of these assets was $76.3 million, $72.9 million and $57.9 million in the years ended December 31, 2024, 2023 and 2022, respectively, and is included in sales and marketing expense in the accompanying consolidated statements of operations.</w:t>
      </w:r>
    </w:p>
    <w:p>
      <w:pPr>
        <w:spacing w:after="0" w:line="191" w:lineRule="exact"/>
        <w:rPr>
          <w:sz w:val="20"/>
          <w:szCs w:val="20"/>
          <w:color w:val="auto"/>
        </w:rPr>
      </w:pPr>
    </w:p>
    <w:p>
      <w:pPr>
        <w:ind w:left="1280" w:hanging="793"/>
        <w:spacing w:after="0"/>
        <w:tabs>
          <w:tab w:leader="none" w:pos="128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w:t>
      </w:r>
    </w:p>
    <w:p>
      <w:pPr>
        <w:spacing w:after="0" w:line="251" w:lineRule="exact"/>
        <w:rPr>
          <w:sz w:val="20"/>
          <w:szCs w:val="20"/>
          <w:color w:val="auto"/>
        </w:rPr>
      </w:pPr>
    </w:p>
    <w:p>
      <w:pPr>
        <w:ind w:right="120" w:firstLine="640"/>
        <w:spacing w:after="0" w:line="217" w:lineRule="exact"/>
        <w:rPr>
          <w:sz w:val="20"/>
          <w:szCs w:val="20"/>
          <w:color w:val="auto"/>
        </w:rPr>
      </w:pPr>
      <w:r>
        <w:rPr>
          <w:rFonts w:ascii="Times New Roman" w:cs="Times New Roman" w:eastAsia="Times New Roman" w:hAnsi="Times New Roman"/>
          <w:sz w:val="18"/>
          <w:szCs w:val="18"/>
          <w:color w:val="auto"/>
        </w:rPr>
        <w:t>Cost of revenue consists primarily of fees paid to network service providers. Cost of revenue also includes cloud infrastructure fees, direct costs of personnel, such as salaries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customer support employees,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such as depreciation and amortization expense related to data centers and hosting equipment, amortization of capitalized internal-use software development costs and acquired intangible assets. Costs of revenue are generally directly attributable to each segment. Certain costs of revenue are allocated to segments based on methodologies that best reflect the patterns of consumptions of these costs.</w:t>
      </w:r>
    </w:p>
    <w:p>
      <w:pPr>
        <w:spacing w:after="0" w:line="195" w:lineRule="exact"/>
        <w:rPr>
          <w:sz w:val="20"/>
          <w:szCs w:val="20"/>
          <w:color w:val="auto"/>
        </w:rPr>
      </w:pPr>
    </w:p>
    <w:p>
      <w:pPr>
        <w:ind w:left="1280" w:hanging="793"/>
        <w:spacing w:after="0"/>
        <w:tabs>
          <w:tab w:leader="none" w:pos="128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4" w:lineRule="exact"/>
        <w:rPr>
          <w:sz w:val="20"/>
          <w:szCs w:val="20"/>
          <w:color w:val="auto"/>
        </w:rPr>
      </w:pPr>
    </w:p>
    <w:p>
      <w:pPr>
        <w:ind w:right="80" w:firstLine="640"/>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outsourced engineering services, cloud infrastructure fees for staging and development of the Company’s products, depreciation, amortization of capitalized internal-use software development costs and an allocation of general overhead expenses. The Company capitalizes the portion of its software development costs that meets the criteria for capitalization. Research and development expenses are generally directly attributable to each segment. Certain research and development expenses are allocated to segments based on methodologies that best reflect the patterns of consumptions of these costs. Certain research and development costs are not allocated to segments because they support company-wide processes and are managed on a company-wide level.</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hanging="793"/>
        <w:spacing w:after="0"/>
        <w:tabs>
          <w:tab w:leader="none" w:pos="128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224"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Certain costs of platform and other software applications developed for internal use are capitalized.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Costs incurred for maintenance, minor upgrades and enhancements are expensed. Costs related to preliminary project activities and post-implementation operating activities are also expensed as incurred.</w:t>
      </w:r>
    </w:p>
    <w:p>
      <w:pPr>
        <w:spacing w:after="0" w:line="187"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 The amortization of costs related to the platform applications is included in cost of revenue, while the amortization of costs related to software applications developed for internal use is included in operating expenses.</w:t>
      </w:r>
    </w:p>
    <w:p>
      <w:pPr>
        <w:spacing w:after="0" w:line="182" w:lineRule="exact"/>
        <w:rPr>
          <w:sz w:val="20"/>
          <w:szCs w:val="20"/>
          <w:color w:val="auto"/>
        </w:rPr>
      </w:pPr>
    </w:p>
    <w:p>
      <w:pPr>
        <w:ind w:left="1280" w:hanging="793"/>
        <w:spacing w:after="0"/>
        <w:tabs>
          <w:tab w:leader="none" w:pos="128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Advertising Costs</w:t>
      </w:r>
    </w:p>
    <w:p>
      <w:pPr>
        <w:spacing w:after="0" w:line="224" w:lineRule="exact"/>
        <w:rPr>
          <w:sz w:val="20"/>
          <w:szCs w:val="20"/>
          <w:color w:val="auto"/>
        </w:rPr>
      </w:pPr>
    </w:p>
    <w:p>
      <w:pPr>
        <w:ind w:right="140" w:firstLine="480"/>
        <w:spacing w:after="0" w:line="277" w:lineRule="auto"/>
        <w:rPr>
          <w:sz w:val="20"/>
          <w:szCs w:val="20"/>
          <w:color w:val="auto"/>
        </w:rPr>
      </w:pPr>
      <w:r>
        <w:rPr>
          <w:rFonts w:ascii="Times New Roman" w:cs="Times New Roman" w:eastAsia="Times New Roman" w:hAnsi="Times New Roman"/>
          <w:sz w:val="18"/>
          <w:szCs w:val="18"/>
          <w:color w:val="auto"/>
        </w:rPr>
        <w:t>Advertising costs are expensed as incurred and were $48.7 million, $71.1 million and $92.6 million in the years ended December 31, 2024, 2023 and 2022, respectively. Advertising costs are included in sales and marketing expenses in the accompanying consolidated statements of operations.</w:t>
      </w:r>
    </w:p>
    <w:p>
      <w:pPr>
        <w:spacing w:after="0" w:line="159" w:lineRule="exact"/>
        <w:rPr>
          <w:sz w:val="20"/>
          <w:szCs w:val="20"/>
          <w:color w:val="auto"/>
        </w:rPr>
      </w:pPr>
    </w:p>
    <w:p>
      <w:pPr>
        <w:ind w:left="1280" w:hanging="793"/>
        <w:spacing w:after="0"/>
        <w:tabs>
          <w:tab w:leader="none" w:pos="128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 Costs</w:t>
      </w:r>
    </w:p>
    <w:p>
      <w:pPr>
        <w:spacing w:after="0" w:line="224" w:lineRule="exact"/>
        <w:rPr>
          <w:sz w:val="20"/>
          <w:szCs w:val="20"/>
          <w:color w:val="auto"/>
        </w:rPr>
      </w:pPr>
    </w:p>
    <w:p>
      <w:pPr>
        <w:ind w:right="340" w:firstLine="480"/>
        <w:spacing w:after="0" w:line="262" w:lineRule="auto"/>
        <w:rPr>
          <w:sz w:val="20"/>
          <w:szCs w:val="20"/>
          <w:color w:val="auto"/>
        </w:rPr>
      </w:pPr>
      <w:r>
        <w:rPr>
          <w:rFonts w:ascii="Times New Roman" w:cs="Times New Roman" w:eastAsia="Times New Roman" w:hAnsi="Times New Roman"/>
          <w:sz w:val="18"/>
          <w:szCs w:val="18"/>
          <w:color w:val="auto"/>
        </w:rPr>
        <w:t>The Company records restructuring expenses when management commits to a restructuring plan, the restructuring plan identifies all significant actions, the period of time to complete the restructuring plan indicates that significant changes to the plan are not likely and employees who are impacted have been notified of the pending involuntary termination.</w:t>
      </w:r>
    </w:p>
    <w:p>
      <w:pPr>
        <w:spacing w:after="0" w:line="172" w:lineRule="exact"/>
        <w:rPr>
          <w:sz w:val="20"/>
          <w:szCs w:val="20"/>
          <w:color w:val="auto"/>
        </w:rPr>
      </w:pPr>
    </w:p>
    <w:p>
      <w:pPr>
        <w:ind w:left="1280" w:hanging="793"/>
        <w:spacing w:after="0"/>
        <w:tabs>
          <w:tab w:leader="none" w:pos="128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4"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All stock-based compensation to employees is measured on the grant date based on the fair value of the awards on the date of grant. These costs are recognized as an expense following straight-line attribution method over the requisite service period. For performance-based restricted stock units (“PSUs”) with operational performance targets, the grant date fair value is the closing price of the Company’s Class A common stock on the date of grant. The expense is recognized on a straight-line basis over the performance period only if it is probable that the performance target will be achieved. The probability of achievement is assessed each reporting period and adjustments are recorded accordingly. For PSUs with market conditions, the grant date fair value is determined using a Monte-Carlo simulation model and the expense is recognized on a straight-line basis over the performance period.</w:t>
      </w:r>
    </w:p>
    <w:p>
      <w:pPr>
        <w:spacing w:after="0" w:line="185"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The Company uses the Black-Scholes option pricing model to measure the fair value of its stock options and the purchase rights issued under the Company's 2016 Employee Stock Purchase Plan, as amended (the “ESPP”). The grant date fair value of the restricted stock units (“RSUs”) is the closing price of the Company's Class A common stock on the date of grant. The expense for options, purchase rights issued under the ESPP and RSUs is recognized on a straight-line basis over the requisite service period. Forfeitures are recorded in the period in which they occur.</w:t>
      </w:r>
    </w:p>
    <w:p>
      <w:pPr>
        <w:spacing w:after="0" w:line="181" w:lineRule="exact"/>
        <w:rPr>
          <w:sz w:val="20"/>
          <w:szCs w:val="20"/>
          <w:color w:val="auto"/>
        </w:rPr>
      </w:pPr>
    </w:p>
    <w:p>
      <w:pPr>
        <w:ind w:right="260" w:firstLine="480"/>
        <w:spacing w:after="0" w:line="262" w:lineRule="auto"/>
        <w:rPr>
          <w:sz w:val="20"/>
          <w:szCs w:val="20"/>
          <w:color w:val="auto"/>
        </w:rPr>
      </w:pPr>
      <w:r>
        <w:rPr>
          <w:rFonts w:ascii="Times New Roman" w:cs="Times New Roman" w:eastAsia="Times New Roman" w:hAnsi="Times New Roman"/>
          <w:sz w:val="18"/>
          <w:szCs w:val="18"/>
          <w:color w:val="auto"/>
        </w:rPr>
        <w:t>The Black-Scholes option pricing model requires the use of complex assumptions, which determine the fair value of stock options and the purchase rights issued under the ESPP. If any of the assumptions used in the Black-Scholes model change, stock-based compensation for future options may differ materially compared to that associated with previous grants. These assumptions include:</w:t>
      </w:r>
    </w:p>
    <w:p>
      <w:pPr>
        <w:spacing w:after="0" w:line="174" w:lineRule="exact"/>
        <w:rPr>
          <w:sz w:val="20"/>
          <w:szCs w:val="20"/>
          <w:color w:val="auto"/>
        </w:rPr>
      </w:pPr>
    </w:p>
    <w:p>
      <w:pPr>
        <w:ind w:left="960" w:right="140" w:hanging="313"/>
        <w:spacing w:after="0" w:line="279" w:lineRule="auto"/>
        <w:tabs>
          <w:tab w:leader="none" w:pos="9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Fair value of the common stock. </w:t>
      </w:r>
      <w:r>
        <w:rPr>
          <w:rFonts w:ascii="Times New Roman" w:cs="Times New Roman" w:eastAsia="Times New Roman" w:hAnsi="Times New Roman"/>
          <w:sz w:val="18"/>
          <w:szCs w:val="18"/>
          <w:color w:val="auto"/>
        </w:rPr>
        <w:t>The Company uses the market closing price of its Class A common stock, as reported on the New York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the fair value.</w:t>
      </w:r>
    </w:p>
    <w:p>
      <w:pPr>
        <w:spacing w:after="0" w:line="159" w:lineRule="exact"/>
        <w:rPr>
          <w:rFonts w:ascii="Times New Roman" w:cs="Times New Roman" w:eastAsia="Times New Roman" w:hAnsi="Times New Roman"/>
          <w:sz w:val="18"/>
          <w:szCs w:val="18"/>
          <w:i w:val="1"/>
          <w:iCs w:val="1"/>
          <w:color w:val="auto"/>
        </w:rPr>
      </w:pPr>
    </w:p>
    <w:p>
      <w:pPr>
        <w:jc w:val="both"/>
        <w:ind w:left="960" w:right="60" w:hanging="313"/>
        <w:spacing w:after="0" w:line="263" w:lineRule="auto"/>
        <w:tabs>
          <w:tab w:leader="none" w:pos="9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stock option or the purchase right is expected to be outstanding.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uses the simplified calculation of expected term, which reflects the weighted-average time-to-vest and the contractual life of the stock option or the purchase right;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60" w:right="660" w:hanging="313"/>
        <w:spacing w:after="0" w:line="279" w:lineRule="auto"/>
        <w:tabs>
          <w:tab w:leader="none" w:pos="955" w:val="left"/>
        </w:tabs>
        <w:numPr>
          <w:ilvl w:val="1"/>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derived from the average of the historical volatilities of the Class A common stock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w:t>
      </w:r>
    </w:p>
    <w:p>
      <w:pPr>
        <w:spacing w:after="0" w:line="159" w:lineRule="exact"/>
        <w:rPr>
          <w:rFonts w:ascii="Times New Roman" w:cs="Times New Roman" w:eastAsia="Times New Roman" w:hAnsi="Times New Roman"/>
          <w:sz w:val="18"/>
          <w:szCs w:val="18"/>
          <w:i w:val="1"/>
          <w:iCs w:val="1"/>
          <w:color w:val="auto"/>
        </w:rPr>
      </w:pPr>
    </w:p>
    <w:p>
      <w:pPr>
        <w:ind w:left="960" w:right="260" w:hanging="313"/>
        <w:spacing w:after="0" w:line="279" w:lineRule="auto"/>
        <w:tabs>
          <w:tab w:leader="none" w:pos="955" w:val="left"/>
        </w:tabs>
        <w:numPr>
          <w:ilvl w:val="1"/>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Risk -free interest rate. </w:t>
      </w:r>
      <w:r>
        <w:rPr>
          <w:rFonts w:ascii="Times New Roman" w:cs="Times New Roman" w:eastAsia="Times New Roman" w:hAnsi="Times New Roman"/>
          <w:sz w:val="18"/>
          <w:szCs w:val="18"/>
          <w:color w:val="auto"/>
        </w:rPr>
        <w:t>The risk-free interest rate is based on the U.S. Treasury yield curve in effect at the time of grant for zero 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notes with maturities approximately equal to the expected term of the stock-based awards; and</w:t>
      </w:r>
    </w:p>
    <w:p>
      <w:pPr>
        <w:spacing w:after="0" w:line="159" w:lineRule="exact"/>
        <w:rPr>
          <w:rFonts w:ascii="Times New Roman" w:cs="Times New Roman" w:eastAsia="Times New Roman" w:hAnsi="Times New Roman"/>
          <w:sz w:val="18"/>
          <w:szCs w:val="18"/>
          <w:i w:val="1"/>
          <w:iCs w:val="1"/>
          <w:color w:val="auto"/>
        </w:rPr>
      </w:pPr>
    </w:p>
    <w:p>
      <w:pPr>
        <w:ind w:left="960" w:right="120" w:hanging="313"/>
        <w:spacing w:after="0" w:line="279" w:lineRule="auto"/>
        <w:tabs>
          <w:tab w:leader="none" w:pos="955" w:val="left"/>
        </w:tabs>
        <w:numPr>
          <w:ilvl w:val="1"/>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The expected dividend is assumed to be zero as the Company has never paid dividends and has no current plans to pay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on its common stock.</w:t>
      </w:r>
    </w:p>
    <w:p>
      <w:pPr>
        <w:spacing w:after="0" w:line="157" w:lineRule="exact"/>
        <w:rPr>
          <w:rFonts w:ascii="Times New Roman" w:cs="Times New Roman" w:eastAsia="Times New Roman" w:hAnsi="Times New Roman"/>
          <w:sz w:val="18"/>
          <w:szCs w:val="18"/>
          <w:i w:val="1"/>
          <w:iCs w:val="1"/>
          <w:color w:val="auto"/>
        </w:rPr>
      </w:pPr>
    </w:p>
    <w:p>
      <w:pPr>
        <w:ind w:left="1280" w:hanging="793"/>
        <w:spacing w:after="0"/>
        <w:tabs>
          <w:tab w:leader="none" w:pos="128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approach. Deferred tax assets and liabilities are recognized for future tax consequences attributable to temporary differences between the financial statement carrying amounts of existing assets and liabilities and their respective tax bases, as well as net operating losses and tax credit carry-forwards. Deferred tax amounts are determined by using the enacted tax rates expected to be in effect when the temporary differences are expected to be recovered or settled. The effect on deferred tax assets and liabilities of a change in tax rates is recognized in income in the period that includes the enactment date. A valuation allowance reduces the deferred tax assets to the amount that is more likely than not to be realized.</w:t>
      </w:r>
    </w:p>
    <w:p>
      <w:pPr>
        <w:spacing w:after="0" w:line="185" w:lineRule="exact"/>
        <w:rPr>
          <w:sz w:val="20"/>
          <w:szCs w:val="20"/>
          <w:color w:val="auto"/>
        </w:rPr>
      </w:pPr>
    </w:p>
    <w:p>
      <w:pPr>
        <w:jc w:val="both"/>
        <w:ind w:right="80" w:firstLine="480"/>
        <w:spacing w:after="0" w:line="262" w:lineRule="auto"/>
        <w:rPr>
          <w:sz w:val="20"/>
          <w:szCs w:val="20"/>
          <w:color w:val="auto"/>
        </w:rPr>
      </w:pPr>
      <w:r>
        <w:rPr>
          <w:rFonts w:ascii="Times New Roman" w:cs="Times New Roman" w:eastAsia="Times New Roman" w:hAnsi="Times New Roman"/>
          <w:sz w:val="18"/>
          <w:szCs w:val="18"/>
          <w:color w:val="auto"/>
        </w:rPr>
        <w:t>The Company recognizes the effect of uncertain income tax positions only if those positions are more likely than not of being sustained. Recognized income tax positions are measured at the largest amount that is more than 50% likely of being realized. Changes in recognition or measurement are reflected in the period in which the change in judgment occurs.</w:t>
      </w:r>
    </w:p>
    <w:p>
      <w:pPr>
        <w:spacing w:after="0" w:line="176" w:lineRule="exact"/>
        <w:rPr>
          <w:sz w:val="20"/>
          <w:szCs w:val="20"/>
          <w:color w:val="auto"/>
        </w:rPr>
      </w:pPr>
    </w:p>
    <w:p>
      <w:pPr>
        <w:ind w:right="480" w:firstLine="480"/>
        <w:spacing w:after="0" w:line="277" w:lineRule="auto"/>
        <w:rPr>
          <w:sz w:val="20"/>
          <w:szCs w:val="20"/>
          <w:color w:val="auto"/>
        </w:rPr>
      </w:pPr>
      <w:r>
        <w:rPr>
          <w:rFonts w:ascii="Times New Roman" w:cs="Times New Roman" w:eastAsia="Times New Roman" w:hAnsi="Times New Roman"/>
          <w:sz w:val="18"/>
          <w:szCs w:val="18"/>
          <w:color w:val="auto"/>
        </w:rPr>
        <w:t>The Company records interest and penalties related to uncertain tax positions in the provision for income taxes in the consolidated statements of operations. As of December 31, 2024, 2023 and 2022, these amounts were not significant.</w:t>
      </w:r>
    </w:p>
    <w:p>
      <w:pPr>
        <w:spacing w:after="0" w:line="159" w:lineRule="exact"/>
        <w:rPr>
          <w:sz w:val="20"/>
          <w:szCs w:val="20"/>
          <w:color w:val="auto"/>
        </w:rPr>
      </w:pPr>
    </w:p>
    <w:p>
      <w:pPr>
        <w:ind w:left="1280" w:hanging="793"/>
        <w:spacing w:after="0"/>
        <w:tabs>
          <w:tab w:leader="none" w:pos="128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w:t>
      </w:r>
    </w:p>
    <w:p>
      <w:pPr>
        <w:spacing w:after="0" w:line="224"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primarily the U.S. dollar. Accordingly, the subsidiaries remeasure monetary assets and liabilities at period-end exchange rates, while non-monetary items are remeasured at historical rates. Revenue and expense accounts are remeasured at the average exchange rate in effect during the month in which the transactions occur. Remeasurement adjustments are recognized in the consolidated statements of operations as other income (expense), net, in the year of occurrence. Foreign currency transaction gains and losses are included in other income (expenses), net, in the accompanying consolidated statements of operations.</w:t>
      </w:r>
    </w:p>
    <w:p>
      <w:pPr>
        <w:spacing w:after="0" w:line="186"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7"/>
          <w:szCs w:val="17"/>
          <w:color w:val="auto"/>
        </w:rPr>
        <w:t>For those entities where the functional currency is a foreign currency, adjustments resulting from translating the financial statements into U.S. dollars are recorded as a component of accumulated other comprehensive (loss) income as part of the total stockholders' equity. Monetary assets and liabilities denominated in a foreign currency are translated into U.S. dollars at the exchange rate on the balance sheet date. Revenue and expenses are translated at the weighted average exchange rates in effect during the month in which the transactions occur. Equity transactions are translated using historical exchange rates.</w:t>
      </w:r>
    </w:p>
    <w:p>
      <w:pPr>
        <w:spacing w:after="0" w:line="161" w:lineRule="exact"/>
        <w:rPr>
          <w:sz w:val="20"/>
          <w:szCs w:val="20"/>
          <w:color w:val="auto"/>
        </w:rPr>
      </w:pPr>
    </w:p>
    <w:p>
      <w:pPr>
        <w:ind w:left="1280" w:hanging="793"/>
        <w:spacing w:after="0"/>
        <w:tabs>
          <w:tab w:leader="none" w:pos="128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Comprehensive Loss</w:t>
      </w:r>
    </w:p>
    <w:p>
      <w:pPr>
        <w:spacing w:after="0" w:line="224" w:lineRule="exact"/>
        <w:rPr>
          <w:sz w:val="20"/>
          <w:szCs w:val="20"/>
          <w:color w:val="auto"/>
        </w:rPr>
      </w:pPr>
    </w:p>
    <w:p>
      <w:pPr>
        <w:ind w:right="940" w:firstLine="480"/>
        <w:spacing w:after="0" w:line="277" w:lineRule="auto"/>
        <w:rPr>
          <w:sz w:val="20"/>
          <w:szCs w:val="20"/>
          <w:color w:val="auto"/>
        </w:rPr>
      </w:pPr>
      <w:r>
        <w:rPr>
          <w:rFonts w:ascii="Times New Roman" w:cs="Times New Roman" w:eastAsia="Times New Roman" w:hAnsi="Times New Roman"/>
          <w:sz w:val="18"/>
          <w:szCs w:val="18"/>
          <w:color w:val="auto"/>
        </w:rPr>
        <w:t>Comprehensive loss refers to net loss and other revenue, expenses, gains and losses that, under U.S. GAAP, are recorded as an element of stockholders' equity but are excluded from the calculation of net loss.</w:t>
      </w:r>
    </w:p>
    <w:p>
      <w:pPr>
        <w:spacing w:after="0" w:line="159" w:lineRule="exact"/>
        <w:rPr>
          <w:sz w:val="20"/>
          <w:szCs w:val="20"/>
          <w:color w:val="auto"/>
        </w:rPr>
      </w:pPr>
    </w:p>
    <w:p>
      <w:pPr>
        <w:ind w:left="1280" w:hanging="793"/>
        <w:spacing w:after="0"/>
        <w:tabs>
          <w:tab w:leader="none" w:pos="128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4" w:lineRule="exact"/>
        <w:rPr>
          <w:sz w:val="20"/>
          <w:szCs w:val="20"/>
          <w:color w:val="auto"/>
        </w:rPr>
      </w:pPr>
    </w:p>
    <w:p>
      <w:pPr>
        <w:ind w:right="20" w:firstLine="480"/>
        <w:spacing w:after="0" w:line="307" w:lineRule="auto"/>
        <w:rPr>
          <w:sz w:val="20"/>
          <w:szCs w:val="20"/>
          <w:color w:val="auto"/>
        </w:rPr>
      </w:pPr>
      <w:r>
        <w:rPr>
          <w:rFonts w:ascii="Times New Roman" w:cs="Times New Roman" w:eastAsia="Times New Roman" w:hAnsi="Times New Roman"/>
          <w:sz w:val="17"/>
          <w:szCs w:val="17"/>
          <w:color w:val="auto"/>
        </w:rPr>
        <w:t>The Company calculates its basic and diluted net loss per share attributable to common stockholders in conformity with the two-class method required for companies with participating securities. The Company has 100,000,000 shares of preferred stock that are authorized but none are issued or outstanding.</w:t>
      </w:r>
    </w:p>
    <w:p>
      <w:pPr>
        <w:spacing w:after="0" w:line="140" w:lineRule="exact"/>
        <w:rPr>
          <w:sz w:val="20"/>
          <w:szCs w:val="20"/>
          <w:color w:val="auto"/>
        </w:rPr>
      </w:pPr>
    </w:p>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Class A common stock was the only outstanding class of equity securities of the Company as of December 31, 2024 and 2023. Each share of Class A common stock is entitled to one vote per share.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Prior to June 28, 2023, the Company had outstanding equity securities of Class B common stock. On June 28, 2023, each outstanding share of the Company’s Class B common stock automatically converted (the “Conversion”) into one share of the Company’s Class A common stock pursuant to the terms of the Company’s certificate of incorporation. In addition, upon the Conversion, all outstanding stock options that were exercisable for shares of Class B common stock prior to the Conversion became exercisable for shares of Class A common stock. The Company retired all of the shares of its Class B common stock that were issued but not outstanding following the Conversion.</w:t>
      </w:r>
    </w:p>
    <w:p>
      <w:pPr>
        <w:spacing w:after="0" w:line="186" w:lineRule="exact"/>
        <w:rPr>
          <w:sz w:val="20"/>
          <w:szCs w:val="20"/>
          <w:color w:val="auto"/>
        </w:rPr>
      </w:pPr>
    </w:p>
    <w:p>
      <w:pPr>
        <w:ind w:right="280" w:firstLine="480"/>
        <w:spacing w:after="0" w:line="262" w:lineRule="auto"/>
        <w:rPr>
          <w:sz w:val="20"/>
          <w:szCs w:val="20"/>
          <w:color w:val="auto"/>
        </w:rPr>
      </w:pPr>
      <w:r>
        <w:rPr>
          <w:rFonts w:ascii="Times New Roman" w:cs="Times New Roman" w:eastAsia="Times New Roman" w:hAnsi="Times New Roman"/>
          <w:sz w:val="18"/>
          <w:szCs w:val="18"/>
          <w:color w:val="auto"/>
        </w:rPr>
        <w:t>The Company also has dilutive securities, such as potential or restricted common shares or common stock equivalents, that were excluded from the calculation of diluted net loss per share attributable to common stockholders as their effect was antidilutive in all periods presented. These securities are presented in Note 20 to these consolidated financial statements.</w:t>
      </w:r>
    </w:p>
    <w:p>
      <w:pPr>
        <w:spacing w:after="0" w:line="172" w:lineRule="exact"/>
        <w:rPr>
          <w:sz w:val="20"/>
          <w:szCs w:val="20"/>
          <w:color w:val="auto"/>
        </w:rPr>
      </w:pPr>
    </w:p>
    <w:p>
      <w:pPr>
        <w:ind w:left="1280" w:hanging="793"/>
        <w:spacing w:after="0"/>
        <w:tabs>
          <w:tab w:leader="none" w:pos="128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4"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Cash equivalents may consist of cash deposited into money market funds, U.S. treasury bills and commercial paper. All credit and debit card transactions that process as of the last day of each month and settle within the first few days of the subsequent month are also classified as cash and cash equivalents as of the end of the month in which they were processed.</w:t>
      </w:r>
    </w:p>
    <w:p>
      <w:pPr>
        <w:spacing w:after="0" w:line="177" w:lineRule="exact"/>
        <w:rPr>
          <w:sz w:val="20"/>
          <w:szCs w:val="20"/>
          <w:color w:val="auto"/>
        </w:rPr>
      </w:pPr>
    </w:p>
    <w:p>
      <w:pPr>
        <w:ind w:left="1280" w:hanging="793"/>
        <w:spacing w:after="0"/>
        <w:tabs>
          <w:tab w:leader="none" w:pos="128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4"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Accounts receivable are recorded net of the allowance for doubtful accounts. The allowance for doubtful accounts is estimated based on the Company's assessment of its ability to collect on customer accounts receivable. The Company regularly reviews the allowance by considering certain factors such as historical experience, credit quality, age of accounts receivable balances and other known conditions that may affect a customer's ability to pay. In cases where the Company is aware of circumstances that may impair a specific customer's ability to meet their financial obligations, a specific allowance is recorded against amounts due from the customer which reduces the net recognized receivable to the amount the Company reasonably believes will be collected. The Company writes-off accounts receivable against the allowance when a determination is made that the balance is uncollectible and collection of the receivable is no longer being actively pursued. As of December 31, 2024 and 2023, the allowance for doubtful accounts was $27.5 million and $42.0 million, respectively, and is recorded in accounts receivable, net, in the accompanying consolidated balance sheets.</w:t>
      </w:r>
    </w:p>
    <w:p>
      <w:pPr>
        <w:spacing w:after="0" w:line="186" w:lineRule="exact"/>
        <w:rPr>
          <w:sz w:val="20"/>
          <w:szCs w:val="20"/>
          <w:color w:val="auto"/>
        </w:rPr>
      </w:pPr>
    </w:p>
    <w:p>
      <w:pPr>
        <w:ind w:left="1280" w:hanging="793"/>
        <w:spacing w:after="0"/>
        <w:tabs>
          <w:tab w:leader="none" w:pos="128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4" w:lineRule="exact"/>
        <w:rPr>
          <w:sz w:val="20"/>
          <w:szCs w:val="20"/>
          <w:color w:val="auto"/>
        </w:rPr>
      </w:pPr>
    </w:p>
    <w:p>
      <w:pPr>
        <w:ind w:right="580" w:firstLine="480"/>
        <w:spacing w:after="0" w:line="277" w:lineRule="auto"/>
        <w:rPr>
          <w:sz w:val="20"/>
          <w:szCs w:val="20"/>
          <w:color w:val="auto"/>
        </w:rPr>
      </w:pPr>
      <w:r>
        <w:rPr>
          <w:rFonts w:ascii="Times New Roman" w:cs="Times New Roman" w:eastAsia="Times New Roman" w:hAnsi="Times New Roman"/>
          <w:sz w:val="18"/>
          <w:szCs w:val="18"/>
          <w:color w:val="auto"/>
        </w:rPr>
        <w:t>Property and equipment, both owned and under finance leases, is stated at cost less accumulated depreciation and amortization. Depreciation is computed using the straight-line method over the estimated useful life of the related asset. Maintenance and repairs are expensed as incurred.</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useful lives of property and equipment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development costs</w:t>
            </w:r>
          </w:p>
        </w:tc>
        <w:tc>
          <w:tcPr>
            <w:tcW w:w="5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11"/>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center equipment</w:t>
            </w:r>
          </w:p>
        </w:tc>
        <w:tc>
          <w:tcPr>
            <w:tcW w:w="5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2 - 4 years</w:t>
            </w: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5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Shorter of 5 years or the remaining lease term</w:t>
            </w:r>
          </w:p>
        </w:tc>
      </w:tr>
      <w:tr>
        <w:trPr>
          <w:trHeight w:val="211"/>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equipment</w:t>
            </w:r>
          </w:p>
        </w:tc>
        <w:tc>
          <w:tcPr>
            <w:tcW w:w="5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5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years</w:t>
            </w:r>
          </w:p>
        </w:tc>
      </w:tr>
      <w:tr>
        <w:trPr>
          <w:trHeight w:val="211"/>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5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financing lease</w:t>
            </w:r>
          </w:p>
        </w:tc>
        <w:tc>
          <w:tcPr>
            <w:tcW w:w="5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Shorter of 5 years or the remaining lease term</w:t>
            </w:r>
          </w:p>
        </w:tc>
      </w:tr>
    </w:tbl>
    <w:p>
      <w:pPr>
        <w:spacing w:after="0" w:line="285" w:lineRule="exact"/>
        <w:rPr>
          <w:sz w:val="20"/>
          <w:szCs w:val="20"/>
          <w:color w:val="auto"/>
        </w:rPr>
      </w:pPr>
    </w:p>
    <w:p>
      <w:pPr>
        <w:ind w:left="1280" w:hanging="793"/>
        <w:spacing w:after="0"/>
        <w:tabs>
          <w:tab w:leader="none" w:pos="128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224"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contract inception. The Company presents the operating leases in long-term assets and current and long-term liabilities. Finance lease assets are included in property and equipment, net, and finance lease liabilities are presented in current and long-term liabilities in the accompanying consolidated balance sheets.</w:t>
      </w:r>
    </w:p>
    <w:p>
      <w:pPr>
        <w:spacing w:after="0" w:line="176"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Right-of-use (“ROU”) assets represent the Company’s right to use an underlying asset for the lease term and lease liabilities represent the Company’s obligation to make lease payments arising from the lease. Operating lease ROU assets and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lease liabilities are measured and recognized at the lease commencement date based on the present value of the remaining lease payments over the lease term. As the Company’s leases do not generally provide an implicit rate, the Company uses its incremental borrowing rate based on the information available on the commencement date to determine the present value of lease payments. The Company’s lease agreements may have lease and non-lease components, which the Company accounts for as a single lease component. When estimating the lease term, the Company includes options to extend or terminate the lease when it is reasonably certain such options will be exercised. Operating lease costs are recognized in operating expenses in the accompanying consolidated statements of operations on a straight-line basis over the lease term and variable payments are recognized in the period they are incurred. The Company’s lease agreements do not contain any residual value guarantees. Leases with an initial term of 12 months or less are not recorded on the balance sheet.</w:t>
      </w:r>
    </w:p>
    <w:p>
      <w:pPr>
        <w:spacing w:after="0" w:line="174" w:lineRule="exact"/>
        <w:rPr>
          <w:sz w:val="20"/>
          <w:szCs w:val="20"/>
          <w:color w:val="auto"/>
        </w:rPr>
      </w:pPr>
    </w:p>
    <w:p>
      <w:pPr>
        <w:ind w:right="740" w:firstLine="480"/>
        <w:spacing w:after="0" w:line="277" w:lineRule="auto"/>
        <w:rPr>
          <w:sz w:val="20"/>
          <w:szCs w:val="20"/>
          <w:color w:val="auto"/>
        </w:rPr>
      </w:pPr>
      <w:r>
        <w:rPr>
          <w:rFonts w:ascii="Times New Roman" w:cs="Times New Roman" w:eastAsia="Times New Roman" w:hAnsi="Times New Roman"/>
          <w:sz w:val="18"/>
          <w:szCs w:val="18"/>
          <w:color w:val="auto"/>
        </w:rPr>
        <w:t>Within the consolidated statements of cash flows, the Company presents the lease payments made on the operating leases as cash flows from operations and principal payments made on the finance leases as part of financing activities.</w:t>
      </w:r>
    </w:p>
    <w:p>
      <w:pPr>
        <w:spacing w:after="0" w:line="159" w:lineRule="exact"/>
        <w:rPr>
          <w:sz w:val="20"/>
          <w:szCs w:val="20"/>
          <w:color w:val="auto"/>
        </w:rPr>
      </w:pPr>
    </w:p>
    <w:p>
      <w:pPr>
        <w:ind w:left="1280" w:hanging="793"/>
        <w:spacing w:after="0"/>
        <w:tabs>
          <w:tab w:leader="none" w:pos="128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4" w:lineRule="exact"/>
        <w:rPr>
          <w:sz w:val="20"/>
          <w:szCs w:val="20"/>
          <w:color w:val="auto"/>
        </w:rPr>
      </w:pPr>
    </w:p>
    <w:p>
      <w:pPr>
        <w:ind w:right="180" w:firstLine="480"/>
        <w:spacing w:after="0" w:line="252" w:lineRule="auto"/>
        <w:rPr>
          <w:sz w:val="20"/>
          <w:szCs w:val="20"/>
          <w:color w:val="auto"/>
        </w:rPr>
      </w:pPr>
      <w:r>
        <w:rPr>
          <w:rFonts w:ascii="Times New Roman" w:cs="Times New Roman" w:eastAsia="Times New Roman" w:hAnsi="Times New Roman"/>
          <w:sz w:val="18"/>
          <w:szCs w:val="18"/>
          <w:color w:val="auto"/>
        </w:rPr>
        <w:t>Equity investment holdings in which the Company does not have a controlling financial interest but can exercise significant influence over the investee are accounted for under the equity method. Equity method investments are originally recorded at cost and are increased or reduced in subsequent periods to reflect the Company’s proportionate share of the investee’s net earnings or losses and other comprehensive income or losses, as those occur. The Company records the investee losses on a three-month lag and up to the carrying amount of the investment. Investments are also increased or decreased by contributions made to and distributions received from the investee, basis difference amortization and other-than-temporary impairments, if any. All costs directly associated with the acquisition of the investment are included in the carrying amount of the investment. Profits or losses related to intra-entity sales are eliminated until realized by the Company or the investee.</w:t>
      </w:r>
    </w:p>
    <w:p>
      <w:pPr>
        <w:spacing w:after="0" w:line="187"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The Company determines the difference between its purchase price and its proportionate share of the net assets of the investee, which results in an excess basis in the investment. This excess basis is allocated to the identifiable assets and liabilities of the investee utilizing purchase accounting principles and is used to calculate the amortization of basis differences every reporting period. Basis differences related to intangible assets with determinable economic lives and liabilities are generally amortized on a straight-line basis over the useful lives of the associated assets and the expected term for the liabilities. Basis differences related to intangible assets without determinable economic lives are not amortized.</w:t>
      </w:r>
    </w:p>
    <w:p>
      <w:pPr>
        <w:spacing w:after="0" w:line="186"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Equity method goodwill is not amortized or tested for impairment. Instead, the Company evaluates its equity method investments for impairment whenever events or changes in circumstance indicate that the carrying amounts of such investments may be in excess of their fair value. When such indicators exist, the other-than-temporary impairment model is utilized, which considers the severity and duration of a decline in fair value below book value and the Company’s ability and intent to hold the investment for a sufficient period of time to allow for recovery. If a decline in the value of an equity method investment is determined to be other than temporary, a loss is recorded in the period of such determination.</w:t>
      </w:r>
    </w:p>
    <w:p>
      <w:pPr>
        <w:spacing w:after="0" w:line="182" w:lineRule="exact"/>
        <w:rPr>
          <w:sz w:val="20"/>
          <w:szCs w:val="20"/>
          <w:color w:val="auto"/>
        </w:rPr>
      </w:pPr>
    </w:p>
    <w:p>
      <w:pPr>
        <w:ind w:left="1280" w:hanging="793"/>
        <w:spacing w:after="0"/>
        <w:tabs>
          <w:tab w:leader="none" w:pos="128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222" w:lineRule="exact"/>
        <w:rPr>
          <w:sz w:val="20"/>
          <w:szCs w:val="20"/>
          <w:color w:val="auto"/>
        </w:rPr>
      </w:pPr>
    </w:p>
    <w:p>
      <w:pPr>
        <w:ind w:right="40" w:firstLine="480"/>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its operating and reportable segments in accordance with Accounting Standards Codification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which requires financial information to be reported based on how the chief operating decision maker (“CODM”), who is the Company's Chief Executive Officer (“CEO”), reviews and manages the business, and establishes criteria for aggregating operating segments into reportable segments. The Company operates in and reports its results in two reportable segments.</w:t>
      </w:r>
    </w:p>
    <w:p>
      <w:pPr>
        <w:spacing w:after="0" w:line="175" w:lineRule="exact"/>
        <w:rPr>
          <w:sz w:val="20"/>
          <w:szCs w:val="20"/>
          <w:color w:val="auto"/>
        </w:rPr>
      </w:pPr>
    </w:p>
    <w:p>
      <w:pPr>
        <w:ind w:left="1280" w:hanging="793"/>
        <w:spacing w:after="0"/>
        <w:tabs>
          <w:tab w:leader="none" w:pos="128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4"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The Company records identifiable assets acquired and liabilities assumed at their acquisition date fair values. Goodwill is measured as the excess of the consideration transferred over the fair value of the net assets acquired on the acquisition date. While the Company uses its best estimates and assumptions as part of the purchase price allocation process to accurately value assets acquired and liabilities assumed, these estimates are inherently uncertain and subject to refinement. The authoritative guidance allows a measurement period of up to one year from the date of acquisition to make adjustments to the preliminary allocation of the purchase price. As a result, during the measurement period the Company may record adjustments to the fair values of assets acquired and liabilities assumed, with the corresponding offset to goodwill to the extent that it identifies adjustments to the preliminary purchase price allocation. Upon conclusion of the measurement period or final determination of the values of the assets acquired and liabilities assumed, whichever comes first, any subsequent adjustments are recorded in the consolidated statements of operations.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hanging="793"/>
        <w:spacing w:after="0"/>
        <w:tabs>
          <w:tab w:leader="none" w:pos="128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224"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w:t>
      </w:r>
    </w:p>
    <w:p>
      <w:pPr>
        <w:spacing w:after="0" w:line="176"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Goodwill is allocated within the operating segments of the Company to the reporting units. Prior to 2023, the Company had one reporting unit. During 2023, as a result of restructuring activities, the Company shifted to a multiple reporting unit structure. The Company reassigned its assets and liabilities to the reporting units based on which reporting units’ operations the assets and liabilities were employed in or were related to. Goodwill was reassigned using a relative fair value allocation approach.</w:t>
      </w:r>
    </w:p>
    <w:p>
      <w:pPr>
        <w:spacing w:after="0" w:line="181" w:lineRule="exact"/>
        <w:rPr>
          <w:sz w:val="20"/>
          <w:szCs w:val="20"/>
          <w:color w:val="auto"/>
        </w:rPr>
      </w:pPr>
    </w:p>
    <w:p>
      <w:pPr>
        <w:ind w:right="160" w:firstLine="480"/>
        <w:spacing w:after="0" w:line="251" w:lineRule="auto"/>
        <w:rPr>
          <w:sz w:val="20"/>
          <w:szCs w:val="20"/>
          <w:color w:val="auto"/>
        </w:rPr>
      </w:pPr>
      <w:r>
        <w:rPr>
          <w:rFonts w:ascii="Times New Roman" w:cs="Times New Roman" w:eastAsia="Times New Roman" w:hAnsi="Times New Roman"/>
          <w:sz w:val="18"/>
          <w:szCs w:val="18"/>
          <w:color w:val="auto"/>
        </w:rPr>
        <w:t>The Company historically evaluated goodwill for impairment annually as of November 30 or when an indicator of impairment existed. During the year ended December 31, 2024, the Company voluntarily changed the date of the annual goodwill impairment assessment for all of its reporting units from November 30 to October 1 and, therefore, evaluated goodwill for impairment on October 1, 2024. This voluntary change in the annual goodwill assessment date is a change in accounting principle, which the Company believes is preferable as it provides the Company additional time to complete the annual assessment in advance of its year-end reporting, especially in periods when complex fair value measurement is required. This change in the annual assessment date does not delay, accelerate or avoid an impairment charge. This change was not applied retrospectively as it was impracticable to do so because retrospective application would require application of significant estimates and assumptions with the use of hindsight. Accordingly, the change has been applied prospectively. This change in the assessment date is not a material change to the Company’s financial statements. The Company has internal controls in place to identify any triggering events subsequent to this assessment date.</w:t>
      </w:r>
    </w:p>
    <w:p>
      <w:pPr>
        <w:spacing w:after="0" w:line="183" w:lineRule="exact"/>
        <w:rPr>
          <w:sz w:val="20"/>
          <w:szCs w:val="20"/>
          <w:color w:val="auto"/>
        </w:rPr>
      </w:pPr>
    </w:p>
    <w:p>
      <w:pPr>
        <w:ind w:left="1280" w:hanging="793"/>
        <w:spacing w:after="0"/>
        <w:tabs>
          <w:tab w:leader="none" w:pos="128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224"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Intangible assets recorded by the Company include the fair values of identifiable intangible assets acquired in business combinations and costs directly associated with securing legal registration of patents and trademarks and acquiring domain names.</w:t>
      </w:r>
    </w:p>
    <w:p>
      <w:pPr>
        <w:spacing w:after="0" w:line="163"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Intangible assets with determinable economic lives are carried at cost, less accumulated amortization. Amortization is computed over the estimated useful life of each asset on a straight-line basis. The Company determines the useful lives of identifiable intangible assets after considering the specific facts and circumstances related to each intangible asset. Factors the Company considers when determining useful lives include the contractual term of any agreement related to the asset, the historical performance of the asset, the Company's long-term strategy for using the asset, any laws or other local regulations which could impact the useful life of the asset and other economic factors, including competition and specific market conditions. Intangible assets without determinable economic lives are carried at cost, not amortized and reviewed for impairment at least annually.</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useful lives of the intangible assets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4 - 7 years</w:t>
            </w: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4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6 - 10 years</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years</w:t>
            </w: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4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years</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years</w:t>
            </w: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4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Indefinite</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Indefinite</w:t>
            </w: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Domain names</w:t>
            </w:r>
          </w:p>
        </w:tc>
        <w:tc>
          <w:tcPr>
            <w:tcW w:w="4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Indefinite</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hanging="793"/>
        <w:spacing w:after="0"/>
        <w:tabs>
          <w:tab w:leader="none" w:pos="1280" w:val="left"/>
        </w:tabs>
        <w:numPr>
          <w:ilvl w:val="0"/>
          <w:numId w:val="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4"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equipment and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 impairment loss would be equal to the amount the carrying value exceeds the fair value. The impairment is allocated to the long-lived assets within the asset group on a pro-rata basis using the relative carrying amounts of the assets. Carrying amounts of individual long-lived assets are not reduced below their respective fair values.</w:t>
      </w:r>
    </w:p>
    <w:p>
      <w:pPr>
        <w:spacing w:after="0" w:line="185" w:lineRule="exact"/>
        <w:rPr>
          <w:sz w:val="20"/>
          <w:szCs w:val="20"/>
          <w:color w:val="auto"/>
        </w:rPr>
      </w:pPr>
    </w:p>
    <w:p>
      <w:pPr>
        <w:jc w:val="both"/>
        <w:ind w:right="220" w:firstLine="480"/>
        <w:spacing w:after="0" w:line="262" w:lineRule="auto"/>
        <w:rPr>
          <w:sz w:val="20"/>
          <w:szCs w:val="20"/>
          <w:color w:val="auto"/>
        </w:rPr>
      </w:pPr>
      <w:r>
        <w:rPr>
          <w:rFonts w:ascii="Times New Roman" w:cs="Times New Roman" w:eastAsia="Times New Roman" w:hAnsi="Times New Roman"/>
          <w:sz w:val="18"/>
          <w:szCs w:val="18"/>
          <w:color w:val="auto"/>
        </w:rPr>
        <w:t>In the valuation of an asset or an asset group, management must make assumptions regarding estimated future revenue and cash flows to be derived from the respective asset or asset group, discount rates used and other assumptions. If these estimates or their related assumptions change in the future, the Company may be required to record impairment of these assets.</w:t>
      </w:r>
    </w:p>
    <w:p>
      <w:pPr>
        <w:spacing w:after="0" w:line="172"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(ab)</w:t>
      </w:r>
      <w:r>
        <w:rPr>
          <w:sz w:val="20"/>
          <w:szCs w:val="20"/>
          <w:color w:val="auto"/>
        </w:rPr>
        <w:tab/>
      </w:r>
      <w:r>
        <w:rPr>
          <w:rFonts w:ascii="Times New Roman" w:cs="Times New Roman" w:eastAsia="Times New Roman" w:hAnsi="Times New Roman"/>
          <w:sz w:val="18"/>
          <w:szCs w:val="18"/>
          <w:b w:val="1"/>
          <w:bCs w:val="1"/>
          <w:i w:val="1"/>
          <w:iCs w:val="1"/>
          <w:color w:val="auto"/>
        </w:rPr>
        <w:t>Derivatives and Hedging</w:t>
      </w:r>
    </w:p>
    <w:p>
      <w:pPr>
        <w:spacing w:after="0" w:line="224" w:lineRule="exact"/>
        <w:rPr>
          <w:sz w:val="20"/>
          <w:szCs w:val="20"/>
          <w:color w:val="auto"/>
        </w:rPr>
      </w:pPr>
    </w:p>
    <w:p>
      <w:pPr>
        <w:jc w:val="both"/>
        <w:ind w:right="40" w:firstLine="480"/>
        <w:spacing w:after="0" w:line="254" w:lineRule="auto"/>
        <w:rPr>
          <w:sz w:val="20"/>
          <w:szCs w:val="20"/>
          <w:color w:val="auto"/>
        </w:rPr>
      </w:pPr>
      <w:r>
        <w:rPr>
          <w:rFonts w:ascii="Times New Roman" w:cs="Times New Roman" w:eastAsia="Times New Roman" w:hAnsi="Times New Roman"/>
          <w:sz w:val="18"/>
          <w:szCs w:val="18"/>
          <w:color w:val="auto"/>
        </w:rPr>
        <w:t>The Company is exposed to a wide variety of risks arising from its business operations and overall economic conditions. These risks include exposure to fluctuations in various foreign currencies against its functional currency and can impact the value of cash receipts and payments. The Company minimizes its exposure to these risks through management of its core business activities, specifically, the amounts, sources and duration of its assets and liabilities, and the use of derivative financial instruments. The Company uses foreign currency derivative forward contracts, and in the future may also use foreign currency option contacts.</w:t>
      </w:r>
    </w:p>
    <w:p>
      <w:pPr>
        <w:spacing w:after="0" w:line="186"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Foreign currency derivative forward contracts involve fixing the exchange rate for delivery of a specified amount of foreign currency on a specified date. These agreements are typically cash settled in U.S. dollars for their fair value at or close to their settlement date. Foreign currency option contracts will require the Company to pay a premium for the right to sell a specified amount of foreign currency prior to the maturity date of the option. The Company does not enter into derivative financial instruments trading for speculative purposes.</w:t>
      </w:r>
    </w:p>
    <w:p>
      <w:pPr>
        <w:spacing w:after="0" w:line="181"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Derivative instruments are carried at fair value and recorded as either an asset or a liability until they mature. Gains and losses resulting from changes in fair value of these instruments are accounted for depending on the use of the derivative and whether it is designated and qualifies for hedge accounting. For derivative instruments designated as cash flow hedges, gains or losses are initially recorded in accumulated other comprehensive income (loss) on the balance sheet, then reclassified into the statement of operations in the period in which the derivative instruments mature. These realized gains and losses are recorded within the same financial statement line item as the hedged transaction.</w:t>
      </w:r>
    </w:p>
    <w:p>
      <w:pPr>
        <w:spacing w:after="0" w:line="186"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Company’s foreign currency derivative contracts are classified within Level 2 of the fair value hierarchy because the valuation inputs are based on quoted prices and market observable data of similar instruments in active markets, such as currency spot and forward rates.</w:t>
      </w:r>
    </w:p>
    <w:p>
      <w:pPr>
        <w:spacing w:after="0" w:line="159"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(ac)</w:t>
      </w:r>
      <w:r>
        <w:rPr>
          <w:sz w:val="20"/>
          <w:szCs w:val="20"/>
          <w:color w:val="auto"/>
        </w:rPr>
        <w:tab/>
      </w:r>
      <w:r>
        <w:rPr>
          <w:rFonts w:ascii="Times New Roman" w:cs="Times New Roman" w:eastAsia="Times New Roman" w:hAnsi="Times New Roman"/>
          <w:sz w:val="18"/>
          <w:szCs w:val="18"/>
          <w:b w:val="1"/>
          <w:bCs w:val="1"/>
          <w:i w:val="1"/>
          <w:iCs w:val="1"/>
          <w:color w:val="auto"/>
        </w:rPr>
        <w:t>Share Repurchases</w:t>
      </w:r>
    </w:p>
    <w:p>
      <w:pPr>
        <w:spacing w:after="0" w:line="224" w:lineRule="exact"/>
        <w:rPr>
          <w:sz w:val="20"/>
          <w:szCs w:val="20"/>
          <w:color w:val="auto"/>
        </w:rPr>
      </w:pPr>
    </w:p>
    <w:p>
      <w:pPr>
        <w:ind w:right="360" w:firstLine="480"/>
        <w:spacing w:after="0" w:line="262" w:lineRule="auto"/>
        <w:rPr>
          <w:sz w:val="20"/>
          <w:szCs w:val="20"/>
          <w:color w:val="auto"/>
        </w:rPr>
      </w:pPr>
      <w:r>
        <w:rPr>
          <w:rFonts w:ascii="Times New Roman" w:cs="Times New Roman" w:eastAsia="Times New Roman" w:hAnsi="Times New Roman"/>
          <w:sz w:val="18"/>
          <w:szCs w:val="18"/>
          <w:color w:val="auto"/>
        </w:rPr>
        <w:t>The Company elected to record the excess of the repurchase price over the par value of the repurchased shares of its Class A common stock in accumulated deficit, along with the associated transaction costs and excise taxes. Immediately upon repurchase, the shares are retired and returned to the status of unauthorized and unissued.</w:t>
      </w:r>
    </w:p>
    <w:p>
      <w:pPr>
        <w:spacing w:after="0" w:line="172"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(ad)</w:t>
      </w:r>
      <w:r>
        <w:rPr>
          <w:sz w:val="20"/>
          <w:szCs w:val="20"/>
          <w:color w:val="auto"/>
        </w:rPr>
        <w:tab/>
      </w:r>
      <w:r>
        <w:rPr>
          <w:rFonts w:ascii="Times New Roman" w:cs="Times New Roman" w:eastAsia="Times New Roman" w:hAnsi="Times New Roman"/>
          <w:sz w:val="18"/>
          <w:szCs w:val="18"/>
          <w:b w:val="1"/>
          <w:bCs w:val="1"/>
          <w:i w:val="1"/>
          <w:iCs w:val="1"/>
          <w:color w:val="auto"/>
        </w:rPr>
        <w:t>Fair Value of Financial Instruments</w:t>
      </w:r>
    </w:p>
    <w:p>
      <w:pPr>
        <w:spacing w:after="0" w:line="224"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1" w:lineRule="exact"/>
        <w:rPr>
          <w:sz w:val="20"/>
          <w:szCs w:val="20"/>
          <w:color w:val="auto"/>
        </w:rPr>
      </w:pPr>
    </w:p>
    <w:p>
      <w:pPr>
        <w:ind w:left="960" w:right="20" w:hanging="313"/>
        <w:spacing w:after="0" w:line="277" w:lineRule="auto"/>
        <w:tabs>
          <w:tab w:leader="none" w:pos="9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right="100" w:hanging="313"/>
        <w:spacing w:after="0" w:line="277" w:lineRule="auto"/>
        <w:tabs>
          <w:tab w:leader="none" w:pos="9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2" w:lineRule="exact"/>
        <w:rPr>
          <w:rFonts w:ascii="Times New Roman" w:cs="Times New Roman" w:eastAsia="Times New Roman" w:hAnsi="Times New Roman"/>
          <w:sz w:val="18"/>
          <w:szCs w:val="18"/>
          <w:color w:val="auto"/>
        </w:rPr>
      </w:pPr>
    </w:p>
    <w:p>
      <w:pPr>
        <w:ind w:left="960" w:right="260" w:hanging="313"/>
        <w:spacing w:after="0" w:line="277" w:lineRule="auto"/>
        <w:tabs>
          <w:tab w:leader="none" w:pos="9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63" w:lineRule="exact"/>
        <w:rPr>
          <w:sz w:val="20"/>
          <w:szCs w:val="20"/>
          <w:color w:val="auto"/>
        </w:rPr>
      </w:pPr>
    </w:p>
    <w:p>
      <w:pPr>
        <w:ind w:right="560" w:firstLine="480"/>
        <w:spacing w:after="0" w:line="277"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w:t>
      </w:r>
    </w:p>
    <w:p>
      <w:pPr>
        <w:spacing w:after="0" w:line="163"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instruments measured at fair value on a recurring basis. The Company's financial instruments, which include cash, restricted cash, cash equivalents, accounts receivable and accounts payable are recorded at their carrying amounts, which approximate their fair values due to their short-term nature. Marketable securities consist of U.S. treasury securities, non-U.S. government securities, high credit quality corporate debt securities and commercial paper. All marketable securities are considered to be available-for-sale and recorded at their estimated fair values. Unrealized gains and losses for available-for-sale securities are recorded in other comprehensive loss. In valuing these items, the Company uses inputs and assumptions that market participants would use to determine their fair value, utilizing valuation techniques that maximize the use of observable inputs and minimize the use of unobservable inputs.</w:t>
      </w:r>
    </w:p>
    <w:p>
      <w:pPr>
        <w:spacing w:after="0" w:line="187"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The fair values of the senior notes due 2029 and 2031 (“2029 Notes” and “2031 Notes,” respectively) are determined based on their respective closing prices on the last trading day of the reporting period. These financial liabilities are not measured at fair value on a recurring basis.</w:t>
      </w:r>
    </w:p>
    <w:p>
      <w:pPr>
        <w:spacing w:after="0" w:line="163" w:lineRule="exact"/>
        <w:rPr>
          <w:sz w:val="20"/>
          <w:szCs w:val="20"/>
          <w:color w:val="auto"/>
        </w:rPr>
      </w:pPr>
    </w:p>
    <w:p>
      <w:pPr>
        <w:jc w:val="both"/>
        <w:ind w:right="520" w:firstLine="480"/>
        <w:spacing w:after="0" w:line="262" w:lineRule="auto"/>
        <w:rPr>
          <w:sz w:val="20"/>
          <w:szCs w:val="20"/>
          <w:color w:val="auto"/>
        </w:rPr>
      </w:pPr>
      <w:r>
        <w:rPr>
          <w:rFonts w:ascii="Times New Roman" w:cs="Times New Roman" w:eastAsia="Times New Roman" w:hAnsi="Times New Roman"/>
          <w:sz w:val="18"/>
          <w:szCs w:val="18"/>
          <w:color w:val="auto"/>
        </w:rPr>
        <w:t>The carrying value of the strategic investments, which consist of restricted equity securities of a publicly held company and equity securities of privately held companies, is determined under the measurement alternative on a non-recurring basis adjusting for observable changes in fair value or impairment. The Company does not have a controlling interest nor can it exercise significant influence over any of these entities.</w:t>
      </w:r>
    </w:p>
    <w:p>
      <w:pPr>
        <w:spacing w:after="0" w:line="176" w:lineRule="exact"/>
        <w:rPr>
          <w:sz w:val="20"/>
          <w:szCs w:val="20"/>
          <w:color w:val="auto"/>
        </w:rPr>
      </w:pPr>
    </w:p>
    <w:p>
      <w:pPr>
        <w:ind w:right="240" w:firstLine="480"/>
        <w:spacing w:after="0" w:line="277" w:lineRule="auto"/>
        <w:rPr>
          <w:sz w:val="20"/>
          <w:szCs w:val="20"/>
          <w:color w:val="auto"/>
        </w:rPr>
      </w:pPr>
      <w:r>
        <w:rPr>
          <w:rFonts w:ascii="Times New Roman" w:cs="Times New Roman" w:eastAsia="Times New Roman" w:hAnsi="Times New Roman"/>
          <w:sz w:val="18"/>
          <w:szCs w:val="18"/>
          <w:color w:val="auto"/>
        </w:rPr>
        <w:t>The Company regularly reviews changes to the rating of its debt securities by rating agencies and monitors the surrounding economic conditions to assess the risk of expected credit losses. As of December 31, 2024, the risk of expected credit losses was not significant.</w:t>
      </w:r>
    </w:p>
    <w:p>
      <w:pPr>
        <w:spacing w:after="0" w:line="163"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Impairments are considered to be other than temporary if they are related to deterioration in credit risk or if it is likely that the security will be sold before the recovery of its cost basis. Realized gains and losses and declines in value deemed to be other than temporary are determined based on the specific identification method and are reported in other (income) expenses, net.</w:t>
      </w:r>
    </w:p>
    <w:p>
      <w:pPr>
        <w:spacing w:after="0" w:line="172"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(ae)</w:t>
      </w:r>
      <w:r>
        <w:rPr>
          <w:sz w:val="20"/>
          <w:szCs w:val="20"/>
          <w:color w:val="auto"/>
        </w:rPr>
        <w:tab/>
      </w:r>
      <w:r>
        <w:rPr>
          <w:rFonts w:ascii="Times New Roman" w:cs="Times New Roman" w:eastAsia="Times New Roman" w:hAnsi="Times New Roman"/>
          <w:sz w:val="18"/>
          <w:szCs w:val="18"/>
          <w:b w:val="1"/>
          <w:bCs w:val="1"/>
          <w:i w:val="1"/>
          <w:iCs w:val="1"/>
          <w:color w:val="auto"/>
        </w:rPr>
        <w:t>Recently Adopted Accounting Guidance</w:t>
      </w:r>
    </w:p>
    <w:p>
      <w:pPr>
        <w:spacing w:after="0" w:line="222"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No.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is intended to improve reportable segment disclosures. The ASU expands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disclosures by requiring disclosure of significant segment expenses that are regularly provided to the Chief Operating Decision Maker (“CODM”) and included within each reported measure of segment profit or loss. It also requires disclosure of the amount and description of the composition of other segment items and interim disclosures of a reportable segment's profit or loss and assets. ASU 2023-07 is effective for fiscal years beginning after December 15, 2023, and interim periods within fiscal years beginning after December 15, 2024, with retrospective application required. Early adoption is permitted. The Company adopted ASU 2023-07 in the fourth quarter of 2024. The adoption required certain additional disclosure that the Company made in Note 8 to these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(af)</w:t>
      </w:r>
      <w:r>
        <w:rPr>
          <w:sz w:val="20"/>
          <w:szCs w:val="20"/>
          <w:color w:val="auto"/>
        </w:rPr>
        <w:tab/>
      </w:r>
      <w:r>
        <w:rPr>
          <w:rFonts w:ascii="Times New Roman" w:cs="Times New Roman" w:eastAsia="Times New Roman" w:hAnsi="Times New Roman"/>
          <w:sz w:val="18"/>
          <w:szCs w:val="18"/>
          <w:b w:val="1"/>
          <w:bCs w:val="1"/>
          <w:i w:val="1"/>
          <w:iCs w:val="1"/>
          <w:color w:val="auto"/>
        </w:rPr>
        <w:t>Recently Issued Accounting Guidance, Not yet Adopted</w:t>
      </w:r>
    </w:p>
    <w:p>
      <w:pPr>
        <w:spacing w:after="0" w:line="222"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disclosure of disaggregated income taxes paid, prescribes standard categories for the components of the effective tax rate reconciliation and modifies other income tax related disclosures. ASU 2023-09 is effective for annual periods beginning after December 15, 2024, and may be applied on a prospective basis. Early adoption is permitted. The Company expects to adopt ASU 2023-09 upon its effective date. The adoption will require certain additional disclosure in the notes to the Company’s consolidated financial statements.</w:t>
      </w:r>
    </w:p>
    <w:p>
      <w:pPr>
        <w:spacing w:after="0" w:line="18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which requires the disaggregation of certain expenses in the notes of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to provide enhanced transparency into the expense captions presented on the face of the statements of operations. ASU 2024-03 is effective for annual reporting periods beginning after December 15, 2026, and interim periods beginning after December 15, 2027, and may be applied either prospectively or retrospectively. The adoption will require certain additional disclosure in the notes to the Company’s consolidated financial statements.</w:t>
      </w:r>
    </w:p>
    <w:p>
      <w:pPr>
        <w:spacing w:after="0" w:line="179" w:lineRule="exact"/>
        <w:rPr>
          <w:sz w:val="20"/>
          <w:szCs w:val="20"/>
          <w:color w:val="auto"/>
        </w:rPr>
      </w:pPr>
    </w:p>
    <w:p>
      <w:pPr>
        <w:ind w:left="480" w:right="9100" w:hanging="473"/>
        <w:spacing w:after="0" w:line="526" w:lineRule="auto"/>
        <w:tabs>
          <w:tab w:leader="none" w:pos="178"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i w:val="1"/>
          <w:iCs w:val="1"/>
          <w:color w:val="auto"/>
        </w:rPr>
        <w:t>Financial Assets</w:t>
      </w:r>
    </w:p>
    <w:p>
      <w:pPr>
        <w:spacing w:after="0" w:line="1"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tables provide the financial assets measured at fair value on a recurring basis: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00" w:type="dxa"/>
            <w:vAlign w:val="bottom"/>
          </w:tcPr>
          <w:p>
            <w:pPr>
              <w:spacing w:after="0"/>
              <w:rPr>
                <w:sz w:val="12"/>
                <w:szCs w:val="12"/>
                <w:color w:val="auto"/>
              </w:rPr>
            </w:pPr>
          </w:p>
        </w:tc>
        <w:tc>
          <w:tcPr>
            <w:tcW w:w="2160" w:type="dxa"/>
            <w:vAlign w:val="bottom"/>
            <w:gridSpan w:val="6"/>
            <w:vMerge w:val="restart"/>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rPr>
              <w:t>Fair Value Hierarchy as of</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100" w:type="dxa"/>
            <w:vAlign w:val="bottom"/>
          </w:tcPr>
          <w:p>
            <w:pPr>
              <w:spacing w:after="0"/>
              <w:rPr>
                <w:sz w:val="4"/>
                <w:szCs w:val="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200" w:type="dxa"/>
            <w:vAlign w:val="bottom"/>
          </w:tcPr>
          <w:p>
            <w:pPr>
              <w:spacing w:after="0"/>
              <w:rPr>
                <w:sz w:val="4"/>
                <w:szCs w:val="4"/>
                <w:color w:val="auto"/>
              </w:rPr>
            </w:pPr>
          </w:p>
        </w:tc>
        <w:tc>
          <w:tcPr>
            <w:tcW w:w="2160" w:type="dxa"/>
            <w:vAlign w:val="bottom"/>
            <w:gridSpan w:val="6"/>
            <w:vMerge w:val="continue"/>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gridSpan w:val="4"/>
          </w:tcPr>
          <w:p>
            <w:pPr>
              <w:jc w:val="center"/>
              <w:ind w:right="20"/>
              <w:spacing w:after="0" w:line="120" w:lineRule="exact"/>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tcPr>
          <w:p>
            <w:pPr>
              <w:jc w:val="center"/>
              <w:ind w:right="240"/>
              <w:spacing w:after="0" w:line="60" w:lineRule="exact"/>
              <w:rPr>
                <w:sz w:val="20"/>
                <w:szCs w:val="20"/>
                <w:color w:val="auto"/>
              </w:rPr>
            </w:pPr>
            <w:r>
              <w:rPr>
                <w:rFonts w:ascii="Times New Roman" w:cs="Times New Roman" w:eastAsia="Times New Roman" w:hAnsi="Times New Roman"/>
                <w:sz w:val="6"/>
                <w:szCs w:val="6"/>
                <w:b w:val="1"/>
                <w:bCs w:val="1"/>
                <w:color w:val="auto"/>
              </w:rPr>
              <w:t>Cost or</w:t>
            </w:r>
          </w:p>
        </w:tc>
        <w:tc>
          <w:tcPr>
            <w:tcW w:w="160" w:type="dxa"/>
            <w:vAlign w:val="bottom"/>
          </w:tcPr>
          <w:p>
            <w:pPr>
              <w:spacing w:after="0"/>
              <w:rPr>
                <w:sz w:val="5"/>
                <w:szCs w:val="5"/>
                <w:color w:val="auto"/>
              </w:rPr>
            </w:pPr>
          </w:p>
        </w:tc>
        <w:tc>
          <w:tcPr>
            <w:tcW w:w="940" w:type="dxa"/>
            <w:vAlign w:val="bottom"/>
            <w:gridSpan w:val="2"/>
          </w:tcPr>
          <w:p>
            <w:pPr>
              <w:jc w:val="center"/>
              <w:ind w:right="260"/>
              <w:spacing w:after="0" w:line="60" w:lineRule="exact"/>
              <w:rPr>
                <w:sz w:val="20"/>
                <w:szCs w:val="20"/>
                <w:color w:val="auto"/>
              </w:rPr>
            </w:pPr>
            <w:r>
              <w:rPr>
                <w:rFonts w:ascii="Times New Roman" w:cs="Times New Roman" w:eastAsia="Times New Roman" w:hAnsi="Times New Roman"/>
                <w:sz w:val="6"/>
                <w:szCs w:val="6"/>
                <w:b w:val="1"/>
                <w:bCs w:val="1"/>
                <w:color w:val="auto"/>
              </w:rPr>
              <w:t>Gross</w:t>
            </w:r>
          </w:p>
        </w:tc>
        <w:tc>
          <w:tcPr>
            <w:tcW w:w="140" w:type="dxa"/>
            <w:vAlign w:val="bottom"/>
          </w:tcPr>
          <w:p>
            <w:pPr>
              <w:spacing w:after="0"/>
              <w:rPr>
                <w:sz w:val="5"/>
                <w:szCs w:val="5"/>
                <w:color w:val="auto"/>
              </w:rPr>
            </w:pPr>
          </w:p>
        </w:tc>
        <w:tc>
          <w:tcPr>
            <w:tcW w:w="940" w:type="dxa"/>
            <w:vAlign w:val="bottom"/>
            <w:gridSpan w:val="2"/>
          </w:tcPr>
          <w:p>
            <w:pPr>
              <w:jc w:val="center"/>
              <w:ind w:right="280"/>
              <w:spacing w:after="0" w:line="60" w:lineRule="exact"/>
              <w:rPr>
                <w:sz w:val="20"/>
                <w:szCs w:val="20"/>
                <w:color w:val="auto"/>
              </w:rPr>
            </w:pPr>
            <w:r>
              <w:rPr>
                <w:rFonts w:ascii="Times New Roman" w:cs="Times New Roman" w:eastAsia="Times New Roman" w:hAnsi="Times New Roman"/>
                <w:sz w:val="6"/>
                <w:szCs w:val="6"/>
                <w:b w:val="1"/>
                <w:bCs w:val="1"/>
                <w:color w:val="auto"/>
              </w:rPr>
              <w:t>Unrealized</w:t>
            </w:r>
          </w:p>
        </w:tc>
        <w:tc>
          <w:tcPr>
            <w:tcW w:w="100" w:type="dxa"/>
            <w:vAlign w:val="bottom"/>
          </w:tcPr>
          <w:p>
            <w:pPr>
              <w:spacing w:after="0"/>
              <w:rPr>
                <w:sz w:val="5"/>
                <w:szCs w:val="5"/>
                <w:color w:val="auto"/>
              </w:rPr>
            </w:pPr>
          </w:p>
        </w:tc>
        <w:tc>
          <w:tcPr>
            <w:tcW w:w="940" w:type="dxa"/>
            <w:vAlign w:val="bottom"/>
            <w:gridSpan w:val="2"/>
          </w:tcPr>
          <w:p>
            <w:pPr>
              <w:jc w:val="center"/>
              <w:ind w:right="200"/>
              <w:spacing w:after="0" w:line="60" w:lineRule="exact"/>
              <w:rPr>
                <w:sz w:val="20"/>
                <w:szCs w:val="20"/>
                <w:color w:val="auto"/>
              </w:rPr>
            </w:pPr>
            <w:r>
              <w:rPr>
                <w:rFonts w:ascii="Times New Roman" w:cs="Times New Roman" w:eastAsia="Times New Roman" w:hAnsi="Times New Roman"/>
                <w:sz w:val="6"/>
                <w:szCs w:val="6"/>
                <w:b w:val="1"/>
                <w:bCs w:val="1"/>
                <w:color w:val="auto"/>
              </w:rPr>
              <w:t>Losses More</w:t>
            </w: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8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2"/>
                <w:szCs w:val="12"/>
                <w:b w:val="1"/>
                <w:bCs w:val="1"/>
                <w:color w:val="auto"/>
              </w:rPr>
              <w:t>Losses Less Than</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2"/>
                <w:szCs w:val="12"/>
                <w:b w:val="1"/>
                <w:bCs w:val="1"/>
                <w:color w:val="auto"/>
              </w:rPr>
              <w:t>Than</w:t>
            </w:r>
          </w:p>
        </w:tc>
        <w:tc>
          <w:tcPr>
            <w:tcW w:w="200" w:type="dxa"/>
            <w:vAlign w:val="bottom"/>
          </w:tcPr>
          <w:p>
            <w:pPr>
              <w:spacing w:after="0"/>
              <w:rPr>
                <w:sz w:val="11"/>
                <w:szCs w:val="11"/>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20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40" w:type="dxa"/>
            <w:vAlign w:val="bottom"/>
          </w:tcPr>
          <w:p>
            <w:pPr>
              <w:spacing w:after="0"/>
              <w:rPr>
                <w:sz w:val="11"/>
                <w:szCs w:val="11"/>
                <w:color w:val="auto"/>
              </w:rPr>
            </w:pPr>
          </w:p>
        </w:tc>
        <w:tc>
          <w:tcPr>
            <w:tcW w:w="840" w:type="dxa"/>
            <w:vAlign w:val="bottom"/>
          </w:tcPr>
          <w:p>
            <w:pPr>
              <w:jc w:val="right"/>
              <w:ind w:right="150"/>
              <w:spacing w:after="0" w:line="127" w:lineRule="exact"/>
              <w:rPr>
                <w:sz w:val="20"/>
                <w:szCs w:val="20"/>
                <w:color w:val="auto"/>
              </w:rPr>
            </w:pPr>
            <w:r>
              <w:rPr>
                <w:rFonts w:ascii="Times New Roman" w:cs="Times New Roman" w:eastAsia="Times New Roman" w:hAnsi="Times New Roman"/>
                <w:sz w:val="12"/>
                <w:szCs w:val="12"/>
                <w:b w:val="1"/>
                <w:bCs w:val="1"/>
                <w:color w:val="auto"/>
              </w:rPr>
              <w:t>Aggregate</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4"/>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207,323</w:t>
            </w:r>
          </w:p>
        </w:tc>
        <w:tc>
          <w:tcPr>
            <w:tcW w:w="3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207,323</w:t>
            </w:r>
          </w:p>
        </w:tc>
        <w:tc>
          <w:tcPr>
            <w:tcW w:w="0" w:type="dxa"/>
            <w:vAlign w:val="bottom"/>
          </w:tcPr>
          <w:p>
            <w:pPr>
              <w:spacing w:after="0"/>
              <w:rPr>
                <w:sz w:val="1"/>
                <w:szCs w:val="1"/>
                <w:color w:val="auto"/>
              </w:rPr>
            </w:pPr>
          </w:p>
        </w:tc>
      </w:tr>
      <w:tr>
        <w:trPr>
          <w:trHeight w:val="192"/>
        </w:trPr>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bills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0" w:type="dxa"/>
            <w:vAlign w:val="bottom"/>
          </w:tcPr>
          <w:p>
            <w:pPr>
              <w:spacing w:after="0"/>
              <w:rPr>
                <w:sz w:val="1"/>
                <w:szCs w:val="1"/>
                <w:color w:val="auto"/>
              </w:rPr>
            </w:pPr>
          </w:p>
        </w:tc>
      </w:tr>
      <w:tr>
        <w:trPr>
          <w:trHeight w:val="117"/>
        </w:trPr>
        <w:tc>
          <w:tcPr>
            <w:tcW w:w="2720" w:type="dxa"/>
            <w:vAlign w:val="bottom"/>
          </w:tcPr>
          <w:p>
            <w:pPr>
              <w:ind w:left="460"/>
              <w:spacing w:after="0" w:line="118" w:lineRule="exact"/>
              <w:rPr>
                <w:sz w:val="20"/>
                <w:szCs w:val="20"/>
                <w:color w:val="auto"/>
              </w:rPr>
            </w:pPr>
            <w:r>
              <w:rPr>
                <w:rFonts w:ascii="Times New Roman" w:cs="Times New Roman" w:eastAsia="Times New Roman" w:hAnsi="Times New Roman"/>
                <w:sz w:val="13"/>
                <w:szCs w:val="13"/>
                <w:color w:val="auto"/>
              </w:rPr>
              <w:t>Total included in cash</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225,130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210,071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225,130</w:t>
            </w:r>
          </w:p>
        </w:tc>
        <w:tc>
          <w:tcPr>
            <w:tcW w:w="0" w:type="dxa"/>
            <w:vAlign w:val="bottom"/>
          </w:tcPr>
          <w:p>
            <w:pPr>
              <w:spacing w:after="0"/>
              <w:rPr>
                <w:sz w:val="1"/>
                <w:szCs w:val="1"/>
                <w:color w:val="auto"/>
              </w:rPr>
            </w:pPr>
          </w:p>
        </w:tc>
      </w:tr>
      <w:tr>
        <w:trPr>
          <w:trHeight w:val="190"/>
        </w:trPr>
        <w:tc>
          <w:tcPr>
            <w:tcW w:w="27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and cash equivalents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securities: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380,738</w:t>
            </w:r>
          </w:p>
        </w:tc>
        <w:tc>
          <w:tcPr>
            <w:tcW w:w="0" w:type="dxa"/>
            <w:vAlign w:val="bottom"/>
          </w:tcPr>
          <w:p>
            <w:pPr>
              <w:spacing w:after="0"/>
              <w:rPr>
                <w:sz w:val="1"/>
                <w:szCs w:val="1"/>
                <w:color w:val="auto"/>
              </w:rPr>
            </w:pPr>
          </w:p>
        </w:tc>
      </w:tr>
      <w:tr>
        <w:trPr>
          <w:trHeight w:val="137"/>
        </w:trPr>
        <w:tc>
          <w:tcPr>
            <w:tcW w:w="2720" w:type="dxa"/>
            <w:vAlign w:val="bottom"/>
          </w:tcPr>
          <w:p>
            <w:pPr>
              <w:ind w:left="300"/>
              <w:spacing w:after="0" w:line="137" w:lineRule="exact"/>
              <w:rPr>
                <w:sz w:val="20"/>
                <w:szCs w:val="20"/>
                <w:color w:val="auto"/>
              </w:rPr>
            </w:pPr>
            <w:r>
              <w:rPr>
                <w:rFonts w:ascii="Times New Roman" w:cs="Times New Roman" w:eastAsia="Times New Roman" w:hAnsi="Times New Roman"/>
                <w:sz w:val="14"/>
                <w:szCs w:val="14"/>
                <w:color w:val="auto"/>
              </w:rPr>
              <w:t>Non-U.S. government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0" w:type="dxa"/>
            <w:vAlign w:val="bottom"/>
          </w:tcPr>
          <w:p>
            <w:pPr>
              <w:spacing w:after="0"/>
              <w:rPr>
                <w:sz w:val="1"/>
                <w:szCs w:val="1"/>
                <w:color w:val="auto"/>
              </w:rPr>
            </w:pPr>
          </w:p>
        </w:tc>
      </w:tr>
      <w:tr>
        <w:trPr>
          <w:trHeight w:val="190"/>
        </w:trPr>
        <w:tc>
          <w:tcPr>
            <w:tcW w:w="27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CEEFF"/>
          </w:tcPr>
          <w:p>
            <w:pPr>
              <w:ind w:left="300"/>
              <w:spacing w:after="0" w:line="143" w:lineRule="exact"/>
              <w:rPr>
                <w:sz w:val="20"/>
                <w:szCs w:val="20"/>
                <w:color w:val="auto"/>
              </w:rPr>
            </w:pPr>
            <w:r>
              <w:rPr>
                <w:rFonts w:ascii="Times New Roman" w:cs="Times New Roman" w:eastAsia="Times New Roman" w:hAnsi="Times New Roman"/>
                <w:sz w:val="14"/>
                <w:szCs w:val="14"/>
                <w:color w:val="auto"/>
              </w:rPr>
              <w:t>Corporate debt securities and</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1,571,944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1,559,318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1,576,208</w:t>
            </w:r>
          </w:p>
        </w:tc>
        <w:tc>
          <w:tcPr>
            <w:tcW w:w="0" w:type="dxa"/>
            <w:vAlign w:val="bottom"/>
          </w:tcPr>
          <w:p>
            <w:pPr>
              <w:spacing w:after="0"/>
              <w:rPr>
                <w:sz w:val="1"/>
                <w:szCs w:val="1"/>
                <w:color w:val="auto"/>
              </w:rPr>
            </w:pPr>
          </w:p>
        </w:tc>
      </w:tr>
      <w:tr>
        <w:trPr>
          <w:trHeight w:val="196"/>
        </w:trPr>
        <w:tc>
          <w:tcPr>
            <w:tcW w:w="2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Total debt securities</w:t>
            </w: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1,954,699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400,564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1,559,318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1,959,882</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0" w:type="dxa"/>
            <w:vAlign w:val="bottom"/>
          </w:tcPr>
          <w:p>
            <w:pPr>
              <w:spacing w:after="0"/>
              <w:rPr>
                <w:sz w:val="1"/>
                <w:szCs w:val="1"/>
                <w:color w:val="auto"/>
              </w:rPr>
            </w:pPr>
          </w:p>
        </w:tc>
      </w:tr>
      <w:tr>
        <w:trPr>
          <w:trHeight w:val="117"/>
        </w:trPr>
        <w:tc>
          <w:tcPr>
            <w:tcW w:w="2720" w:type="dxa"/>
            <w:vAlign w:val="bottom"/>
          </w:tcPr>
          <w:p>
            <w:pPr>
              <w:ind w:left="340"/>
              <w:spacing w:after="0" w:line="118" w:lineRule="exact"/>
              <w:rPr>
                <w:sz w:val="20"/>
                <w:szCs w:val="20"/>
                <w:color w:val="auto"/>
              </w:rPr>
            </w:pPr>
            <w:r>
              <w:rPr>
                <w:rFonts w:ascii="Times New Roman" w:cs="Times New Roman" w:eastAsia="Times New Roman" w:hAnsi="Times New Roman"/>
                <w:sz w:val="13"/>
                <w:szCs w:val="13"/>
                <w:color w:val="auto"/>
              </w:rPr>
              <w:t>Total marketable</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1,957,919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403,784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1,559,318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1,963,102</w:t>
            </w:r>
          </w:p>
        </w:tc>
        <w:tc>
          <w:tcPr>
            <w:tcW w:w="0" w:type="dxa"/>
            <w:vAlign w:val="bottom"/>
          </w:tcPr>
          <w:p>
            <w:pPr>
              <w:spacing w:after="0"/>
              <w:rPr>
                <w:sz w:val="1"/>
                <w:szCs w:val="1"/>
                <w:color w:val="auto"/>
              </w:rPr>
            </w:pPr>
          </w:p>
        </w:tc>
      </w:tr>
      <w:tr>
        <w:trPr>
          <w:trHeight w:val="190"/>
        </w:trPr>
        <w:tc>
          <w:tcPr>
            <w:tcW w:w="2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financial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2,183,049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1,574,377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2,188,232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6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200" w:type="dxa"/>
            <w:vAlign w:val="bottom"/>
          </w:tcPr>
          <w:p>
            <w:pPr>
              <w:spacing w:after="0"/>
              <w:rPr>
                <w:sz w:val="13"/>
                <w:szCs w:val="13"/>
                <w:color w:val="auto"/>
              </w:rPr>
            </w:pPr>
          </w:p>
        </w:tc>
        <w:tc>
          <w:tcPr>
            <w:tcW w:w="2140" w:type="dxa"/>
            <w:vAlign w:val="bottom"/>
            <w:gridSpan w:val="6"/>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rPr>
              <w:t>Fair Value Hierarchy as of</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Cost or</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Losses More</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gridSpan w:val="4"/>
          </w:tcPr>
          <w:p>
            <w:pPr>
              <w:jc w:val="center"/>
              <w:ind w:right="20"/>
              <w:spacing w:after="0" w:line="120"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right="240"/>
              <w:spacing w:after="0" w:line="107"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160" w:type="dxa"/>
            <w:vAlign w:val="bottom"/>
          </w:tcPr>
          <w:p>
            <w:pPr>
              <w:spacing w:after="0"/>
              <w:rPr>
                <w:sz w:val="5"/>
                <w:szCs w:val="5"/>
                <w:color w:val="auto"/>
              </w:rPr>
            </w:pPr>
          </w:p>
        </w:tc>
        <w:tc>
          <w:tcPr>
            <w:tcW w:w="940" w:type="dxa"/>
            <w:vAlign w:val="bottom"/>
            <w:gridSpan w:val="2"/>
            <w:vMerge w:val="restart"/>
          </w:tcPr>
          <w:p>
            <w:pPr>
              <w:jc w:val="center"/>
              <w:ind w:right="280"/>
              <w:spacing w:after="0" w:line="10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80" w:type="dxa"/>
            <w:vAlign w:val="bottom"/>
            <w:gridSpan w:val="3"/>
            <w:vMerge w:val="restart"/>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Losses Less Than</w:t>
            </w:r>
          </w:p>
        </w:tc>
        <w:tc>
          <w:tcPr>
            <w:tcW w:w="100" w:type="dxa"/>
            <w:vAlign w:val="bottom"/>
          </w:tcPr>
          <w:p>
            <w:pPr>
              <w:spacing w:after="0"/>
              <w:rPr>
                <w:sz w:val="5"/>
                <w:szCs w:val="5"/>
                <w:color w:val="auto"/>
              </w:rPr>
            </w:pPr>
          </w:p>
        </w:tc>
        <w:tc>
          <w:tcPr>
            <w:tcW w:w="960" w:type="dxa"/>
            <w:vAlign w:val="bottom"/>
            <w:gridSpan w:val="2"/>
            <w:vMerge w:val="restart"/>
          </w:tcPr>
          <w:p>
            <w:pPr>
              <w:jc w:val="center"/>
              <w:ind w:right="220"/>
              <w:spacing w:after="0" w:line="107" w:lineRule="exact"/>
              <w:rPr>
                <w:sz w:val="20"/>
                <w:szCs w:val="20"/>
                <w:color w:val="auto"/>
              </w:rPr>
            </w:pPr>
            <w:r>
              <w:rPr>
                <w:rFonts w:ascii="Times New Roman" w:cs="Times New Roman" w:eastAsia="Times New Roman" w:hAnsi="Times New Roman"/>
                <w:sz w:val="12"/>
                <w:szCs w:val="12"/>
                <w:b w:val="1"/>
                <w:bCs w:val="1"/>
                <w:color w:val="auto"/>
              </w:rPr>
              <w:t>Than</w:t>
            </w: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restart"/>
          </w:tcPr>
          <w:p>
            <w:pPr>
              <w:jc w:val="right"/>
              <w:ind w:right="150"/>
              <w:spacing w:after="0" w:line="107" w:lineRule="exact"/>
              <w:rPr>
                <w:sz w:val="20"/>
                <w:szCs w:val="20"/>
                <w:color w:val="auto"/>
              </w:rPr>
            </w:pPr>
            <w:r>
              <w:rPr>
                <w:rFonts w:ascii="Times New Roman" w:cs="Times New Roman" w:eastAsia="Times New Roman" w:hAnsi="Times New Roman"/>
                <w:sz w:val="12"/>
                <w:szCs w:val="12"/>
                <w:b w:val="1"/>
                <w:bCs w:val="1"/>
                <w:color w:val="auto"/>
              </w:rPr>
              <w:t>Aggregate</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80" w:type="dxa"/>
            <w:vAlign w:val="bottom"/>
          </w:tcPr>
          <w:p>
            <w:pPr>
              <w:spacing w:after="0" w:line="20" w:lineRule="exact"/>
              <w:rPr>
                <w:sz w:val="1"/>
                <w:szCs w:val="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6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4"/>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0" w:type="dxa"/>
            <w:vAlign w:val="bottom"/>
          </w:tcPr>
          <w:p>
            <w:pPr>
              <w:spacing w:after="0"/>
              <w:rPr>
                <w:sz w:val="1"/>
                <w:szCs w:val="1"/>
                <w:color w:val="auto"/>
              </w:rPr>
            </w:pPr>
          </w:p>
        </w:tc>
      </w:tr>
      <w:tr>
        <w:trPr>
          <w:trHeight w:val="117"/>
        </w:trPr>
        <w:tc>
          <w:tcPr>
            <w:tcW w:w="2720" w:type="dxa"/>
            <w:vAlign w:val="bottom"/>
          </w:tcPr>
          <w:p>
            <w:pPr>
              <w:ind w:left="460"/>
              <w:spacing w:after="0" w:line="118" w:lineRule="exact"/>
              <w:rPr>
                <w:sz w:val="20"/>
                <w:szCs w:val="20"/>
                <w:color w:val="auto"/>
              </w:rPr>
            </w:pPr>
            <w:r>
              <w:rPr>
                <w:rFonts w:ascii="Times New Roman" w:cs="Times New Roman" w:eastAsia="Times New Roman" w:hAnsi="Times New Roman"/>
                <w:sz w:val="13"/>
                <w:szCs w:val="13"/>
                <w:color w:val="auto"/>
              </w:rPr>
              <w:t>Total included in cash</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408,696</w:t>
            </w:r>
          </w:p>
        </w:tc>
        <w:tc>
          <w:tcPr>
            <w:tcW w:w="0" w:type="dxa"/>
            <w:vAlign w:val="bottom"/>
          </w:tcPr>
          <w:p>
            <w:pPr>
              <w:spacing w:after="0"/>
              <w:rPr>
                <w:sz w:val="1"/>
                <w:szCs w:val="1"/>
                <w:color w:val="auto"/>
              </w:rPr>
            </w:pPr>
          </w:p>
        </w:tc>
      </w:tr>
      <w:tr>
        <w:trPr>
          <w:trHeight w:val="190"/>
        </w:trPr>
        <w:tc>
          <w:tcPr>
            <w:tcW w:w="27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and cash equivalents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securities: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411,155</w:t>
            </w:r>
          </w:p>
        </w:tc>
        <w:tc>
          <w:tcPr>
            <w:tcW w:w="0" w:type="dxa"/>
            <w:vAlign w:val="bottom"/>
          </w:tcPr>
          <w:p>
            <w:pPr>
              <w:spacing w:after="0"/>
              <w:rPr>
                <w:sz w:val="1"/>
                <w:szCs w:val="1"/>
                <w:color w:val="auto"/>
              </w:rPr>
            </w:pPr>
          </w:p>
        </w:tc>
      </w:tr>
      <w:tr>
        <w:trPr>
          <w:trHeight w:val="137"/>
        </w:trPr>
        <w:tc>
          <w:tcPr>
            <w:tcW w:w="2720" w:type="dxa"/>
            <w:vAlign w:val="bottom"/>
          </w:tcPr>
          <w:p>
            <w:pPr>
              <w:ind w:left="300"/>
              <w:spacing w:after="0" w:line="137" w:lineRule="exact"/>
              <w:rPr>
                <w:sz w:val="20"/>
                <w:szCs w:val="20"/>
                <w:color w:val="auto"/>
              </w:rPr>
            </w:pPr>
            <w:r>
              <w:rPr>
                <w:rFonts w:ascii="Times New Roman" w:cs="Times New Roman" w:eastAsia="Times New Roman" w:hAnsi="Times New Roman"/>
                <w:sz w:val="14"/>
                <w:szCs w:val="14"/>
                <w:color w:val="auto"/>
              </w:rPr>
              <w:t>Non-U.S. government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83,576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82,311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82,311</w:t>
            </w:r>
          </w:p>
        </w:tc>
        <w:tc>
          <w:tcPr>
            <w:tcW w:w="0" w:type="dxa"/>
            <w:vAlign w:val="bottom"/>
          </w:tcPr>
          <w:p>
            <w:pPr>
              <w:spacing w:after="0"/>
              <w:rPr>
                <w:sz w:val="1"/>
                <w:szCs w:val="1"/>
                <w:color w:val="auto"/>
              </w:rPr>
            </w:pPr>
          </w:p>
        </w:tc>
      </w:tr>
      <w:tr>
        <w:trPr>
          <w:trHeight w:val="190"/>
        </w:trPr>
        <w:tc>
          <w:tcPr>
            <w:tcW w:w="27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CEEFF"/>
          </w:tcPr>
          <w:p>
            <w:pPr>
              <w:ind w:left="300"/>
              <w:spacing w:after="0" w:line="143" w:lineRule="exact"/>
              <w:rPr>
                <w:sz w:val="20"/>
                <w:szCs w:val="20"/>
                <w:color w:val="auto"/>
              </w:rPr>
            </w:pPr>
            <w:r>
              <w:rPr>
                <w:rFonts w:ascii="Times New Roman" w:cs="Times New Roman" w:eastAsia="Times New Roman" w:hAnsi="Times New Roman"/>
                <w:sz w:val="14"/>
                <w:szCs w:val="14"/>
                <w:color w:val="auto"/>
              </w:rPr>
              <w:t>Corporate debt securities and</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2,859,071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2,841,007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2,857,697</w:t>
            </w:r>
          </w:p>
        </w:tc>
        <w:tc>
          <w:tcPr>
            <w:tcW w:w="0" w:type="dxa"/>
            <w:vAlign w:val="bottom"/>
          </w:tcPr>
          <w:p>
            <w:pPr>
              <w:spacing w:after="0"/>
              <w:rPr>
                <w:sz w:val="1"/>
                <w:szCs w:val="1"/>
                <w:color w:val="auto"/>
              </w:rPr>
            </w:pPr>
          </w:p>
        </w:tc>
      </w:tr>
      <w:tr>
        <w:trPr>
          <w:trHeight w:val="196"/>
        </w:trPr>
        <w:tc>
          <w:tcPr>
            <w:tcW w:w="2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Total debt securities</w:t>
            </w: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3,353,312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17,583</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510,156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2,841,007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3,351,163</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0" w:type="dxa"/>
            <w:vAlign w:val="bottom"/>
          </w:tcPr>
          <w:p>
            <w:pPr>
              <w:spacing w:after="0"/>
              <w:rPr>
                <w:sz w:val="1"/>
                <w:szCs w:val="1"/>
                <w:color w:val="auto"/>
              </w:rPr>
            </w:pPr>
          </w:p>
        </w:tc>
      </w:tr>
      <w:tr>
        <w:trPr>
          <w:trHeight w:val="117"/>
        </w:trPr>
        <w:tc>
          <w:tcPr>
            <w:tcW w:w="2720" w:type="dxa"/>
            <w:vAlign w:val="bottom"/>
          </w:tcPr>
          <w:p>
            <w:pPr>
              <w:ind w:left="340"/>
              <w:spacing w:after="0" w:line="118" w:lineRule="exact"/>
              <w:rPr>
                <w:sz w:val="20"/>
                <w:szCs w:val="20"/>
                <w:color w:val="auto"/>
              </w:rPr>
            </w:pPr>
            <w:r>
              <w:rPr>
                <w:rFonts w:ascii="Times New Roman" w:cs="Times New Roman" w:eastAsia="Times New Roman" w:hAnsi="Times New Roman"/>
                <w:sz w:val="13"/>
                <w:szCs w:val="13"/>
                <w:color w:val="auto"/>
              </w:rPr>
              <w:t>Total marketable</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3,358,213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17,583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(10,936)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(8,796)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515,057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2,841,007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3,356,064</w:t>
            </w:r>
          </w:p>
        </w:tc>
        <w:tc>
          <w:tcPr>
            <w:tcW w:w="0" w:type="dxa"/>
            <w:vAlign w:val="bottom"/>
          </w:tcPr>
          <w:p>
            <w:pPr>
              <w:spacing w:after="0"/>
              <w:rPr>
                <w:sz w:val="1"/>
                <w:szCs w:val="1"/>
                <w:color w:val="auto"/>
              </w:rPr>
            </w:pPr>
          </w:p>
        </w:tc>
      </w:tr>
      <w:tr>
        <w:trPr>
          <w:trHeight w:val="190"/>
        </w:trPr>
        <w:tc>
          <w:tcPr>
            <w:tcW w:w="2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financial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3,766,909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923,753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2,841,007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3,764,760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222" w:lineRule="exact"/>
        <w:rPr>
          <w:sz w:val="20"/>
          <w:szCs w:val="20"/>
          <w:color w:val="auto"/>
        </w:rPr>
      </w:pPr>
    </w:p>
    <w:p>
      <w:pPr>
        <w:jc w:val="both"/>
        <w:ind w:right="20" w:firstLine="480"/>
        <w:spacing w:after="0" w:line="262" w:lineRule="auto"/>
        <w:rPr>
          <w:sz w:val="20"/>
          <w:szCs w:val="20"/>
          <w:color w:val="auto"/>
        </w:rPr>
      </w:pPr>
      <w:r>
        <w:rPr>
          <w:rFonts w:ascii="Times New Roman" w:cs="Times New Roman" w:eastAsia="Times New Roman" w:hAnsi="Times New Roman"/>
          <w:sz w:val="18"/>
          <w:szCs w:val="18"/>
          <w:color w:val="auto"/>
        </w:rPr>
        <w:t>The Company’s primary objective when investing excess cash is preservation of capital, hence the Company’s debt securities primarily consist of U.S. Treasury Securities, non-U.S. government securities, high credit quality corporate debt securities and commercial paper. Because the Company views its debt securities as available to support current operations, it has classified all available for sale securities as short-term.</w:t>
      </w:r>
    </w:p>
    <w:p>
      <w:pPr>
        <w:spacing w:after="0" w:line="176" w:lineRule="exact"/>
        <w:rPr>
          <w:sz w:val="20"/>
          <w:szCs w:val="20"/>
          <w:color w:val="auto"/>
        </w:rPr>
      </w:pPr>
    </w:p>
    <w:p>
      <w:pPr>
        <w:ind w:right="280" w:firstLine="480"/>
        <w:spacing w:after="0" w:line="277" w:lineRule="auto"/>
        <w:rPr>
          <w:sz w:val="20"/>
          <w:szCs w:val="20"/>
          <w:color w:val="auto"/>
        </w:rPr>
      </w:pPr>
      <w:r>
        <w:rPr>
          <w:rFonts w:ascii="Times New Roman" w:cs="Times New Roman" w:eastAsia="Times New Roman" w:hAnsi="Times New Roman"/>
          <w:sz w:val="18"/>
          <w:szCs w:val="18"/>
          <w:color w:val="auto"/>
        </w:rPr>
        <w:t>Interest earned on marketable securities was $90.2 million, $77.7 million and $64.6 million in the years ended December 31, 2024, 2023 and 2022, respectively. The interest is recorded as other income (expenses), net, in the accompanying consolidated statements of operations.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marketable securities: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8"/>
        </w:trPr>
        <w:tc>
          <w:tcPr>
            <w:tcW w:w="5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80" w:type="dxa"/>
            <w:vAlign w:val="bottom"/>
            <w:tcBorders>
              <w:bottom w:val="single" w:sz="8" w:color="auto"/>
            </w:tcBorders>
          </w:tcPr>
          <w:p>
            <w:pPr>
              <w:spacing w:after="0"/>
              <w:rPr>
                <w:sz w:val="18"/>
                <w:szCs w:val="18"/>
                <w:color w:val="auto"/>
              </w:rPr>
            </w:pPr>
          </w:p>
        </w:tc>
      </w:tr>
      <w:tr>
        <w:trPr>
          <w:trHeight w:val="155"/>
        </w:trPr>
        <w:tc>
          <w:tcPr>
            <w:tcW w:w="5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80" w:type="dxa"/>
            <w:vAlign w:val="bottom"/>
          </w:tcPr>
          <w:p>
            <w:pPr>
              <w:spacing w:after="0"/>
              <w:rPr>
                <w:sz w:val="13"/>
                <w:szCs w:val="13"/>
                <w:color w:val="auto"/>
              </w:rPr>
            </w:pPr>
          </w:p>
        </w:tc>
        <w:tc>
          <w:tcPr>
            <w:tcW w:w="1080" w:type="dxa"/>
            <w:vAlign w:val="bottom"/>
          </w:tcPr>
          <w:p>
            <w:pPr>
              <w:jc w:val="right"/>
              <w:ind w:right="201"/>
              <w:spacing w:after="0" w:line="155"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080" w:type="dxa"/>
            <w:vAlign w:val="bottom"/>
          </w:tcPr>
          <w:p>
            <w:pPr>
              <w:jc w:val="right"/>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Aggregate</w:t>
            </w:r>
          </w:p>
        </w:tc>
      </w:tr>
      <w:tr>
        <w:trPr>
          <w:trHeight w:val="212"/>
        </w:trPr>
        <w:tc>
          <w:tcPr>
            <w:tcW w:w="5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540" w:type="dxa"/>
            <w:vAlign w:val="bottom"/>
            <w:gridSpan w:val="5"/>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1"/>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one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684,294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685,091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1,448,256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1,434,149</w:t>
            </w: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to three years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1,270,405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1,274,791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1,905,056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1,917,014</w:t>
            </w:r>
          </w:p>
        </w:tc>
      </w:tr>
      <w:tr>
        <w:trPr>
          <w:trHeight w:val="204"/>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1,954,699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1,959,882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3,353,312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3,351,163</w:t>
            </w:r>
          </w:p>
        </w:tc>
      </w:tr>
      <w:tr>
        <w:trPr>
          <w:trHeight w:val="22"/>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222"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The equity securities consist of shares of a publicly traded company that were received as consideration in a divestiture transaction described in Note 5 to these consolidated financial statements.</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Strategic Investments</w:t>
      </w:r>
    </w:p>
    <w:p>
      <w:pPr>
        <w:spacing w:after="0" w:line="222"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As of December 31, 2024 and 2023, the Company held strategic investments with an aggregate carrying value of $23.5 million and $30.7 million, respectively, recorded as other long-term assets in the accompanying consolidated balance sheets. There were no significant impairments or adjustments recorded in the years ended December 31, 2024 and 2022, related to these securities. In the year ended December 31, 2023, the Company remeasured to fair value one of its strategic investments acquired in 2021 due to an assessed impairment. The fair value measurement of the strategic investment is classified as Level 2 in the fair value hierarchy and the primary input used in the fair value measurement was the publicly available stock price of the issuer’s unrestricted security of the same class. The impairment loss of $46.2 million is recorded in other expenses, net, in the accompanying consolidated statement of operations for the year ended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222"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The Company’s financial liabilities that are measured at fair value on a recurring basis consist of foreign currency derivative liabilities and are classified as Level 2 financial instruments in the fair value hierarchy. As of December 31, 2024 and 2023, the aggregate fair value of these liabilities and the associated unrealized losses were not significant.</w:t>
      </w:r>
    </w:p>
    <w:p>
      <w:pPr>
        <w:spacing w:after="0" w:line="176" w:lineRule="exact"/>
        <w:rPr>
          <w:sz w:val="20"/>
          <w:szCs w:val="20"/>
          <w:color w:val="auto"/>
        </w:rPr>
      </w:pPr>
    </w:p>
    <w:p>
      <w:pPr>
        <w:jc w:val="both"/>
        <w:ind w:right="20" w:firstLine="480"/>
        <w:spacing w:after="0" w:line="284" w:lineRule="auto"/>
        <w:rPr>
          <w:sz w:val="20"/>
          <w:szCs w:val="20"/>
          <w:color w:val="auto"/>
        </w:rPr>
      </w:pPr>
      <w:r>
        <w:rPr>
          <w:rFonts w:ascii="Times New Roman" w:cs="Times New Roman" w:eastAsia="Times New Roman" w:hAnsi="Times New Roman"/>
          <w:sz w:val="17"/>
          <w:szCs w:val="17"/>
          <w:color w:val="auto"/>
        </w:rPr>
        <w:t>The Company’s financial liabilities that are not measured at fair value on a recurring basis are its 2029 Notes and its 2031 Notes. As of December 31, 2024, the fair value of the 2029 Notes and 2031 Notes were $464.9 million and $453.9 million, respectively. As of December 31, 2023, the fair value of the 2029 Notes and 2031 Notes were $462.4 million and $452.3 million, respectively. These fair values are classified as Level 2 in the fair value hierarchy.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60" w:type="dxa"/>
            <w:vAlign w:val="bottom"/>
            <w:tcBorders>
              <w:bottom w:val="single" w:sz="8" w:color="auto"/>
            </w:tcBorders>
          </w:tcPr>
          <w:p>
            <w:pPr>
              <w:spacing w:after="0"/>
              <w:rPr>
                <w:sz w:val="18"/>
                <w:szCs w:val="18"/>
                <w:color w:val="auto"/>
              </w:rPr>
            </w:pPr>
          </w:p>
        </w:tc>
      </w:tr>
      <w:tr>
        <w:trPr>
          <w:trHeight w:val="208"/>
        </w:trPr>
        <w:tc>
          <w:tcPr>
            <w:tcW w:w="69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87"/>
        </w:trPr>
        <w:tc>
          <w:tcPr>
            <w:tcW w:w="6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rPr>
                <w:sz w:val="16"/>
                <w:szCs w:val="16"/>
                <w:color w:val="auto"/>
              </w:rPr>
            </w:pPr>
          </w:p>
        </w:tc>
      </w:tr>
      <w:tr>
        <w:trPr>
          <w:trHeight w:val="22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developments costs</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357,334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297,655</w:t>
            </w:r>
          </w:p>
        </w:tc>
      </w:tr>
      <w:tr>
        <w:trPr>
          <w:trHeight w:val="213"/>
        </w:trPr>
        <w:tc>
          <w:tcPr>
            <w:tcW w:w="698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Data center equipment </w:t>
            </w:r>
            <w:r>
              <w:rPr>
                <w:rFonts w:ascii="Times New Roman" w:cs="Times New Roman" w:eastAsia="Times New Roman" w:hAnsi="Times New Roman"/>
                <w:sz w:val="20"/>
                <w:szCs w:val="20"/>
                <w:color w:val="auto"/>
                <w:vertAlign w:val="superscript"/>
              </w:rPr>
              <w:t>(1)</w:t>
            </w: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63,672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104,543</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78,104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92,315</w:t>
            </w: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equipment</w:t>
            </w: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50,659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60,905</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12,618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14,558</w:t>
            </w:r>
          </w:p>
        </w:tc>
      </w:tr>
      <w:tr>
        <w:trPr>
          <w:trHeight w:val="211"/>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14,143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14,639</w:t>
            </w:r>
          </w:p>
        </w:tc>
      </w:tr>
      <w:tr>
        <w:trPr>
          <w:trHeight w:val="20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576,530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584,615</w:t>
            </w:r>
          </w:p>
        </w:tc>
      </w:tr>
      <w:tr>
        <w:trPr>
          <w:trHeight w:val="213"/>
        </w:trPr>
        <w:tc>
          <w:tcPr>
            <w:tcW w:w="6980" w:type="dxa"/>
            <w:vAlign w:val="bottom"/>
            <w:tcBorders>
              <w:bottom w:val="single" w:sz="8" w:color="CCEEFF"/>
            </w:tcBorders>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Less: accumulated depreciation and amortization </w:t>
            </w:r>
            <w:r>
              <w:rPr>
                <w:rFonts w:ascii="Times New Roman" w:cs="Times New Roman" w:eastAsia="Times New Roman" w:hAnsi="Times New Roman"/>
                <w:sz w:val="20"/>
                <w:szCs w:val="20"/>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(385,488)</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(374,976)</w:t>
            </w:r>
          </w:p>
        </w:tc>
      </w:tr>
      <w:tr>
        <w:trPr>
          <w:trHeight w:val="232"/>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191,042</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209,639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2"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Data center equipment includes $33.5 million and $72.4 million in assets held under finance leases as of December 31, 2024 and 2023, respectively. Accumulated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depreciation and amortization includes $28.6 million and $55.9 million of accumulated depreciation for assets held under finance leases as of December 31, 2024 and 2023, respectively.</w:t>
      </w:r>
    </w:p>
    <w:p>
      <w:pPr>
        <w:spacing w:after="0" w:line="201"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Depreciation and amortization expense was $91.9 million, $89.9 million and $71.7 million for the years ended December 31, 2024, 2023 and 2022, respectively.</w:t>
      </w:r>
    </w:p>
    <w:p>
      <w:pPr>
        <w:spacing w:after="0" w:line="122" w:lineRule="exact"/>
        <w:rPr>
          <w:sz w:val="20"/>
          <w:szCs w:val="20"/>
          <w:color w:val="auto"/>
        </w:rPr>
      </w:pPr>
    </w:p>
    <w:p>
      <w:pPr>
        <w:ind w:firstLine="480"/>
        <w:spacing w:after="0" w:line="244" w:lineRule="exact"/>
        <w:rPr>
          <w:sz w:val="20"/>
          <w:szCs w:val="20"/>
          <w:color w:val="auto"/>
        </w:rPr>
      </w:pPr>
      <w:r>
        <w:rPr>
          <w:rFonts w:ascii="Times New Roman" w:cs="Times New Roman" w:eastAsia="Times New Roman" w:hAnsi="Times New Roman"/>
          <w:sz w:val="18"/>
          <w:szCs w:val="18"/>
          <w:color w:val="auto"/>
        </w:rPr>
        <w:t>The Company capitalized $72.5 million, $57.2 million and $65.4 million in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development costs in the years ended December 31, 2024, 2023 and 2022,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Divestitures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divestitures in the year ended December 31, 2024.</w:t>
      </w:r>
    </w:p>
    <w:p>
      <w:pPr>
        <w:spacing w:after="0" w:line="220"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In 2023, the Company sold its ValueFirst business, which operated an enterprise communications platform in India, for a total cash sales price of $45.5 million, or $38.2 million in proceeds, net of cash divested. As part of the transaction, the Company divested $17.4 million of tangible net assets, $17.3 million of intangible assets and $34.6 million of goodwill. The sale resulted in a loss of $28.8 million, which is recorded within general and administrative expenses in the accompanying consolidated statement of operations for the year ended December 31, 2023. The Company also recorded an additional $3.3 million of divestiture-related expenses in the same period.</w:t>
      </w:r>
    </w:p>
    <w:p>
      <w:pPr>
        <w:spacing w:after="0" w:line="186" w:lineRule="exact"/>
        <w:rPr>
          <w:sz w:val="20"/>
          <w:szCs w:val="20"/>
          <w:color w:val="auto"/>
        </w:rPr>
      </w:pPr>
    </w:p>
    <w:p>
      <w:pPr>
        <w:ind w:right="60" w:firstLine="480"/>
        <w:spacing w:after="0" w:line="277" w:lineRule="auto"/>
        <w:rPr>
          <w:sz w:val="20"/>
          <w:szCs w:val="20"/>
          <w:color w:val="auto"/>
        </w:rPr>
      </w:pPr>
      <w:r>
        <w:rPr>
          <w:rFonts w:ascii="Times New Roman" w:cs="Times New Roman" w:eastAsia="Times New Roman" w:hAnsi="Times New Roman"/>
          <w:sz w:val="18"/>
          <w:szCs w:val="18"/>
          <w:color w:val="auto"/>
        </w:rPr>
        <w:t>Separately, in 2023, the Company sold its Internet of Things (“IoT”) asset group for stock consideration of $15.8 million. The loss on divestiture and related expenses were not significant.</w:t>
      </w: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Impairment</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right-of-use assets</w:t>
      </w:r>
    </w:p>
    <w:p>
      <w:pPr>
        <w:spacing w:after="0" w:line="222" w:lineRule="exact"/>
        <w:rPr>
          <w:sz w:val="20"/>
          <w:szCs w:val="20"/>
          <w:color w:val="auto"/>
        </w:rPr>
      </w:pPr>
    </w:p>
    <w:p>
      <w:pPr>
        <w:ind w:right="60" w:firstLine="480"/>
        <w:spacing w:after="0" w:line="216" w:lineRule="exact"/>
        <w:rPr>
          <w:sz w:val="20"/>
          <w:szCs w:val="20"/>
          <w:color w:val="auto"/>
        </w:rPr>
      </w:pPr>
      <w:r>
        <w:rPr>
          <w:rFonts w:ascii="Times New Roman" w:cs="Times New Roman" w:eastAsia="Times New Roman" w:hAnsi="Times New Roman"/>
          <w:sz w:val="18"/>
          <w:szCs w:val="18"/>
          <w:color w:val="auto"/>
        </w:rPr>
        <w:t>In 2022, the Company adopted a remote-first operating strategy whereby employees work remotely on a permanent basis. As a result, the Company permanently closed several of its offices in 2023 and 2022, which required reassessment of the operating right-of-use (“ROU”) assets and the associated leasehold improvements and property and equipment for impairment. The Company determined that the carrying amounts of these assets exceeded their respective fair values. The Company engaged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expert to assist with the valuation analysis. The Company regularly assesses recoverability of its ROU assets and the related long-lived asset categories for indicators of impairment. In the years ended December 31, 2023 and 2022, the Company recorded $34.8 million and $97.7 million of impairment, respectively, related to its permanently closed offices. The impairment is recorded in the impairment of long-lived assets line item in the accompanying consolidated statements of operations for the years ended December 31, 2023 and 2022.</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Intangible assets</w:t>
      </w:r>
    </w:p>
    <w:p>
      <w:pPr>
        <w:spacing w:after="0" w:line="222"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In the fourth quarter of 2023, the Company identified a change in its Segment reportable segment’s performance which it deemed to be an indicator that the carrying amounts of certain long-lived assets within the segment may not be recoverable. The Company performed a recoverability assessment and a fair value measurement of the impacted asset group and concluded that the asset group was impaired. The Company engaged a third-party expert to assist with the valuation analysis. The impairment was allocated to the assets within the impacted asset group reducing the respective carrying amounts of the assets as of the December 1, 2023, measurement date, as follows: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Developed technology</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Customer relationships</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impairment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717"/>
        <w:spacing w:after="0"/>
        <w:rPr>
          <w:sz w:val="20"/>
          <w:szCs w:val="20"/>
          <w:color w:val="auto"/>
        </w:rPr>
      </w:pPr>
      <w:r>
        <w:rPr>
          <w:rFonts w:ascii="Times New Roman" w:cs="Times New Roman" w:eastAsia="Times New Roman" w:hAnsi="Times New Roman"/>
          <w:sz w:val="16"/>
          <w:szCs w:val="16"/>
          <w:b w:val="1"/>
          <w:bCs w:val="1"/>
          <w:color w:val="auto"/>
        </w:rPr>
        <w:t>Total Impairment</w:t>
      </w:r>
    </w:p>
    <w:p>
      <w:pPr>
        <w:jc w:val="center"/>
        <w:ind w:right="717"/>
        <w:spacing w:after="0"/>
        <w:rPr>
          <w:sz w:val="20"/>
          <w:szCs w:val="20"/>
          <w:color w:val="auto"/>
        </w:rPr>
      </w:pPr>
      <w:r>
        <w:rPr>
          <w:rFonts w:ascii="Times New Roman" w:cs="Times New Roman" w:eastAsia="Times New Roman" w:hAnsi="Times New Roman"/>
          <w:sz w:val="16"/>
          <w:szCs w:val="16"/>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9740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ind w:left="343"/>
        <w:spacing w:after="0"/>
        <w:rPr>
          <w:sz w:val="20"/>
          <w:szCs w:val="20"/>
          <w:color w:val="auto"/>
        </w:rPr>
      </w:pPr>
      <w:r>
        <w:rPr>
          <w:rFonts w:ascii="Times New Roman" w:cs="Times New Roman" w:eastAsia="Times New Roman" w:hAnsi="Times New Roman"/>
          <w:sz w:val="14"/>
          <w:szCs w:val="14"/>
          <w:color w:val="auto"/>
        </w:rPr>
        <w:t>(In thousands)</w:t>
      </w:r>
    </w:p>
    <w:p>
      <w:pPr>
        <w:spacing w:after="0" w:line="48" w:lineRule="exact"/>
        <w:rPr>
          <w:sz w:val="20"/>
          <w:szCs w:val="20"/>
          <w:color w:val="auto"/>
        </w:rPr>
      </w:pPr>
    </w:p>
    <w:p>
      <w:pPr>
        <w:ind w:left="923" w:hanging="923"/>
        <w:spacing w:after="0"/>
        <w:tabs>
          <w:tab w:leader="none" w:pos="92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209,350</w:t>
      </w:r>
    </w:p>
    <w:p>
      <w:pPr>
        <w:spacing w:after="0" w:line="29" w:lineRule="exact"/>
        <w:rPr>
          <w:rFonts w:ascii="Times New Roman" w:cs="Times New Roman" w:eastAsia="Times New Roman" w:hAnsi="Times New Roman"/>
          <w:sz w:val="16"/>
          <w:szCs w:val="16"/>
          <w:color w:val="auto"/>
        </w:rPr>
      </w:pPr>
    </w:p>
    <w:p>
      <w:pPr>
        <w:ind w:left="100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76,361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-5721350</wp:posOffset>
            </wp:positionH>
            <wp:positionV relativeFrom="paragraph">
              <wp:posOffset>-251460</wp:posOffset>
            </wp:positionV>
            <wp:extent cx="6684645" cy="135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84645" cy="135255"/>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19050</wp:posOffset>
            </wp:positionV>
            <wp:extent cx="6684645" cy="161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84645" cy="161290"/>
                    </a:xfrm>
                    <a:prstGeom prst="rect">
                      <a:avLst/>
                    </a:prstGeom>
                    <a:noFill/>
                  </pic:spPr>
                </pic:pic>
              </a:graphicData>
            </a:graphic>
          </wp:anchor>
        </w:drawing>
      </w:r>
    </w:p>
    <w:p>
      <w:pPr>
        <w:spacing w:after="0" w:line="23" w:lineRule="exact"/>
        <w:rPr>
          <w:sz w:val="20"/>
          <w:szCs w:val="20"/>
          <w:color w:val="auto"/>
        </w:rPr>
      </w:pPr>
    </w:p>
    <w:p>
      <w:pPr>
        <w:ind w:left="943" w:hanging="943"/>
        <w:spacing w:after="0"/>
        <w:tabs>
          <w:tab w:leader="none" w:pos="943"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285,711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9740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297" w:space="720"/>
            <w:col w:w="2203"/>
          </w:cols>
          <w:pgMar w:left="320" w:top="121" w:right="359" w:bottom="1440" w:gutter="0" w:footer="0" w:header="0"/>
          <w:type w:val="continuous"/>
        </w:sectPr>
      </w:pPr>
    </w:p>
    <w:p>
      <w:pPr>
        <w:spacing w:after="0" w:line="14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impairment is recorded within the impairment of long-lived assets line item in the accompanying consolidated statement of operations for the year ended December 31, 2023.</w:t>
      </w:r>
    </w:p>
    <w:p>
      <w:pPr>
        <w:spacing w:after="0" w:line="163" w:lineRule="exact"/>
        <w:rPr>
          <w:sz w:val="20"/>
          <w:szCs w:val="20"/>
          <w:color w:val="auto"/>
        </w:rPr>
      </w:pPr>
    </w:p>
    <w:p>
      <w:pPr>
        <w:ind w:right="140" w:firstLine="480"/>
        <w:spacing w:after="0" w:line="277" w:lineRule="auto"/>
        <w:rPr>
          <w:sz w:val="20"/>
          <w:szCs w:val="20"/>
          <w:color w:val="auto"/>
        </w:rPr>
      </w:pPr>
      <w:r>
        <w:rPr>
          <w:rFonts w:ascii="Times New Roman" w:cs="Times New Roman" w:eastAsia="Times New Roman" w:hAnsi="Times New Roman"/>
          <w:sz w:val="18"/>
          <w:szCs w:val="18"/>
          <w:color w:val="auto"/>
        </w:rPr>
        <w:t>The Company used a relief-from-royalty method to estimate the fair values of the developed technology and the trade name and a distributor method to estimate the fair value of customer relationships. The trade name intangible asset was not impaired.</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other significant impairments were recorded during the years ended December 31, 2024, 2023 or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Restructuring Activities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significant restructuring activities occurred in the year ended December 31, 2024.</w:t>
      </w:r>
    </w:p>
    <w:p>
      <w:pPr>
        <w:spacing w:after="0" w:line="220" w:lineRule="exact"/>
        <w:rPr>
          <w:sz w:val="20"/>
          <w:szCs w:val="20"/>
          <w:color w:val="auto"/>
        </w:rPr>
      </w:pPr>
    </w:p>
    <w:p>
      <w:pPr>
        <w:ind w:right="120" w:firstLine="480"/>
        <w:spacing w:after="0" w:line="267" w:lineRule="auto"/>
        <w:rPr>
          <w:sz w:val="20"/>
          <w:szCs w:val="20"/>
          <w:color w:val="auto"/>
        </w:rPr>
      </w:pPr>
      <w:r>
        <w:rPr>
          <w:rFonts w:ascii="Times New Roman" w:cs="Times New Roman" w:eastAsia="Times New Roman" w:hAnsi="Times New Roman"/>
          <w:sz w:val="17"/>
          <w:szCs w:val="17"/>
          <w:color w:val="auto"/>
        </w:rPr>
        <w:t>In February 2023, the Company announced a workforce reduction plan (the “February 2023 Plan”) that was designed to reduce operating costs, improve operating margins and accelerate profitability. The February 2023 Plan eliminated approximately 17% of the Company’s workforce. The execution of the February 2023 Plan was substantially completed in the first quarter of 2023. For the year ended December 31, 2023, restructuring charges related to the February 2023 Plan were $141.1 million, which consisted of $130.0 million related to employee severance, benefits and facilitation costs, and</w:t>
      </w:r>
    </w:p>
    <w:p>
      <w:pPr>
        <w:spacing w:after="0" w:line="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$11.1 million related to vesting of employee stock based compensation awards. $108.9 million of the restructuring charges related to the Communications reportable segment, $9.4 million related to the Segment reportable segment and $22.8 million was included in corporate costs.</w:t>
      </w:r>
    </w:p>
    <w:p>
      <w:pPr>
        <w:spacing w:after="0" w:line="182"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Company’s restructuring liability related to the February 2023 Plan that is included in accrued expenses and other current liabilities in the accompanying consolidated balance sheet as of December 31, 2023:</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Facilitation Costs</w:t>
            </w:r>
          </w:p>
        </w:tc>
        <w:tc>
          <w:tcPr>
            <w:tcW w:w="300" w:type="dxa"/>
            <w:vAlign w:val="bottom"/>
          </w:tcPr>
          <w:p>
            <w:pPr>
              <w:spacing w:after="0"/>
              <w:rPr>
                <w:sz w:val="13"/>
                <w:szCs w:val="13"/>
                <w:color w:val="auto"/>
              </w:rPr>
            </w:pPr>
          </w:p>
        </w:tc>
        <w:tc>
          <w:tcPr>
            <w:tcW w:w="100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Reduction Costs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(111,852)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(120,747)</w:t>
            </w:r>
          </w:p>
        </w:tc>
        <w:tc>
          <w:tcPr>
            <w:tcW w:w="0" w:type="dxa"/>
            <w:vAlign w:val="bottom"/>
          </w:tcPr>
          <w:p>
            <w:pPr>
              <w:spacing w:after="0"/>
              <w:rPr>
                <w:sz w:val="1"/>
                <w:szCs w:val="1"/>
                <w:color w:val="auto"/>
              </w:rPr>
            </w:pPr>
          </w:p>
        </w:tc>
      </w:tr>
      <w:tr>
        <w:trPr>
          <w:trHeight w:val="209"/>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February 2023 Plan restructuring charges incurred in 2024 were not significant. No amounts were outstanding as of December 31, 2024 related to this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1" w:lineRule="exact"/>
        <w:rPr>
          <w:sz w:val="20"/>
          <w:szCs w:val="20"/>
          <w:color w:val="auto"/>
        </w:rPr>
      </w:pPr>
    </w:p>
    <w:p>
      <w:pPr>
        <w:jc w:val="both"/>
        <w:ind w:right="120" w:firstLine="480"/>
        <w:spacing w:after="0" w:line="262" w:lineRule="auto"/>
        <w:rPr>
          <w:sz w:val="20"/>
          <w:szCs w:val="20"/>
          <w:color w:val="auto"/>
        </w:rPr>
      </w:pPr>
      <w:r>
        <w:rPr>
          <w:rFonts w:ascii="Times New Roman" w:cs="Times New Roman" w:eastAsia="Times New Roman" w:hAnsi="Times New Roman"/>
          <w:sz w:val="18"/>
          <w:szCs w:val="18"/>
          <w:color w:val="auto"/>
        </w:rPr>
        <w:t>In December 2023, the Company announced a workforce restructuring plan that was designed to streamline operations and accelerate the Company’s path to profitable growth (the “December 2023 Plan”). The December 2023 Plan eliminated approximately 5% of the Company’s workforce. Restructuring charges related to the December 2023 Plan were not significant.</w:t>
      </w:r>
    </w:p>
    <w:p>
      <w:pPr>
        <w:spacing w:after="0" w:line="176" w:lineRule="exact"/>
        <w:rPr>
          <w:sz w:val="20"/>
          <w:szCs w:val="20"/>
          <w:color w:val="auto"/>
        </w:rPr>
      </w:pPr>
    </w:p>
    <w:p>
      <w:pPr>
        <w:ind w:right="200" w:firstLine="480"/>
        <w:spacing w:after="0" w:line="254" w:lineRule="auto"/>
        <w:rPr>
          <w:sz w:val="20"/>
          <w:szCs w:val="20"/>
          <w:color w:val="auto"/>
        </w:rPr>
      </w:pPr>
      <w:r>
        <w:rPr>
          <w:rFonts w:ascii="Times New Roman" w:cs="Times New Roman" w:eastAsia="Times New Roman" w:hAnsi="Times New Roman"/>
          <w:sz w:val="18"/>
          <w:szCs w:val="18"/>
          <w:color w:val="auto"/>
        </w:rPr>
        <w:t>In September 2022, the Company announced a workforce restructuring plan that was designed to reduce operating costs and improve operating margins (the “September 2022 Plan”). The September 2022 Plan eliminated approximately 11% of the Company’s workforce. In the year ended December 31, 2022, the Company recorded $76.6 million of restructuring charges, including a $14.3 million expense related to vesting of the employee stock-based compensation awards, in its accompanying consolidated statement of operations. $67.4 million of the restructuring charges related to the Communications reportable segment, $1.6 million related to the Segment reportable segment and $7.6 million was included in corporate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 Reporting</w:t>
      </w:r>
    </w:p>
    <w:p>
      <w:pPr>
        <w:spacing w:after="0" w:line="224" w:lineRule="exact"/>
        <w:rPr>
          <w:sz w:val="20"/>
          <w:szCs w:val="20"/>
          <w:color w:val="auto"/>
        </w:rPr>
      </w:pPr>
    </w:p>
    <w:p>
      <w:pPr>
        <w:ind w:right="600" w:firstLine="480"/>
        <w:spacing w:after="0" w:line="277" w:lineRule="auto"/>
        <w:rPr>
          <w:sz w:val="20"/>
          <w:szCs w:val="20"/>
          <w:color w:val="auto"/>
        </w:rPr>
      </w:pPr>
      <w:r>
        <w:rPr>
          <w:rFonts w:ascii="Times New Roman" w:cs="Times New Roman" w:eastAsia="Times New Roman" w:hAnsi="Times New Roman"/>
          <w:sz w:val="18"/>
          <w:szCs w:val="18"/>
          <w:color w:val="auto"/>
        </w:rPr>
        <w:t>As of December 31, 2024, the Company had two operating and reportable segments: Twilio Communications (“Communications”) and Twilio Segment (“Segment”).</w:t>
      </w:r>
    </w:p>
    <w:p>
      <w:pPr>
        <w:spacing w:after="0" w:line="163"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u w:val="single" w:color="auto"/>
          <w:color w:val="auto"/>
        </w:rPr>
        <w:t>Twilio Communications</w:t>
      </w:r>
      <w:r>
        <w:rPr>
          <w:rFonts w:ascii="Times New Roman" w:cs="Times New Roman" w:eastAsia="Times New Roman" w:hAnsi="Times New Roman"/>
          <w:sz w:val="18"/>
          <w:szCs w:val="18"/>
          <w:color w:val="auto"/>
        </w:rPr>
        <w:t>: The Communications segment consists of a variety of application programming interfaces (“APIs”) and software solutions to optimize communications between Twilio customers and their end users. The key products from which the segment derives its revenue are Messaging, Voice and Email.</w:t>
      </w:r>
    </w:p>
    <w:p>
      <w:pPr>
        <w:spacing w:after="0" w:line="176"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u w:val="single" w:color="auto"/>
          <w:color w:val="auto"/>
        </w:rPr>
        <w:t>Twilio Segment</w:t>
      </w:r>
      <w:r>
        <w:rPr>
          <w:rFonts w:ascii="Times New Roman" w:cs="Times New Roman" w:eastAsia="Times New Roman" w:hAnsi="Times New Roman"/>
          <w:sz w:val="18"/>
          <w:szCs w:val="18"/>
          <w:color w:val="auto"/>
        </w:rPr>
        <w:t>: The Segment segment consists of software products that enable businesses to achieve more effective customer engagement by providing the tools necessary for customers to build direct, personalized relationships with their end users. The key product from which the segment derives its revenue is Segment.</w:t>
      </w:r>
    </w:p>
    <w:p>
      <w:pPr>
        <w:spacing w:after="0" w:line="176"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The Company’s CEO, who is also the CODM, reviews the operating results by segment using non-GAAP income (loss) from operations as the measure of segment profitability. The CODM uses this measure of segment profitability to allocate resources and assess performance of each segment by comparing the segment actual results to the comparable results in prior periods and to any internally or externally set expectations. Presented below is the discrete financial information by reportable segment for the years ended December 31, 2024, 2023, and 2022, that reflects management’s current view of the business and that is regularly provided to the CODM. Prior period amounts were reclassified to conform to the current period’s presentation. Asset information is not reviewed by the CODM on a segment basis. Revenue, costs of revenue and operating expenses are generally directly attributable to each segment. Certain costs of revenue and operating expenses are allocated based on methodologies that best reflect the patterns of consumption of these costs. Corporate costs are not allocated to operating segments. Corporate costs consist of costs that support company-wide processes, are managed on the company-wide level, and include costs related to corporate governance and communication, global brand awareness, information security, and certain legal, human resources, finance and accounting expenses. In addition to corporate costs, cost of revenue and operating expenses not allocated to operating segments include stock-based compensation, amortization of acquired intangibles, payroll taxes related to stock-based compensation, charitable contributions and restructuring costs.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jc w:val="center"/>
              <w:ind w:left="920"/>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2024</w:t>
            </w:r>
          </w:p>
        </w:tc>
        <w:tc>
          <w:tcPr>
            <w:tcW w:w="1180" w:type="dxa"/>
            <w:vAlign w:val="bottom"/>
            <w:tcBorders>
              <w:bottom w:val="single" w:sz="8" w:color="auto"/>
            </w:tcBorders>
          </w:tcPr>
          <w:p>
            <w:pPr>
              <w:spacing w:after="0"/>
              <w:rPr>
                <w:sz w:val="18"/>
                <w:szCs w:val="18"/>
                <w:color w:val="auto"/>
              </w:rPr>
            </w:pPr>
          </w:p>
        </w:tc>
      </w:tr>
      <w:tr>
        <w:trPr>
          <w:trHeight w:val="208"/>
        </w:trPr>
        <w:tc>
          <w:tcPr>
            <w:tcW w:w="5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7"/>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(In thousands)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4,160,340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4,458,036</w:t>
            </w:r>
          </w:p>
        </w:tc>
      </w:tr>
      <w:tr>
        <w:trPr>
          <w:trHeight w:val="211"/>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attributable to segments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2,014,491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79,469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2,093,960</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attributable to segments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1,103,800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280,882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1,384,682</w:t>
            </w:r>
          </w:p>
        </w:tc>
      </w:tr>
      <w:tr>
        <w:trPr>
          <w:trHeight w:val="204"/>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Segment non-GAAP income (loss)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1,042,049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(62,655)</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979,394</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6"/>
        </w:trPr>
        <w:tc>
          <w:tcPr>
            <w:tcW w:w="548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Reconciliation of total segment non-GAAP income from operations to loss from</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segment non-GAAP income from operations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979,394</w:t>
            </w: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 costs not allocated to segments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(613,429)</w:t>
            </w: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(111,851)</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w:t>
            </w: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Charitable contributions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(19,907)</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costs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(13,273)</w:t>
            </w:r>
          </w:p>
        </w:tc>
      </w:tr>
      <w:tr>
        <w:trPr>
          <w:trHeight w:val="204"/>
        </w:trPr>
        <w:tc>
          <w:tcPr>
            <w:tcW w:w="54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(53,708)</w:t>
            </w:r>
          </w:p>
        </w:tc>
      </w:tr>
      <w:tr>
        <w:trPr>
          <w:trHeight w:val="209"/>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expenses,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(34,905)</w:t>
            </w:r>
          </w:p>
        </w:tc>
      </w:tr>
      <w:tr>
        <w:trPr>
          <w:trHeight w:val="204"/>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(88,613)</w:t>
            </w:r>
          </w:p>
        </w:tc>
      </w:tr>
      <w:tr>
        <w:trPr>
          <w:trHeight w:val="22"/>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jc w:val="center"/>
              <w:ind w:left="920"/>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2023</w:t>
            </w:r>
          </w:p>
        </w:tc>
        <w:tc>
          <w:tcPr>
            <w:tcW w:w="1180" w:type="dxa"/>
            <w:vAlign w:val="bottom"/>
            <w:tcBorders>
              <w:bottom w:val="single" w:sz="8" w:color="auto"/>
            </w:tcBorders>
          </w:tcPr>
          <w:p>
            <w:pPr>
              <w:spacing w:after="0"/>
              <w:rPr>
                <w:sz w:val="18"/>
                <w:szCs w:val="18"/>
                <w:color w:val="auto"/>
              </w:rPr>
            </w:pPr>
          </w:p>
        </w:tc>
      </w:tr>
      <w:tr>
        <w:trPr>
          <w:trHeight w:val="208"/>
        </w:trPr>
        <w:tc>
          <w:tcPr>
            <w:tcW w:w="5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7"/>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(In thousands)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3,858,693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4,153,945</w:t>
            </w:r>
          </w:p>
        </w:tc>
      </w:tr>
      <w:tr>
        <w:trPr>
          <w:trHeight w:val="211"/>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attributable to segments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68,433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1,969,708</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attributable to segments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1,115,428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299,249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1,414,677</w:t>
            </w:r>
          </w:p>
        </w:tc>
      </w:tr>
      <w:tr>
        <w:trPr>
          <w:trHeight w:val="204"/>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Segment non-GAAP income (loss)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841,990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(72,430)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769,560</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0"/>
        </w:trPr>
        <w:tc>
          <w:tcPr>
            <w:tcW w:w="54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Reconciliation of total segment non-GAAP income from operations to loss from</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segment non-GAAP income from operations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769,560</w:t>
            </w: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 costs not allocated to segments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(236,552)</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(662,842)</w:t>
            </w: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(192,307)</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w:t>
            </w: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net assets divested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(32,277)</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w:t>
            </w: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Charitable contributions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(17,346)</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costs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(165,733)</w:t>
            </w:r>
          </w:p>
        </w:tc>
      </w:tr>
      <w:tr>
        <w:trPr>
          <w:trHeight w:val="211"/>
        </w:trPr>
        <w:tc>
          <w:tcPr>
            <w:tcW w:w="5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(320,504)</w:t>
            </w:r>
          </w:p>
        </w:tc>
      </w:tr>
      <w:tr>
        <w:trPr>
          <w:trHeight w:val="20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(876,541)</w:t>
            </w:r>
          </w:p>
        </w:tc>
      </w:tr>
      <w:tr>
        <w:trPr>
          <w:trHeight w:val="204"/>
        </w:trPr>
        <w:tc>
          <w:tcPr>
            <w:tcW w:w="5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expenses, net</w:t>
            </w:r>
          </w:p>
        </w:tc>
        <w:tc>
          <w:tcPr>
            <w:tcW w:w="16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(120,188)</w:t>
            </w:r>
          </w:p>
        </w:tc>
      </w:tr>
      <w:tr>
        <w:trPr>
          <w:trHeight w:val="232"/>
        </w:trPr>
        <w:tc>
          <w:tcPr>
            <w:tcW w:w="5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(996,729)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440"/>
          </w:cols>
          <w:pgMar w:left="320" w:top="121" w:right="11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jc w:val="center"/>
              <w:ind w:left="920"/>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2022</w:t>
            </w:r>
          </w:p>
        </w:tc>
        <w:tc>
          <w:tcPr>
            <w:tcW w:w="1180" w:type="dxa"/>
            <w:vAlign w:val="bottom"/>
            <w:tcBorders>
              <w:bottom w:val="single" w:sz="8" w:color="auto"/>
            </w:tcBorders>
          </w:tcPr>
          <w:p>
            <w:pPr>
              <w:spacing w:after="0"/>
              <w:rPr>
                <w:sz w:val="18"/>
                <w:szCs w:val="18"/>
                <w:color w:val="auto"/>
              </w:rPr>
            </w:pPr>
          </w:p>
        </w:tc>
      </w:tr>
      <w:tr>
        <w:trPr>
          <w:trHeight w:val="208"/>
        </w:trPr>
        <w:tc>
          <w:tcPr>
            <w:tcW w:w="5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7"/>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(In thousands)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3,550,087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3,826,321</w:t>
            </w:r>
          </w:p>
        </w:tc>
      </w:tr>
      <w:tr>
        <w:trPr>
          <w:trHeight w:val="211"/>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attributable to segments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1,868,415</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attributable to segments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1,414,388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254,533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1,668,921</w:t>
            </w:r>
          </w:p>
        </w:tc>
      </w:tr>
      <w:tr>
        <w:trPr>
          <w:trHeight w:val="204"/>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Segment non-GAAP income (loss)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318,680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(29,695)</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288,985</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0"/>
        </w:trPr>
        <w:tc>
          <w:tcPr>
            <w:tcW w:w="54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Reconciliation of total segment non-GAAP loss from operations to loss from</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segment non-GAAP loss from operations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288,985</w:t>
            </w: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 costs not allocated to segments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(293,475)</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(784,285)</w:t>
            </w: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(206,181)</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(23,832)</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Charitable contributions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w:t>
            </w:r>
          </w:p>
        </w:tc>
      </w:tr>
      <w:tr>
        <w:trPr>
          <w:trHeight w:val="211"/>
        </w:trPr>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 costs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(76,636)</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(97,722)</w:t>
            </w:r>
          </w:p>
        </w:tc>
      </w:tr>
      <w:tr>
        <w:trPr>
          <w:trHeight w:val="204"/>
        </w:trPr>
        <w:tc>
          <w:tcPr>
            <w:tcW w:w="5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(1,205,308)</w:t>
            </w:r>
          </w:p>
        </w:tc>
      </w:tr>
      <w:tr>
        <w:trPr>
          <w:trHeight w:val="209"/>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expenses,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(38,324)</w:t>
            </w:r>
          </w:p>
        </w:tc>
      </w:tr>
      <w:tr>
        <w:trPr>
          <w:trHeight w:val="204"/>
        </w:trPr>
        <w:tc>
          <w:tcPr>
            <w:tcW w:w="5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(1,243,632)</w:t>
            </w:r>
          </w:p>
        </w:tc>
      </w:tr>
      <w:tr>
        <w:trPr>
          <w:trHeight w:val="22"/>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Depreciation and amortization expenses, except for amortization of acquired intangibles, that are included in non-GAAP income from operations for the Communications reportable segment was $71.9 million, $74.1 million and $61.9 million in the years ended December 31, 2024, 2023 and 2022, respectively. Amortization of deferred commissions included in non-GAAP income from operations for the Communications reportable segment was $60.7 million, $60.0 million and $47.7 million in the years ended December 31, 2024, 2023 and 2022, respectively.</w:t>
      </w:r>
    </w:p>
    <w:p>
      <w:pPr>
        <w:spacing w:after="0" w:line="208"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Depreciation and amortization expenses, except for amortization of acquired intangibles, that are included in non-GAAP loss from operations for the Segment reportable segment was $18.1 million, $13.7 million and $6.1 million in the years ended December 31, 2024, 2023 and 2022, respectively. Amortization of deferred commissions included in non-GAAP loss from operations for the Segment reportable segment was $15.7 million, $12.9 million and $10.3 million in the years ended December 31, 2024, 2023 and 2022,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 and Hedging</w:t>
      </w:r>
    </w:p>
    <w:p>
      <w:pPr>
        <w:spacing w:after="0" w:line="224" w:lineRule="exact"/>
        <w:rPr>
          <w:sz w:val="20"/>
          <w:szCs w:val="20"/>
          <w:color w:val="auto"/>
        </w:rPr>
      </w:pPr>
    </w:p>
    <w:p>
      <w:pPr>
        <w:ind w:right="140" w:firstLine="480"/>
        <w:spacing w:after="0" w:line="262" w:lineRule="auto"/>
        <w:rPr>
          <w:sz w:val="20"/>
          <w:szCs w:val="20"/>
          <w:color w:val="auto"/>
        </w:rPr>
      </w:pPr>
      <w:r>
        <w:rPr>
          <w:rFonts w:ascii="Times New Roman" w:cs="Times New Roman" w:eastAsia="Times New Roman" w:hAnsi="Times New Roman"/>
          <w:sz w:val="18"/>
          <w:szCs w:val="18"/>
          <w:color w:val="auto"/>
        </w:rPr>
        <w:t>As of December 31, 2024, the Company had outstanding foreign currency forward contracts designated as cash flow hedges with a total sell notional value of $216.4 million. The notional value represents the amount that will be sold upon maturity of the forward contract. As of December 31, 2024, these contracts had maturities of up to 1.4 years. Gains and losses associated with these foreign currency forward contracts were not significant.</w:t>
      </w:r>
    </w:p>
    <w:p>
      <w:pPr>
        <w:spacing w:after="0" w:line="176"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December 31, 2024, the Company did not have any offsetting arrangements.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Right-of-Use Assets and Lease Liabilities</w:t>
      </w:r>
    </w:p>
    <w:p>
      <w:pPr>
        <w:spacing w:after="0" w:line="224"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Company has entered into various operating lease agreements for office space and finance lease agreements for data centers, office equipment and furniture.</w:t>
      </w:r>
    </w:p>
    <w:p>
      <w:pPr>
        <w:spacing w:after="0" w:line="163"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As of December 31, 2024, the Company had various leased properties with remaining lease terms from 0.1 years to 4.8 years, some of which include options to extend the leases for up to 5.0 years.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During 2023 and 2022, as a result of the office closures described in Note 6, the Company impaired several of its ROU assets related to office leases that would no longer be used to support its ongoing operations. In the years ended December 31, 2023 and 2022, the Company recorded $34.8 million and $97.7 million impairment expense, respectively, related to these office closures, of which $24.8 million and $72.8 million, respectively, related to the ROU assets. The remaining impairment expense related to the associated assets in the property, plant and equipment categories. In the year ended December 31, 2024, there was no impairment expense related to office closures. For the years ended December 31, 2024, 2023 and 2022, the Company did not have significant sublease income related to any of its subleased offices.</w:t>
      </w:r>
    </w:p>
    <w:p>
      <w:pPr>
        <w:spacing w:after="0" w:line="185"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Operating lease costs recorded in the accompanying consolidated statements of operations were $25.4 million, $35.7 million and $57.8 million for the years ended December 31, 2024, 2023 and 2022, respectively. Lease costs associated with short-term leases, variable leases and finance leases were not significant.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operating leases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840" w:type="dxa"/>
            <w:vAlign w:val="bottom"/>
          </w:tcPr>
          <w:p>
            <w:pPr>
              <w:spacing w:after="0"/>
              <w:rPr>
                <w:sz w:val="18"/>
                <w:szCs w:val="18"/>
                <w:color w:val="auto"/>
              </w:rPr>
            </w:pPr>
          </w:p>
        </w:tc>
      </w:tr>
      <w:tr>
        <w:trPr>
          <w:trHeight w:val="216"/>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r>
      <w:tr>
        <w:trPr>
          <w:trHeight w:val="208"/>
        </w:trPr>
        <w:tc>
          <w:tcPr>
            <w:tcW w:w="8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paid for amounts included in operating lease liabilities (in thousands)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54,376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65,494</w:t>
            </w:r>
          </w:p>
        </w:tc>
      </w:tr>
      <w:tr>
        <w:trPr>
          <w:trHeight w:val="21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30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bl>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Maturities of operating lease liabilities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6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76"/>
        </w:trPr>
        <w:tc>
          <w:tcPr>
            <w:tcW w:w="20" w:type="dxa"/>
            <w:vAlign w:val="bottom"/>
            <w:shd w:val="clear" w:color="auto" w:fill="CCEEFF"/>
          </w:tcPr>
          <w:p>
            <w:pPr>
              <w:spacing w:after="0"/>
              <w:rPr>
                <w:sz w:val="15"/>
                <w:szCs w:val="15"/>
                <w:color w:val="auto"/>
              </w:rPr>
            </w:pPr>
          </w:p>
        </w:tc>
        <w:tc>
          <w:tcPr>
            <w:tcW w:w="85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Year Ended December 31,</w:t>
            </w:r>
          </w:p>
        </w:tc>
        <w:tc>
          <w:tcPr>
            <w:tcW w:w="200" w:type="dxa"/>
            <w:vAlign w:val="bottom"/>
            <w:shd w:val="clear" w:color="auto" w:fill="CCEEFF"/>
          </w:tcPr>
          <w:p>
            <w:pPr>
              <w:spacing w:after="0"/>
              <w:rPr>
                <w:sz w:val="15"/>
                <w:szCs w:val="15"/>
                <w:color w:val="auto"/>
              </w:rPr>
            </w:pPr>
          </w:p>
        </w:tc>
        <w:tc>
          <w:tcPr>
            <w:tcW w:w="2100" w:type="dxa"/>
            <w:vAlign w:val="bottom"/>
            <w:shd w:val="clear" w:color="auto" w:fill="CCEEFF"/>
          </w:tcPr>
          <w:p>
            <w:pPr>
              <w:jc w:val="right"/>
              <w:ind w:right="661"/>
              <w:spacing w:after="0" w:line="156" w:lineRule="exact"/>
              <w:rPr>
                <w:sz w:val="20"/>
                <w:szCs w:val="20"/>
                <w:color w:val="auto"/>
              </w:rPr>
            </w:pPr>
            <w:r>
              <w:rPr>
                <w:rFonts w:ascii="Times New Roman" w:cs="Times New Roman" w:eastAsia="Times New Roman" w:hAnsi="Times New Roman"/>
                <w:sz w:val="14"/>
                <w:szCs w:val="14"/>
                <w:color w:val="auto"/>
              </w:rPr>
              <w:t>(In thousands)</w:t>
            </w:r>
          </w:p>
        </w:tc>
      </w:tr>
      <w:tr>
        <w:trPr>
          <w:trHeight w:val="211"/>
        </w:trPr>
        <w:tc>
          <w:tcPr>
            <w:tcW w:w="20" w:type="dxa"/>
            <w:vAlign w:val="bottom"/>
            <w:tcBorders>
              <w:top w:val="single" w:sz="8" w:color="CCEEFF"/>
            </w:tcBorders>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2025</w:t>
            </w:r>
          </w:p>
        </w:tc>
        <w:tc>
          <w:tcPr>
            <w:tcW w:w="6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38,474</w:t>
            </w:r>
          </w:p>
        </w:tc>
      </w:tr>
      <w:tr>
        <w:trPr>
          <w:trHeight w:val="216"/>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35,035</w:t>
            </w:r>
          </w:p>
        </w:tc>
      </w:tr>
      <w:tr>
        <w:trPr>
          <w:trHeight w:val="211"/>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27,565</w:t>
            </w:r>
          </w:p>
        </w:tc>
      </w:tr>
      <w:tr>
        <w:trPr>
          <w:trHeight w:val="216"/>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22,588</w:t>
            </w:r>
          </w:p>
        </w:tc>
      </w:tr>
      <w:tr>
        <w:trPr>
          <w:trHeight w:val="211"/>
        </w:trPr>
        <w:tc>
          <w:tcPr>
            <w:tcW w:w="1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6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5,897</w:t>
            </w:r>
          </w:p>
        </w:tc>
      </w:tr>
      <w:tr>
        <w:trPr>
          <w:trHeight w:val="209"/>
        </w:trPr>
        <w:tc>
          <w:tcPr>
            <w:tcW w:w="2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lease payments</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129,559</w:t>
            </w:r>
          </w:p>
        </w:tc>
      </w:tr>
      <w:tr>
        <w:trPr>
          <w:trHeight w:val="211"/>
        </w:trPr>
        <w:tc>
          <w:tcPr>
            <w:tcW w:w="85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(9,999)</w:t>
            </w:r>
          </w:p>
        </w:tc>
      </w:tr>
      <w:tr>
        <w:trPr>
          <w:trHeight w:val="209"/>
        </w:trPr>
        <w:tc>
          <w:tcPr>
            <w:tcW w:w="2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operating lease obligations</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119,560</w:t>
            </w:r>
          </w:p>
        </w:tc>
      </w:tr>
      <w:tr>
        <w:trPr>
          <w:trHeight w:val="211"/>
        </w:trPr>
        <w:tc>
          <w:tcPr>
            <w:tcW w:w="85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current obligations</w:t>
            </w: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(33,685)</w:t>
            </w:r>
          </w:p>
        </w:tc>
      </w:tr>
      <w:tr>
        <w:trPr>
          <w:trHeight w:val="234"/>
        </w:trPr>
        <w:tc>
          <w:tcPr>
            <w:tcW w:w="8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obligations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Method Investment</w:t>
      </w:r>
    </w:p>
    <w:p>
      <w:pPr>
        <w:spacing w:after="0" w:line="224"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In May 2022, the Company acquired 44.6% of the equity interests in Syniverse Corporation (“Syniverse”) for $750.0 million in cash. The Company determined that it does not have a controlling financial interest in Syniverse but does exercise significant influence and, therefore, the investment was accounted for under the equity method. The Company estimated that on the investment closing date there was an excess investment basis of $530.7 million related to its proportionate share of the identifiable intangible assets and $41.3 million related to the associated deferred tax liability. The equity method goodwill was estimated at $623.8 million.</w:t>
      </w:r>
    </w:p>
    <w:p>
      <w:pPr>
        <w:spacing w:after="0" w:line="145" w:lineRule="exact"/>
        <w:rPr>
          <w:sz w:val="20"/>
          <w:szCs w:val="20"/>
          <w:color w:val="auto"/>
        </w:rPr>
      </w:pPr>
    </w:p>
    <w:p>
      <w:pPr>
        <w:ind w:right="700" w:firstLine="480"/>
        <w:spacing w:after="0" w:line="244" w:lineRule="exact"/>
        <w:rPr>
          <w:sz w:val="20"/>
          <w:szCs w:val="20"/>
          <w:color w:val="auto"/>
        </w:rPr>
      </w:pPr>
      <w:r>
        <w:rPr>
          <w:rFonts w:ascii="Times New Roman" w:cs="Times New Roman" w:eastAsia="Times New Roman" w:hAnsi="Times New Roman"/>
          <w:sz w:val="18"/>
          <w:szCs w:val="18"/>
          <w:color w:val="auto"/>
        </w:rPr>
        <w:t>The Company engaged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expert to assist with the valuation analysis. The following table presents the estimated basis differences attributable to the identifiable intangible assets as of the date of investment and their respective useful lives: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vMerge w:val="restart"/>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6"/>
                <w:szCs w:val="16"/>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7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life</w:t>
            </w:r>
          </w:p>
        </w:tc>
        <w:tc>
          <w:tcPr>
            <w:tcW w:w="0" w:type="dxa"/>
            <w:vAlign w:val="bottom"/>
          </w:tcPr>
          <w:p>
            <w:pPr>
              <w:spacing w:after="0"/>
              <w:rPr>
                <w:sz w:val="1"/>
                <w:szCs w:val="1"/>
                <w:color w:val="auto"/>
              </w:rPr>
            </w:pPr>
          </w:p>
        </w:tc>
      </w:tr>
      <w:tr>
        <w:trPr>
          <w:trHeight w:val="187"/>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22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62,767</w:t>
            </w:r>
          </w:p>
        </w:tc>
        <w:tc>
          <w:tcPr>
            <w:tcW w:w="144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1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439,152</w:t>
            </w:r>
          </w:p>
        </w:tc>
        <w:tc>
          <w:tcPr>
            <w:tcW w:w="144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1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09"/>
        </w:trPr>
        <w:tc>
          <w:tcPr>
            <w:tcW w:w="7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basis difference attributable to the identifiable intangible assets</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530,741</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40" w:firstLine="480"/>
        <w:spacing w:after="0" w:line="238" w:lineRule="auto"/>
        <w:rPr>
          <w:sz w:val="20"/>
          <w:szCs w:val="20"/>
          <w:color w:val="auto"/>
        </w:rPr>
      </w:pPr>
      <w:r>
        <w:rPr>
          <w:rFonts w:ascii="Times New Roman" w:cs="Times New Roman" w:eastAsia="Times New Roman" w:hAnsi="Times New Roman"/>
          <w:sz w:val="18"/>
          <w:szCs w:val="18"/>
          <w:color w:val="auto"/>
        </w:rPr>
        <w:t>In the years ended December 31, 2024, 2023 and 2022, the Company recorded $108.5 million, $121.9 million and $35.3 million, respectively, of its proportionate share of the investee's net operating results, the amortization of the basis difference and dilution loss as part of other expenses, net, in the accompanying consolidated statements of operations. The Company also recorded $0.7 million and $15.6 million of its proportionate share of the investee’s other comprehensive income for the years ended December 31, 2024 and 2023, respectively, and $14.9 million of its proportionate share of the investee’s other comprehensive loss for the year ended December 31, 2022, in the accompanying consolidated statements of other comprehensive loss. Results of operations and other comprehensive loss were recorded on a 90-day lag.</w:t>
      </w:r>
    </w:p>
    <w:p>
      <w:pPr>
        <w:spacing w:after="0" w:line="196" w:lineRule="exact"/>
        <w:rPr>
          <w:sz w:val="20"/>
          <w:szCs w:val="20"/>
          <w:color w:val="auto"/>
        </w:rPr>
      </w:pPr>
    </w:p>
    <w:p>
      <w:pPr>
        <w:jc w:val="both"/>
        <w:ind w:right="460" w:firstLine="480"/>
        <w:spacing w:after="0" w:line="262" w:lineRule="auto"/>
        <w:rPr>
          <w:sz w:val="20"/>
          <w:szCs w:val="20"/>
          <w:color w:val="auto"/>
        </w:rPr>
      </w:pPr>
      <w:r>
        <w:rPr>
          <w:rFonts w:ascii="Times New Roman" w:cs="Times New Roman" w:eastAsia="Times New Roman" w:hAnsi="Times New Roman"/>
          <w:sz w:val="18"/>
          <w:szCs w:val="18"/>
          <w:color w:val="auto"/>
        </w:rPr>
        <w:t>As of December 31, 2024 and 2023, the Company held 43.8% and 44.0%, respectively, of the equity interests in Syniverse. The unamortized net excess investment basis was $353.3 million and $410.4 million, respectively. The carrying amount of the investment in the accompanying consolidated balance sheets was $485.8 million and $593.6 million as of December 31, 2024 and 2023, respectively.</w:t>
      </w:r>
    </w:p>
    <w:p>
      <w:pPr>
        <w:spacing w:after="0" w:line="176"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In conjunction with this investment, the Company and Syniverse entered into a wholesale agreement, pursuant to which Syniverse would process, route and deliver application-to-person messages originating and/or terminating between the Company’s customers and mobile network operators. The values of the transactions that occurred between the Company and Syniverse were $145.0 million and $143.7 million for the years ended December 31, 2024 and 2023, respectively, and $89.6 million for the period from the investment closing date on May 13, 2022, through December 31, 2022. These transactions were recorded as cost of revenue in the accompanying consolidated statements of operations.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Summarized financial information of Syniverse is presented below on a one-month lag. The investee’s fiscal year end is November 30.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November 30,</w:t>
            </w:r>
          </w:p>
        </w:tc>
        <w:tc>
          <w:tcPr>
            <w:tcW w:w="1160" w:type="dxa"/>
            <w:vAlign w:val="bottom"/>
            <w:tcBorders>
              <w:bottom w:val="single" w:sz="8" w:color="auto"/>
            </w:tcBorders>
          </w:tcPr>
          <w:p>
            <w:pPr>
              <w:spacing w:after="0"/>
              <w:rPr>
                <w:sz w:val="18"/>
                <w:szCs w:val="18"/>
                <w:color w:val="auto"/>
              </w:rPr>
            </w:pPr>
          </w:p>
        </w:tc>
      </w:tr>
      <w:tr>
        <w:trPr>
          <w:trHeight w:val="208"/>
        </w:trPr>
        <w:tc>
          <w:tcPr>
            <w:tcW w:w="68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6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Pr>
          <w:p>
            <w:pPr>
              <w:spacing w:after="0"/>
              <w:rPr>
                <w:sz w:val="16"/>
                <w:szCs w:val="16"/>
                <w:color w:val="auto"/>
              </w:rPr>
            </w:pPr>
          </w:p>
        </w:tc>
      </w:tr>
      <w:tr>
        <w:trPr>
          <w:trHeight w:val="221"/>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225,975</w:t>
            </w:r>
          </w:p>
        </w:tc>
        <w:tc>
          <w:tcPr>
            <w:tcW w:w="78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195,426</w:t>
            </w:r>
          </w:p>
        </w:tc>
      </w:tr>
      <w:tr>
        <w:trPr>
          <w:trHeight w:val="211"/>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2,344,658</w:t>
            </w:r>
          </w:p>
        </w:tc>
        <w:tc>
          <w:tcPr>
            <w:tcW w:w="78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2,368,645</w:t>
            </w: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232,522</w:t>
            </w:r>
          </w:p>
        </w:tc>
        <w:tc>
          <w:tcPr>
            <w:tcW w:w="78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200,541</w:t>
            </w:r>
          </w:p>
        </w:tc>
      </w:tr>
      <w:tr>
        <w:trPr>
          <w:trHeight w:val="211"/>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1,176,332</w:t>
            </w:r>
          </w:p>
        </w:tc>
        <w:tc>
          <w:tcPr>
            <w:tcW w:w="78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1,153,801</w:t>
            </w: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 controlling interest</w:t>
            </w: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6,027</w:t>
            </w:r>
          </w:p>
        </w:tc>
        <w:tc>
          <w:tcPr>
            <w:tcW w:w="78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November 30,</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00"/>
              <w:spacing w:after="0" w:line="209" w:lineRule="exact"/>
              <w:rPr>
                <w:sz w:val="20"/>
                <w:szCs w:val="20"/>
                <w:color w:val="auto"/>
              </w:rPr>
            </w:pPr>
            <w:r>
              <w:rPr>
                <w:rFonts w:ascii="Times New Roman" w:cs="Times New Roman" w:eastAsia="Times New Roman" w:hAnsi="Times New Roman"/>
                <w:sz w:val="16"/>
                <w:szCs w:val="16"/>
                <w:b w:val="1"/>
                <w:bCs w:val="1"/>
                <w:color w:val="auto"/>
              </w:rPr>
              <w:t>2022</w:t>
            </w:r>
            <w:r>
              <w:rPr>
                <w:rFonts w:ascii="Times New Roman" w:cs="Times New Roman" w:eastAsia="Times New Roman" w:hAnsi="Times New Roman"/>
                <w:sz w:val="20"/>
                <w:szCs w:val="20"/>
                <w:b w:val="1"/>
                <w:bCs w:val="1"/>
                <w:color w:val="auto"/>
                <w:vertAlign w:val="superscript"/>
              </w:rPr>
              <w:t>(1)</w:t>
            </w:r>
          </w:p>
        </w:tc>
      </w:tr>
      <w:tr>
        <w:trPr>
          <w:trHeight w:val="186"/>
        </w:trPr>
        <w:tc>
          <w:tcPr>
            <w:tcW w:w="5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Pr>
          <w:p>
            <w:pPr>
              <w:jc w:val="center"/>
              <w:ind w:right="281"/>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819,164</w:t>
            </w:r>
          </w:p>
        </w:tc>
        <w:tc>
          <w:tcPr>
            <w:tcW w:w="3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739,317</w:t>
            </w:r>
          </w:p>
        </w:tc>
        <w:tc>
          <w:tcPr>
            <w:tcW w:w="4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center"/>
              <w:ind w:left="680"/>
              <w:spacing w:after="0"/>
              <w:rPr>
                <w:sz w:val="20"/>
                <w:szCs w:val="20"/>
                <w:color w:val="auto"/>
              </w:rPr>
            </w:pPr>
            <w:r>
              <w:rPr>
                <w:rFonts w:ascii="Times New Roman" w:cs="Times New Roman" w:eastAsia="Times New Roman" w:hAnsi="Times New Roman"/>
                <w:sz w:val="16"/>
                <w:szCs w:val="16"/>
                <w:color w:val="auto"/>
                <w:w w:val="99"/>
              </w:rPr>
              <w:t>753,913</w:t>
            </w:r>
          </w:p>
        </w:tc>
      </w:tr>
      <w:tr>
        <w:trPr>
          <w:trHeight w:val="211"/>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 (excluding depreciation and amortization)</w:t>
            </w:r>
          </w:p>
        </w:tc>
        <w:tc>
          <w:tcPr>
            <w:tcW w:w="1140" w:type="dxa"/>
            <w:vAlign w:val="bottom"/>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474,081</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430,140</w:t>
            </w:r>
          </w:p>
        </w:tc>
        <w:tc>
          <w:tcPr>
            <w:tcW w:w="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center"/>
              <w:ind w:left="680"/>
              <w:spacing w:after="0"/>
              <w:rPr>
                <w:sz w:val="20"/>
                <w:szCs w:val="20"/>
                <w:color w:val="auto"/>
              </w:rPr>
            </w:pPr>
            <w:r>
              <w:rPr>
                <w:rFonts w:ascii="Times New Roman" w:cs="Times New Roman" w:eastAsia="Times New Roman" w:hAnsi="Times New Roman"/>
                <w:sz w:val="16"/>
                <w:szCs w:val="16"/>
                <w:color w:val="auto"/>
                <w:w w:val="99"/>
              </w:rPr>
              <w:t>466,340</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113,950</w:t>
            </w:r>
          </w:p>
        </w:tc>
        <w:tc>
          <w:tcPr>
            <w:tcW w:w="3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67,870</w:t>
            </w:r>
          </w:p>
        </w:tc>
        <w:tc>
          <w:tcPr>
            <w:tcW w:w="4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center"/>
              <w:ind w:left="640"/>
              <w:spacing w:after="0"/>
              <w:rPr>
                <w:sz w:val="20"/>
                <w:szCs w:val="20"/>
                <w:color w:val="auto"/>
              </w:rPr>
            </w:pPr>
            <w:r>
              <w:rPr>
                <w:rFonts w:ascii="Times New Roman" w:cs="Times New Roman" w:eastAsia="Times New Roman" w:hAnsi="Times New Roman"/>
                <w:sz w:val="16"/>
                <w:szCs w:val="16"/>
                <w:color w:val="auto"/>
              </w:rPr>
              <w:t>(147,166)</w:t>
            </w:r>
          </w:p>
        </w:tc>
      </w:tr>
      <w:tr>
        <w:trPr>
          <w:trHeight w:val="211"/>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(38,849)</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(89,096)</w:t>
            </w:r>
          </w:p>
        </w:tc>
        <w:tc>
          <w:tcPr>
            <w:tcW w:w="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center"/>
              <w:ind w:left="640"/>
              <w:spacing w:after="0"/>
              <w:rPr>
                <w:sz w:val="20"/>
                <w:szCs w:val="20"/>
                <w:color w:val="auto"/>
              </w:rPr>
            </w:pPr>
            <w:r>
              <w:rPr>
                <w:rFonts w:ascii="Times New Roman" w:cs="Times New Roman" w:eastAsia="Times New Roman" w:hAnsi="Times New Roman"/>
                <w:sz w:val="16"/>
                <w:szCs w:val="16"/>
                <w:color w:val="auto"/>
              </w:rPr>
              <w:t>(312,773)</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Syniverse Corporation</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(40,917)</w:t>
            </w:r>
          </w:p>
        </w:tc>
        <w:tc>
          <w:tcPr>
            <w:tcW w:w="3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(90,770)</w:t>
            </w:r>
          </w:p>
        </w:tc>
        <w:tc>
          <w:tcPr>
            <w:tcW w:w="4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center"/>
              <w:ind w:left="640"/>
              <w:spacing w:after="0"/>
              <w:rPr>
                <w:sz w:val="20"/>
                <w:szCs w:val="20"/>
                <w:color w:val="auto"/>
              </w:rPr>
            </w:pPr>
            <w:r>
              <w:rPr>
                <w:rFonts w:ascii="Times New Roman" w:cs="Times New Roman" w:eastAsia="Times New Roman" w:hAnsi="Times New Roman"/>
                <w:sz w:val="16"/>
                <w:szCs w:val="16"/>
                <w:color w:val="auto"/>
              </w:rPr>
              <w:t>(314,379)</w:t>
            </w: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1" w:lineRule="exact"/>
        <w:rPr>
          <w:sz w:val="20"/>
          <w:szCs w:val="20"/>
          <w:color w:val="auto"/>
        </w:rPr>
      </w:pPr>
    </w:p>
    <w:p>
      <w:pPr>
        <w:ind w:left="160" w:hanging="153"/>
        <w:spacing w:after="0"/>
        <w:tabs>
          <w:tab w:leader="none" w:pos="16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invested in the investee in May 2022. It is impracticable to provide audited financial information for a partial fiscal year due to its unavailability.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Goodwill and Intangible Assets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1"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During 2023, as a result of business reorganization events, the Company shifted from a single reporting unit structure to a multiple reporting unit structure. The Company reallocated goodwill to its newly formed reporting units and tested goodwill for impairment on the reporting unit level immediately before and immediately after each reorganization. The Company engaged a third-party expert to assist in the valuation analysis. The Company concluded that its goodwill was not impaired immediately before and immediately after each reorganization.</w:t>
      </w:r>
    </w:p>
    <w:p>
      <w:pPr>
        <w:spacing w:after="0" w:line="208" w:lineRule="exact"/>
        <w:rPr>
          <w:sz w:val="20"/>
          <w:szCs w:val="20"/>
          <w:color w:val="auto"/>
        </w:rPr>
      </w:pPr>
    </w:p>
    <w:p>
      <w:pPr>
        <w:jc w:val="both"/>
        <w:ind w:right="60" w:firstLine="480"/>
        <w:spacing w:after="0" w:line="257" w:lineRule="auto"/>
        <w:rPr>
          <w:sz w:val="20"/>
          <w:szCs w:val="20"/>
          <w:color w:val="auto"/>
        </w:rPr>
      </w:pPr>
      <w:r>
        <w:rPr>
          <w:rFonts w:ascii="Times New Roman" w:cs="Times New Roman" w:eastAsia="Times New Roman" w:hAnsi="Times New Roman"/>
          <w:sz w:val="18"/>
          <w:szCs w:val="18"/>
          <w:color w:val="auto"/>
        </w:rPr>
        <w:t>To allocate goodwill to the newly formed reporting units in 2023, the Company estimated the fair value of its reporting units using a weighting of fair values derived from an income and a market approach. Estimating the fair value by these methods involves the use of various assumptions that the Company believes were reasonable under then current circumstances. Under the income approach, the Company determined the fair value of a reporting unit based on the present value of estimated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future cash flows using the cash flow projections prepared by management. The market approach estimates the fair value based on market multiples of revenue or adjusted EBITDA, as applicable, derived from comparable publicly traded companies with similar operating and investment characteristics as the reporting unit. While these assumptions reflect management’s best estimates of future performance at that time, the estimates are inherently complex and uncertain and the Company’s actual results could differ materially from the estimates.</w:t>
      </w:r>
    </w:p>
    <w:p>
      <w:pPr>
        <w:spacing w:after="0" w:line="2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presents the goodwill allocated to the Company’s reportable segments as of December 31, 2024 and 2023, and the changes during the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Twilio</w:t>
            </w:r>
          </w:p>
        </w:tc>
        <w:tc>
          <w:tcPr>
            <w:tcW w:w="280" w:type="dxa"/>
            <w:vAlign w:val="bottom"/>
          </w:tcPr>
          <w:p>
            <w:pPr>
              <w:spacing w:after="0"/>
              <w:rPr>
                <w:sz w:val="16"/>
                <w:szCs w:val="16"/>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Twilio</w:t>
            </w:r>
          </w:p>
        </w:tc>
        <w:tc>
          <w:tcPr>
            <w:tcW w:w="360" w:type="dxa"/>
            <w:vAlign w:val="bottom"/>
          </w:tcPr>
          <w:p>
            <w:pPr>
              <w:spacing w:after="0"/>
              <w:rPr>
                <w:sz w:val="16"/>
                <w:szCs w:val="16"/>
                <w:color w:val="auto"/>
              </w:rPr>
            </w:pPr>
          </w:p>
        </w:tc>
        <w:tc>
          <w:tcPr>
            <w:tcW w:w="1280" w:type="dxa"/>
            <w:vAlign w:val="bottom"/>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Segment</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5,284,153</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5240" w:type="dxa"/>
            <w:vAlign w:val="bottom"/>
          </w:tcPr>
          <w:p>
            <w:pPr>
              <w:ind w:left="180"/>
              <w:spacing w:after="0" w:line="213" w:lineRule="exact"/>
              <w:rPr>
                <w:sz w:val="20"/>
                <w:szCs w:val="20"/>
                <w:color w:val="auto"/>
              </w:rPr>
            </w:pPr>
            <w:r>
              <w:rPr>
                <w:rFonts w:ascii="Times New Roman" w:cs="Times New Roman" w:eastAsia="Times New Roman" w:hAnsi="Times New Roman"/>
                <w:sz w:val="16"/>
                <w:szCs w:val="16"/>
                <w:color w:val="auto"/>
              </w:rPr>
              <w:t>Reallocation to segments in 2023</w:t>
            </w:r>
            <w:r>
              <w:rPr>
                <w:rFonts w:ascii="Times New Roman" w:cs="Times New Roman" w:eastAsia="Times New Roman" w:hAnsi="Times New Roman"/>
                <w:sz w:val="20"/>
                <w:szCs w:val="20"/>
                <w:color w:val="auto"/>
                <w:vertAlign w:val="superscript"/>
              </w:rPr>
              <w:t>(1)</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4,978,094</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5240" w:type="dxa"/>
            <w:vAlign w:val="bottom"/>
          </w:tcPr>
          <w:p>
            <w:pPr>
              <w:ind w:left="180"/>
              <w:spacing w:after="0" w:line="213" w:lineRule="exact"/>
              <w:rPr>
                <w:sz w:val="20"/>
                <w:szCs w:val="20"/>
                <w:color w:val="auto"/>
              </w:rPr>
            </w:pPr>
            <w:r>
              <w:rPr>
                <w:rFonts w:ascii="Times New Roman" w:cs="Times New Roman" w:eastAsia="Times New Roman" w:hAnsi="Times New Roman"/>
                <w:sz w:val="16"/>
                <w:szCs w:val="16"/>
                <w:color w:val="auto"/>
              </w:rPr>
              <w:t>Goodwill divested</w:t>
            </w:r>
            <w:r>
              <w:rPr>
                <w:rFonts w:ascii="Times New Roman" w:cs="Times New Roman" w:eastAsia="Times New Roman" w:hAnsi="Times New Roman"/>
                <w:sz w:val="20"/>
                <w:szCs w:val="20"/>
                <w:color w:val="auto"/>
                <w:vertAlign w:val="superscript"/>
              </w:rPr>
              <w:t>(2)</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(41,164)</w:t>
            </w:r>
          </w:p>
        </w:tc>
        <w:tc>
          <w:tcPr>
            <w:tcW w:w="0" w:type="dxa"/>
            <w:vAlign w:val="bottom"/>
          </w:tcPr>
          <w:p>
            <w:pPr>
              <w:spacing w:after="0"/>
              <w:rPr>
                <w:sz w:val="1"/>
                <w:szCs w:val="1"/>
                <w:color w:val="auto"/>
              </w:rPr>
            </w:pPr>
          </w:p>
        </w:tc>
      </w:tr>
      <w:tr>
        <w:trPr>
          <w:trHeight w:val="205"/>
        </w:trPr>
        <w:tc>
          <w:tcPr>
            <w:tcW w:w="5240" w:type="dxa"/>
            <w:vAlign w:val="bottom"/>
            <w:tcBorders>
              <w:top w:val="single" w:sz="8" w:color="CCEEFF"/>
              <w:bottom w:val="single" w:sz="8" w:color="CCEEFF"/>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 as of December 31, 2023</w:t>
            </w:r>
          </w:p>
        </w:tc>
        <w:tc>
          <w:tcPr>
            <w:tcW w:w="220" w:type="dxa"/>
            <w:vAlign w:val="bottom"/>
            <w:tcBorders>
              <w:top w:val="single" w:sz="8" w:color="auto"/>
              <w:bottom w:val="single" w:sz="8" w:color="auto"/>
            </w:tcBorders>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4,937,181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306,085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5,243,266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spacing w:after="0" w:line="219" w:lineRule="auto"/>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Represents reallocation of goodwill as a result of the change in reporting unit structure in 2023.</w:t>
      </w:r>
    </w:p>
    <w:p>
      <w:pPr>
        <w:ind w:left="320" w:hanging="135"/>
        <w:spacing w:after="0" w:line="219" w:lineRule="auto"/>
        <w:tabs>
          <w:tab w:leader="none" w:pos="32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goodwill related to the divestitures of the ValueFirst business and IoT asset group in 2023, as described in Note 5.</w:t>
      </w:r>
    </w:p>
    <w:p>
      <w:pPr>
        <w:spacing w:after="0" w:line="100" w:lineRule="exact"/>
        <w:rPr>
          <w:sz w:val="20"/>
          <w:szCs w:val="20"/>
          <w:color w:val="auto"/>
        </w:rPr>
      </w:pPr>
    </w:p>
    <w:p>
      <w:pPr>
        <w:ind w:right="160" w:firstLine="640"/>
        <w:spacing w:after="0" w:line="277" w:lineRule="auto"/>
        <w:rPr>
          <w:sz w:val="20"/>
          <w:szCs w:val="20"/>
          <w:color w:val="auto"/>
        </w:rPr>
      </w:pPr>
      <w:r>
        <w:rPr>
          <w:rFonts w:ascii="Times New Roman" w:cs="Times New Roman" w:eastAsia="Times New Roman" w:hAnsi="Times New Roman"/>
          <w:sz w:val="18"/>
          <w:szCs w:val="18"/>
          <w:color w:val="auto"/>
        </w:rPr>
        <w:t>There was no goodwill activity during the year ended December 31, 2024. As of December 31, 2024, the balance of the Company’s goodwill was $5.2 billion, of which $4.9 billion relates to the Communications reportable segment and $306.1 million relates to the Segment reportable segment.</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As of December 31, 2024</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2"/>
        </w:trPr>
        <w:tc>
          <w:tcPr>
            <w:tcW w:w="6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388,341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(306,063)</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132,791</w:t>
            </w:r>
          </w:p>
        </w:tc>
        <w:tc>
          <w:tcPr>
            <w:tcW w:w="0" w:type="dxa"/>
            <w:vAlign w:val="bottom"/>
          </w:tcPr>
          <w:p>
            <w:pPr>
              <w:spacing w:after="0"/>
              <w:rPr>
                <w:sz w:val="1"/>
                <w:szCs w:val="1"/>
                <w:color w:val="auto"/>
              </w:rPr>
            </w:pPr>
          </w:p>
        </w:tc>
      </w:tr>
      <w:tr>
        <w:trPr>
          <w:trHeight w:val="211"/>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Supplier relationships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11"/>
        </w:trPr>
        <w:tc>
          <w:tcPr>
            <w:tcW w:w="6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Patent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816,347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233,288</w:t>
            </w:r>
          </w:p>
        </w:tc>
        <w:tc>
          <w:tcPr>
            <w:tcW w:w="0" w:type="dxa"/>
            <w:vAlign w:val="bottom"/>
          </w:tcPr>
          <w:p>
            <w:pPr>
              <w:spacing w:after="0"/>
              <w:rPr>
                <w:sz w:val="1"/>
                <w:szCs w:val="1"/>
                <w:color w:val="auto"/>
              </w:rPr>
            </w:pPr>
          </w:p>
        </w:tc>
      </w:tr>
      <w:tr>
        <w:trPr>
          <w:trHeight w:val="191"/>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Non-amortizable intangible assets: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1"/>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 and other</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34"/>
        </w:trPr>
        <w:tc>
          <w:tcPr>
            <w:tcW w:w="63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821,562</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238,503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As of December 31, 2023</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2"/>
        </w:trPr>
        <w:tc>
          <w:tcPr>
            <w:tcW w:w="6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397,473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(259,635)</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137,838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178,563</w:t>
            </w:r>
          </w:p>
        </w:tc>
        <w:tc>
          <w:tcPr>
            <w:tcW w:w="0" w:type="dxa"/>
            <w:vAlign w:val="bottom"/>
          </w:tcPr>
          <w:p>
            <w:pPr>
              <w:spacing w:after="0"/>
              <w:rPr>
                <w:sz w:val="1"/>
                <w:szCs w:val="1"/>
                <w:color w:val="auto"/>
              </w:rPr>
            </w:pPr>
          </w:p>
        </w:tc>
      </w:tr>
      <w:tr>
        <w:trPr>
          <w:trHeight w:val="211"/>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Supplier relationships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0" w:type="dxa"/>
            <w:vAlign w:val="bottom"/>
          </w:tcPr>
          <w:p>
            <w:pPr>
              <w:spacing w:after="0"/>
              <w:rPr>
                <w:sz w:val="1"/>
                <w:szCs w:val="1"/>
                <w:color w:val="auto"/>
              </w:rPr>
            </w:pPr>
          </w:p>
        </w:tc>
      </w:tr>
      <w:tr>
        <w:trPr>
          <w:trHeight w:val="211"/>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Order backlog</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Patent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0" w:type="dxa"/>
            <w:vAlign w:val="bottom"/>
          </w:tcPr>
          <w:p>
            <w:pPr>
              <w:spacing w:after="0"/>
              <w:rPr>
                <w:sz w:val="1"/>
                <w:szCs w:val="1"/>
                <w:color w:val="auto"/>
              </w:rPr>
            </w:pPr>
          </w:p>
        </w:tc>
      </w:tr>
      <w:tr>
        <w:trPr>
          <w:trHeight w:val="204"/>
        </w:trPr>
        <w:tc>
          <w:tcPr>
            <w:tcW w:w="63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836,239</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(490,964)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345,275</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Non-amortizable intangible 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Trademarks and other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07"/>
        </w:trPr>
        <w:tc>
          <w:tcPr>
            <w:tcW w:w="6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841,454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(490,964)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350,490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Amortization expense was $112.0 million, $192.5 million and $206.4 million for the years ended December 31, 2024, 2023 and 2022, respectively.</w:t>
      </w:r>
    </w:p>
    <w:p>
      <w:pPr>
        <w:spacing w:after="0" w:line="231" w:lineRule="exact"/>
        <w:rPr>
          <w:sz w:val="20"/>
          <w:szCs w:val="20"/>
          <w:color w:val="auto"/>
        </w:rPr>
      </w:pPr>
    </w:p>
    <w:p>
      <w:pPr>
        <w:jc w:val="both"/>
        <w:ind w:right="220" w:firstLine="480"/>
        <w:spacing w:after="0" w:line="277" w:lineRule="auto"/>
        <w:rPr>
          <w:sz w:val="20"/>
          <w:szCs w:val="20"/>
          <w:color w:val="auto"/>
        </w:rPr>
      </w:pPr>
      <w:r>
        <w:rPr>
          <w:rFonts w:ascii="Times New Roman" w:cs="Times New Roman" w:eastAsia="Times New Roman" w:hAnsi="Times New Roman"/>
          <w:sz w:val="18"/>
          <w:szCs w:val="18"/>
          <w:color w:val="auto"/>
        </w:rPr>
        <w:t>There was no impairment related to intangible assets in the year ended December 31, 2024. In the year ended December 31, 2023, the Company recorded an impairment charge related to certain of its intangible assets, as described in Note 6.</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estimated future amortization expense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60"/>
        </w:trPr>
        <w:tc>
          <w:tcPr>
            <w:tcW w:w="85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6"/>
                <w:szCs w:val="16"/>
                <w:color w:val="auto"/>
              </w:rPr>
              <w:t>Year Ended December 31,</w:t>
            </w:r>
          </w:p>
        </w:tc>
        <w:tc>
          <w:tcPr>
            <w:tcW w:w="180" w:type="dxa"/>
            <w:vAlign w:val="bottom"/>
          </w:tcPr>
          <w:p>
            <w:pPr>
              <w:spacing w:after="0"/>
              <w:rPr>
                <w:sz w:val="13"/>
                <w:szCs w:val="13"/>
                <w:color w:val="auto"/>
              </w:rPr>
            </w:pPr>
          </w:p>
        </w:tc>
        <w:tc>
          <w:tcPr>
            <w:tcW w:w="2040" w:type="dxa"/>
            <w:vAlign w:val="bottom"/>
          </w:tcPr>
          <w:p>
            <w:pPr>
              <w:jc w:val="right"/>
              <w:ind w:right="621"/>
              <w:spacing w:after="0"/>
              <w:rPr>
                <w:sz w:val="20"/>
                <w:szCs w:val="20"/>
                <w:color w:val="auto"/>
              </w:rPr>
            </w:pPr>
            <w:r>
              <w:rPr>
                <w:rFonts w:ascii="Times New Roman" w:cs="Times New Roman" w:eastAsia="Times New Roman" w:hAnsi="Times New Roman"/>
                <w:sz w:val="14"/>
                <w:szCs w:val="14"/>
                <w:color w:val="auto"/>
              </w:rPr>
              <w:t>(In thousands)</w:t>
            </w: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3"/>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107,862</w:t>
            </w:r>
          </w:p>
        </w:tc>
      </w:tr>
      <w:tr>
        <w:trPr>
          <w:trHeight w:val="211"/>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42,149</w:t>
            </w:r>
          </w:p>
        </w:tc>
      </w:tr>
      <w:tr>
        <w:trPr>
          <w:trHeight w:val="216"/>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25,330</w:t>
            </w:r>
          </w:p>
        </w:tc>
      </w:tr>
      <w:tr>
        <w:trPr>
          <w:trHeight w:val="211"/>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19,055</w:t>
            </w:r>
          </w:p>
        </w:tc>
      </w:tr>
      <w:tr>
        <w:trPr>
          <w:trHeight w:val="216"/>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14,970</w:t>
            </w:r>
          </w:p>
        </w:tc>
      </w:tr>
      <w:tr>
        <w:trPr>
          <w:trHeight w:val="211"/>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23,922</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Balance Sheet Components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566535" cy="135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66535" cy="135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566535" cy="161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66535" cy="161290"/>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p>
      <w:pPr>
        <w:spacing w:after="0" w:line="3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payroll and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566535" cy="135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66535" cy="135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Company-wide bonus program liability</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bonus and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566535" cy="135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66535" cy="135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cost of revenue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Sales and other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566535" cy="135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66535" cy="135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Restructuring liability</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566535" cy="135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66535" cy="135255"/>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Long-Term Debt</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2029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6574790" cy="135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74790" cy="13525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Principal</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Unamortized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574790" cy="135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74790" cy="135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Unamortized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574790" cy="144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74790" cy="144145"/>
                    </a:xfrm>
                    <a:prstGeom prst="rect">
                      <a:avLst/>
                    </a:prstGeom>
                    <a:noFill/>
                  </pic:spPr>
                </pic:pic>
              </a:graphicData>
            </a:graphic>
          </wp:anchor>
        </w:drawing>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Net carrying amount</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2031 Senior Notes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574790" cy="135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74790" cy="135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Unamortized discount</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Unamortized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574790" cy="135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74790" cy="135255"/>
                    </a:xfrm>
                    <a:prstGeom prst="rect">
                      <a:avLst/>
                    </a:prstGeom>
                    <a:noFill/>
                  </pic:spPr>
                </pic:pic>
              </a:graphicData>
            </a:graphic>
          </wp:anchor>
        </w:drawing>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Net 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574790" cy="161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74790" cy="161290"/>
                    </a:xfrm>
                    <a:prstGeom prst="rect">
                      <a:avLst/>
                    </a:prstGeom>
                    <a:noFill/>
                  </pic:spPr>
                </pic:pic>
              </a:graphicData>
            </a:graphic>
          </wp:anchor>
        </w:drawing>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Total long-term debt, net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9"/>
        </w:trPr>
        <w:tc>
          <w:tcPr>
            <w:tcW w:w="380" w:type="dxa"/>
            <w:vAlign w:val="bottom"/>
          </w:tcPr>
          <w:p>
            <w:pPr>
              <w:spacing w:after="0"/>
              <w:rPr>
                <w:sz w:val="15"/>
                <w:szCs w:val="15"/>
                <w:color w:val="auto"/>
              </w:rPr>
            </w:pPr>
          </w:p>
        </w:tc>
        <w:tc>
          <w:tcPr>
            <w:tcW w:w="1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Pr>
          <w:p>
            <w:pPr>
              <w:spacing w:after="0"/>
              <w:rPr>
                <w:sz w:val="15"/>
                <w:szCs w:val="15"/>
                <w:color w:val="auto"/>
              </w:rPr>
            </w:pPr>
          </w:p>
        </w:tc>
      </w:tr>
      <w:tr>
        <w:trPr>
          <w:trHeight w:val="224"/>
        </w:trPr>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333,911</w:t>
            </w:r>
          </w:p>
        </w:tc>
        <w:tc>
          <w:tcPr>
            <w:tcW w:w="80" w:type="dxa"/>
            <w:vAlign w:val="bottom"/>
          </w:tcPr>
          <w:p>
            <w:pPr>
              <w:spacing w:after="0"/>
              <w:rPr>
                <w:sz w:val="19"/>
                <w:szCs w:val="19"/>
                <w:color w:val="auto"/>
              </w:rPr>
            </w:pPr>
          </w:p>
        </w:tc>
        <w:tc>
          <w:tcPr>
            <w:tcW w:w="5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196,850</w:t>
            </w:r>
          </w:p>
        </w:tc>
      </w:tr>
      <w:tr>
        <w:trPr>
          <w:trHeight w:val="216"/>
        </w:trPr>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140,449</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132,354</w:t>
            </w:r>
          </w:p>
        </w:tc>
      </w:tr>
      <w:tr>
        <w:trPr>
          <w:trHeight w:val="207"/>
        </w:trPr>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474,360</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329,204</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9"/>
        </w:trPr>
        <w:tc>
          <w:tcPr>
            <w:tcW w:w="380" w:type="dxa"/>
            <w:vAlign w:val="bottom"/>
          </w:tcPr>
          <w:p>
            <w:pPr>
              <w:spacing w:after="0"/>
              <w:rPr>
                <w:sz w:val="15"/>
                <w:szCs w:val="15"/>
                <w:color w:val="auto"/>
              </w:rPr>
            </w:pPr>
          </w:p>
        </w:tc>
        <w:tc>
          <w:tcPr>
            <w:tcW w:w="1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Pr>
          <w:p>
            <w:pPr>
              <w:spacing w:after="0"/>
              <w:rPr>
                <w:sz w:val="15"/>
                <w:szCs w:val="15"/>
                <w:color w:val="auto"/>
              </w:rPr>
            </w:pPr>
          </w:p>
        </w:tc>
      </w:tr>
      <w:tr>
        <w:trPr>
          <w:trHeight w:val="224"/>
        </w:trPr>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76,708</w:t>
            </w:r>
          </w:p>
        </w:tc>
        <w:tc>
          <w:tcPr>
            <w:tcW w:w="80" w:type="dxa"/>
            <w:vAlign w:val="bottom"/>
          </w:tcPr>
          <w:p>
            <w:pPr>
              <w:spacing w:after="0"/>
              <w:rPr>
                <w:sz w:val="19"/>
                <w:szCs w:val="19"/>
                <w:color w:val="auto"/>
              </w:rPr>
            </w:pPr>
          </w:p>
        </w:tc>
        <w:tc>
          <w:tcPr>
            <w:tcW w:w="5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77,593</w:t>
            </w:r>
          </w:p>
        </w:tc>
      </w:tr>
      <w:tr>
        <w:trPr>
          <w:trHeight w:val="213"/>
        </w:trPr>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109,776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21,585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17,345</w:t>
            </w:r>
          </w:p>
        </w:tc>
      </w:tr>
      <w:tr>
        <w:trPr>
          <w:trHeight w:val="213"/>
        </w:trPr>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173,739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155,721</w:t>
            </w:r>
          </w:p>
        </w:tc>
      </w:tr>
      <w:tr>
        <w:trPr>
          <w:trHeight w:val="213"/>
        </w:trPr>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79,731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70,913</w:t>
            </w:r>
          </w:p>
        </w:tc>
      </w:tr>
      <w:tr>
        <w:trPr>
          <w:trHeight w:val="213"/>
        </w:trPr>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29,086</w:t>
            </w:r>
          </w:p>
        </w:tc>
      </w:tr>
      <w:tr>
        <w:trPr>
          <w:trHeight w:val="216"/>
        </w:trPr>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68,829</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73,653</w:t>
            </w:r>
          </w:p>
        </w:tc>
      </w:tr>
      <w:tr>
        <w:trPr>
          <w:trHeight w:val="207"/>
        </w:trPr>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530,686</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424,311</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9"/>
        </w:trPr>
        <w:tc>
          <w:tcPr>
            <w:tcW w:w="380" w:type="dxa"/>
            <w:vAlign w:val="bottom"/>
          </w:tcPr>
          <w:p>
            <w:pPr>
              <w:spacing w:after="0"/>
              <w:rPr>
                <w:sz w:val="15"/>
                <w:szCs w:val="15"/>
                <w:color w:val="auto"/>
              </w:rPr>
            </w:pP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15"/>
                <w:szCs w:val="15"/>
                <w:color w:val="auto"/>
              </w:rPr>
            </w:pPr>
          </w:p>
        </w:tc>
      </w:tr>
      <w:tr>
        <w:trPr>
          <w:trHeight w:val="437"/>
        </w:trPr>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4"/>
                <w:szCs w:val="24"/>
                <w:color w:val="auto"/>
              </w:rPr>
            </w:pPr>
          </w:p>
        </w:tc>
        <w:tc>
          <w:tcPr>
            <w:tcW w:w="50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16"/>
        </w:trPr>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07"/>
        </w:trPr>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495,690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494,764</w:t>
            </w:r>
          </w:p>
        </w:tc>
      </w:tr>
      <w:tr>
        <w:trPr>
          <w:trHeight w:val="404"/>
        </w:trPr>
        <w:tc>
          <w:tcPr>
            <w:tcW w:w="380" w:type="dxa"/>
            <w:vAlign w:val="bottom"/>
          </w:tcPr>
          <w:p>
            <w:pPr>
              <w:spacing w:after="0"/>
              <w:rPr>
                <w:sz w:val="24"/>
                <w:szCs w:val="24"/>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w:t>
            </w:r>
          </w:p>
        </w:tc>
      </w:tr>
      <w:tr>
        <w:trPr>
          <w:trHeight w:val="216"/>
        </w:trPr>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207"/>
        </w:trPr>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494,897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494,189</w:t>
            </w:r>
          </w:p>
        </w:tc>
      </w:tr>
      <w:tr>
        <w:trPr>
          <w:trHeight w:val="207"/>
        </w:trPr>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990,587</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988,953</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260" w:space="720"/>
            <w:col w:w="3380"/>
          </w:cols>
          <w:pgMar w:left="320" w:top="121" w:right="12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2029 and 2031 Senior Notes</w:t>
      </w:r>
    </w:p>
    <w:p>
      <w:pPr>
        <w:spacing w:after="0" w:line="224"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In March 2021, the Company issued $1.0 billion aggregate principal amount of senior notes, consisting of $500.0 million principal amount of 3.625% notes due 2029 (the “2029 Notes”) and $500.0 million principal amount of 3.875% notes due 2031 (the “2031 Notes” and together with the 2029 Notes, the “Notes”). Initially, none of the Company’s subsidiaries guaranteed the Notes. However, under certain circumstances in the future the Notes can be guaranteed by each of the Company’s material domestic subsidiaries. The 2029 Notes and 2031 Notes will mature on March 15, 2029 and March 15, 2031, respectively. Interest payments are payable semi-annually in arrears on March 15 and September 15 of each year.</w:t>
      </w:r>
    </w:p>
    <w:p>
      <w:pPr>
        <w:spacing w:after="0" w:line="186"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The aggregate net proceeds from offering of the Notes were approximately $984.7 million after deducting underwriting discounts and issuance costs paid by the Company.</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the Company may voluntarily redeem the 2029 Notes, in whole or in part, under the following circumstances:</w:t>
      </w:r>
    </w:p>
    <w:p>
      <w:pPr>
        <w:spacing w:after="0" w:line="220" w:lineRule="exact"/>
        <w:rPr>
          <w:sz w:val="20"/>
          <w:szCs w:val="20"/>
          <w:color w:val="auto"/>
        </w:rPr>
      </w:pPr>
    </w:p>
    <w:p>
      <w:pPr>
        <w:ind w:left="1280" w:hanging="473"/>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2024 at a prepayment price equal to 101.813% of the principal amount;</w:t>
      </w:r>
    </w:p>
    <w:p>
      <w:pPr>
        <w:spacing w:after="0" w:line="219"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2025 at a prepayment price equal to 100.906% of the principal amount; and</w:t>
      </w:r>
    </w:p>
    <w:p>
      <w:pPr>
        <w:spacing w:after="0" w:line="219"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2026 at a prepayment price equal to 100.000% of the principal amount;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each case, the redemption will include the accrued and unpaid interest, as applicable.</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the Company may voluntarily redeem the 2031 Notes, in whole or in part, under the following circumstances:</w:t>
      </w:r>
    </w:p>
    <w:p>
      <w:pPr>
        <w:spacing w:after="0" w:line="220" w:lineRule="exact"/>
        <w:rPr>
          <w:sz w:val="20"/>
          <w:szCs w:val="20"/>
          <w:color w:val="auto"/>
        </w:rPr>
      </w:pPr>
    </w:p>
    <w:p>
      <w:pPr>
        <w:ind w:left="1280" w:hanging="473"/>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March 15, 2026 at 100% of the principal amount, plus a “make-whole” premium;</w:t>
      </w:r>
    </w:p>
    <w:p>
      <w:pPr>
        <w:spacing w:after="0" w:line="219"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2026 at a prepayment price equal to 101.938% of the principal amount;</w:t>
      </w:r>
    </w:p>
    <w:p>
      <w:pPr>
        <w:spacing w:after="0" w:line="219"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2027 at a prepayment price equal to 101.292% of the principal amount;</w:t>
      </w:r>
    </w:p>
    <w:p>
      <w:pPr>
        <w:spacing w:after="0" w:line="219"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2028 at a prepayment price equal to 100.646% of the principal amount; and</w:t>
      </w:r>
    </w:p>
    <w:p>
      <w:pPr>
        <w:spacing w:after="0" w:line="219" w:lineRule="exact"/>
        <w:rPr>
          <w:rFonts w:ascii="Times New Roman" w:cs="Times New Roman" w:eastAsia="Times New Roman" w:hAnsi="Times New Roman"/>
          <w:sz w:val="18"/>
          <w:szCs w:val="18"/>
          <w:color w:val="auto"/>
        </w:rPr>
      </w:pPr>
    </w:p>
    <w:p>
      <w:pPr>
        <w:ind w:left="1280" w:hanging="473"/>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March 15, 2029 at a prepayment price equal to 100.000% of the principal amount;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each case, the redemption will include accrued and unpaid interest, as applicable.</w:t>
      </w:r>
    </w:p>
    <w:p>
      <w:pPr>
        <w:spacing w:after="0" w:line="220"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The Notes are general unsecured obligations and will rank senior in right of payment to any of the Company’s indebtedness that is expressly subordinated in right of payment to the Notes that the Company may incur in the future and equal in right of payment with the Company’s existing and future unsecured and unsubordinated liabilities.</w:t>
      </w:r>
    </w:p>
    <w:p>
      <w:pPr>
        <w:spacing w:after="0" w:line="176"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In certain circumstances involving a change of control event, the Company will be required to make an offer to repurchase the Notes of the applicable series at a repurchase price equal to 101% of the principal amount of the Notes of such series to be repurchased, plus accrued and unpaid interest, if any, to the applicable repurchase date.</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indenture governing the Notes (the “Indenture”) contains restrictive covenants limiting the Company’s ability and the ability of its subsidiaries to:</w:t>
      </w:r>
    </w:p>
    <w:p>
      <w:pPr>
        <w:spacing w:after="0" w:line="37" w:lineRule="exact"/>
        <w:rPr>
          <w:sz w:val="20"/>
          <w:szCs w:val="20"/>
          <w:color w:val="auto"/>
        </w:rPr>
      </w:pPr>
    </w:p>
    <w:p>
      <w:pPr>
        <w:ind w:right="280" w:firstLine="7"/>
        <w:spacing w:after="0" w:line="250" w:lineRule="auto"/>
        <w:tabs>
          <w:tab w:leader="none" w:pos="21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certain assets to secure debt; (ii) grant a subsidiary guarantee of certain debt without also providing a guarantee of the Notes; and (iii)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either Moody’s Investors Service, Inc. or Standard &amp; Poor’s Ratings Services.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all of its covenants under the Indenture.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Supplemental Balance Sheet Information</w:t>
      </w:r>
    </w:p>
    <w:p>
      <w:pPr>
        <w:spacing w:after="0" w:line="183"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color w:val="auto"/>
        </w:rPr>
        <w:t>A roll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forward of the Company’s customer credit reserve is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8"/>
        </w:trPr>
        <w:tc>
          <w:tcPr>
            <w:tcW w:w="6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7"/>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center"/>
              <w:ind w:left="320"/>
              <w:spacing w:after="0"/>
              <w:rPr>
                <w:sz w:val="20"/>
                <w:szCs w:val="20"/>
                <w:color w:val="auto"/>
              </w:rPr>
            </w:pPr>
            <w:r>
              <w:rPr>
                <w:rFonts w:ascii="Times New Roman" w:cs="Times New Roman" w:eastAsia="Times New Roman" w:hAnsi="Times New Roman"/>
                <w:sz w:val="16"/>
                <w:szCs w:val="16"/>
                <w:color w:val="auto"/>
                <w:w w:val="99"/>
              </w:rPr>
              <w:t>33,594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color w:val="auto"/>
                <w:w w:val="99"/>
              </w:rPr>
              <w:t>18,577</w:t>
            </w:r>
          </w:p>
        </w:tc>
      </w:tr>
      <w:tr>
        <w:trPr>
          <w:trHeight w:val="211"/>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80" w:type="dxa"/>
            <w:vAlign w:val="bottom"/>
          </w:tcPr>
          <w:p>
            <w:pPr>
              <w:spacing w:after="0"/>
              <w:rPr>
                <w:sz w:val="18"/>
                <w:szCs w:val="18"/>
                <w:color w:val="auto"/>
              </w:rPr>
            </w:pPr>
          </w:p>
        </w:tc>
        <w:tc>
          <w:tcPr>
            <w:tcW w:w="96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81,695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center"/>
              <w:ind w:left="280"/>
              <w:spacing w:after="0"/>
              <w:rPr>
                <w:sz w:val="20"/>
                <w:szCs w:val="20"/>
                <w:color w:val="auto"/>
              </w:rPr>
            </w:pPr>
            <w:r>
              <w:rPr>
                <w:rFonts w:ascii="Times New Roman" w:cs="Times New Roman" w:eastAsia="Times New Roman" w:hAnsi="Times New Roman"/>
                <w:sz w:val="16"/>
                <w:szCs w:val="16"/>
                <w:color w:val="auto"/>
                <w:w w:val="99"/>
              </w:rPr>
              <w:t>86,303</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Deductions against reserve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color w:val="auto"/>
              </w:rPr>
              <w:t>(95,948)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(166,574)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260"/>
              <w:spacing w:after="0"/>
              <w:rPr>
                <w:sz w:val="20"/>
                <w:szCs w:val="20"/>
                <w:color w:val="auto"/>
              </w:rPr>
            </w:pPr>
            <w:r>
              <w:rPr>
                <w:rFonts w:ascii="Times New Roman" w:cs="Times New Roman" w:eastAsia="Times New Roman" w:hAnsi="Times New Roman"/>
                <w:sz w:val="16"/>
                <w:szCs w:val="16"/>
                <w:color w:val="auto"/>
                <w:w w:val="98"/>
              </w:rPr>
              <w:t>(71,756)</w:t>
            </w:r>
          </w:p>
        </w:tc>
      </w:tr>
      <w:tr>
        <w:trPr>
          <w:trHeight w:val="204"/>
        </w:trPr>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Balance, end of period</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center"/>
              <w:ind w:left="320"/>
              <w:spacing w:after="0"/>
              <w:rPr>
                <w:sz w:val="20"/>
                <w:szCs w:val="20"/>
                <w:color w:val="auto"/>
              </w:rPr>
            </w:pPr>
            <w:r>
              <w:rPr>
                <w:rFonts w:ascii="Times New Roman" w:cs="Times New Roman" w:eastAsia="Times New Roman" w:hAnsi="Times New Roman"/>
                <w:sz w:val="16"/>
                <w:szCs w:val="16"/>
                <w:color w:val="auto"/>
                <w:w w:val="99"/>
              </w:rPr>
              <w:t>19,341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center"/>
              <w:ind w:left="280"/>
              <w:spacing w:after="0"/>
              <w:rPr>
                <w:sz w:val="20"/>
                <w:szCs w:val="20"/>
                <w:color w:val="auto"/>
              </w:rPr>
            </w:pPr>
            <w:r>
              <w:rPr>
                <w:rFonts w:ascii="Times New Roman" w:cs="Times New Roman" w:eastAsia="Times New Roman" w:hAnsi="Times New Roman"/>
                <w:sz w:val="16"/>
                <w:szCs w:val="16"/>
                <w:color w:val="auto"/>
                <w:w w:val="99"/>
              </w:rPr>
              <w:t>33,124</w:t>
            </w:r>
          </w:p>
        </w:tc>
      </w:tr>
      <w:tr>
        <w:trPr>
          <w:trHeight w:val="22"/>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Revenue by Geographic Area and Groups of Similar Products</w:t>
      </w:r>
    </w:p>
    <w:p>
      <w:pPr>
        <w:spacing w:after="0" w:line="224"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Revenue by geographic area is based on the IP address or the mailing address of the customer at the time of registration. The following table sets forth revenue by geographic area: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r>
      <w:tr>
        <w:trPr>
          <w:trHeight w:val="208"/>
        </w:trPr>
        <w:tc>
          <w:tcPr>
            <w:tcW w:w="69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area:</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1"/>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2,898,056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2,757,470</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2,510,525</w:t>
            </w:r>
          </w:p>
        </w:tc>
      </w:tr>
      <w:tr>
        <w:trPr>
          <w:trHeight w:val="21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1,559,980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1,396,475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1,315,796</w:t>
            </w:r>
          </w:p>
        </w:tc>
      </w:tr>
      <w:tr>
        <w:trPr>
          <w:trHeight w:val="204"/>
        </w:trPr>
        <w:tc>
          <w:tcPr>
            <w:tcW w:w="6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4,458,036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4,153,945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3,826,321</w:t>
            </w:r>
          </w:p>
        </w:tc>
      </w:tr>
      <w:tr>
        <w:trPr>
          <w:trHeight w:val="22"/>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Percentage of revenue by geographic area:</w:t>
            </w:r>
          </w:p>
        </w:tc>
        <w:tc>
          <w:tcPr>
            <w:tcW w:w="3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1"/>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3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65 %</w:t>
            </w:r>
          </w:p>
        </w:tc>
        <w:tc>
          <w:tcPr>
            <w:tcW w:w="144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66 %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34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35 %</w:t>
            </w:r>
          </w:p>
        </w:tc>
        <w:tc>
          <w:tcPr>
            <w:tcW w:w="144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34 %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bl>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long-lived assets by geographic area: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60" w:type="dxa"/>
            <w:vAlign w:val="bottom"/>
            <w:tcBorders>
              <w:bottom w:val="single" w:sz="8" w:color="auto"/>
            </w:tcBorders>
          </w:tcPr>
          <w:p>
            <w:pPr>
              <w:spacing w:after="0"/>
              <w:rPr>
                <w:sz w:val="18"/>
                <w:szCs w:val="18"/>
                <w:color w:val="auto"/>
              </w:rPr>
            </w:pPr>
          </w:p>
        </w:tc>
      </w:tr>
      <w:tr>
        <w:trPr>
          <w:trHeight w:val="208"/>
        </w:trPr>
        <w:tc>
          <w:tcPr>
            <w:tcW w:w="67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Long-lived assets by geographic area:</w:t>
            </w:r>
          </w:p>
        </w:tc>
        <w:tc>
          <w:tcPr>
            <w:tcW w:w="106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1060" w:type="dxa"/>
            <w:vAlign w:val="bottom"/>
            <w:shd w:val="clear" w:color="auto" w:fill="CCEEFF"/>
          </w:tcPr>
          <w:p>
            <w:pPr>
              <w:spacing w:after="0"/>
              <w:rPr>
                <w:sz w:val="16"/>
                <w:szCs w:val="16"/>
                <w:color w:val="auto"/>
              </w:rPr>
            </w:pPr>
          </w:p>
        </w:tc>
      </w:tr>
      <w:tr>
        <w:trPr>
          <w:trHeight w:val="211"/>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65,782</w:t>
            </w:r>
          </w:p>
        </w:tc>
        <w:tc>
          <w:tcPr>
            <w:tcW w:w="100" w:type="dxa"/>
            <w:vAlign w:val="bottom"/>
          </w:tcPr>
          <w:p>
            <w:pPr>
              <w:spacing w:after="0"/>
              <w:rPr>
                <w:sz w:val="18"/>
                <w:szCs w:val="18"/>
                <w:color w:val="auto"/>
              </w:rPr>
            </w:pPr>
          </w:p>
        </w:tc>
        <w:tc>
          <w:tcPr>
            <w:tcW w:w="66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99,368</w:t>
            </w:r>
          </w:p>
        </w:tc>
      </w:tr>
      <w:tr>
        <w:trPr>
          <w:trHeight w:val="216"/>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25,676</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39,644</w:t>
            </w:r>
          </w:p>
        </w:tc>
      </w:tr>
      <w:tr>
        <w:trPr>
          <w:trHeight w:val="202"/>
        </w:trPr>
        <w:tc>
          <w:tcPr>
            <w:tcW w:w="6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91,458</w:t>
            </w:r>
          </w:p>
        </w:tc>
        <w:tc>
          <w:tcPr>
            <w:tcW w:w="100" w:type="dxa"/>
            <w:vAlign w:val="bottom"/>
          </w:tcPr>
          <w:p>
            <w:pPr>
              <w:spacing w:after="0"/>
              <w:rPr>
                <w:sz w:val="17"/>
                <w:szCs w:val="17"/>
                <w:color w:val="auto"/>
              </w:rPr>
            </w:pPr>
          </w:p>
        </w:tc>
        <w:tc>
          <w:tcPr>
            <w:tcW w:w="66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139,012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6780" w:type="dxa"/>
            <w:vAlign w:val="bottom"/>
            <w:tcBorders>
              <w:bottom w:val="single" w:sz="8" w:color="CCEEFF"/>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r>
      <w:tr>
        <w:trPr>
          <w:trHeight w:val="165"/>
        </w:trPr>
        <w:tc>
          <w:tcPr>
            <w:tcW w:w="6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Percentage of long-lived assets by geographic area:</w:t>
            </w: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11"/>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16"/>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revenue by groups of similar products: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r>
      <w:tr>
        <w:trPr>
          <w:trHeight w:val="208"/>
        </w:trPr>
        <w:tc>
          <w:tcPr>
            <w:tcW w:w="69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groups of similar products: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1"/>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Twilio Communications: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Messaging</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2,184,752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2,066,300</w:t>
            </w:r>
          </w:p>
        </w:tc>
      </w:tr>
      <w:tr>
        <w:trPr>
          <w:trHeight w:val="211"/>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Voice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511,728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474,790</w:t>
            </w:r>
          </w:p>
        </w:tc>
      </w:tr>
      <w:tr>
        <w:trPr>
          <w:trHeight w:val="216"/>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Email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399,314</w:t>
            </w:r>
          </w:p>
        </w:tc>
      </w:tr>
      <w:tr>
        <w:trPr>
          <w:trHeight w:val="211"/>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770,185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722,028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609,683</w:t>
            </w:r>
          </w:p>
        </w:tc>
      </w:tr>
      <w:tr>
        <w:trPr>
          <w:trHeight w:val="20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Twilio Communications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4,160,340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3,858,693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3,550,087</w:t>
            </w:r>
          </w:p>
        </w:tc>
      </w:tr>
      <w:tr>
        <w:trPr>
          <w:trHeight w:val="211"/>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Twilio Segment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297,696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295,252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276,234</w:t>
            </w:r>
          </w:p>
        </w:tc>
      </w:tr>
      <w:tr>
        <w:trPr>
          <w:trHeight w:val="232"/>
        </w:trPr>
        <w:tc>
          <w:tcPr>
            <w:tcW w:w="6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4,458,036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4,153,945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3,826,321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47" w:lineRule="exact"/>
        <w:rPr>
          <w:sz w:val="20"/>
          <w:szCs w:val="20"/>
          <w:color w:val="auto"/>
        </w:rPr>
      </w:pPr>
    </w:p>
    <w:p>
      <w:pPr>
        <w:ind w:left="1280" w:hanging="793"/>
        <w:spacing w:after="0"/>
        <w:tabs>
          <w:tab w:leader="none" w:pos="1280"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 and Other Commitments</w:t>
      </w:r>
    </w:p>
    <w:p>
      <w:pPr>
        <w:spacing w:after="0" w:line="224"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Company entered into various non-cancelable operating lease agreements for its facilities. Refer to Note 10 for additional detail on the Company's operating lease commitments.</w:t>
      </w:r>
    </w:p>
    <w:p>
      <w:pPr>
        <w:spacing w:after="0" w:line="163"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Additionally, the Company has contractual commitments with its cloud infrastructure providers, network service providers and other vendors that are noncancellable and expire within one to four years. In the year ended December 31, 2024, the Company entered into several such agreements with terms of up to four years for a total purchase commitment of $182.5 million. Future minimum payments under these noncancellable purchase commitments are summarized in the table below. Unrecognized tax benefits are not included in these amounts because any amounts expected to be settled in cash are not significant:</w:t>
      </w:r>
    </w:p>
    <w:p>
      <w:pPr>
        <w:sectPr>
          <w:pgSz w:w="11900" w:h="16838" w:orient="portrait"/>
          <w:cols w:equalWidth="0" w:num="1">
            <w:col w:w="11220"/>
          </w:cols>
          <w:pgMar w:left="320" w:top="121" w:right="359" w:bottom="1440" w:gutter="0" w:footer="0" w:header="0"/>
        </w:sect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u w:val="single" w:color="auto"/>
          <w:color w:val="auto"/>
        </w:rPr>
        <w:t>Year Ending December 31,</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2025</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2026</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2027</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2028</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payments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280" w:type="dxa"/>
            <w:vAlign w:val="bottom"/>
          </w:tcPr>
          <w:p>
            <w:pPr>
              <w:spacing w:after="0"/>
              <w:rPr>
                <w:sz w:val="15"/>
                <w:szCs w:val="15"/>
                <w:color w:val="auto"/>
              </w:rPr>
            </w:pPr>
          </w:p>
        </w:tc>
        <w:tc>
          <w:tcPr>
            <w:tcW w:w="1880" w:type="dxa"/>
            <w:vAlign w:val="bottom"/>
          </w:tcPr>
          <w:p>
            <w:pPr>
              <w:jc w:val="center"/>
              <w:ind w:right="181"/>
              <w:spacing w:after="0" w:line="178" w:lineRule="exact"/>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212"/>
        </w:trPr>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79"/>
        </w:trPr>
        <w:tc>
          <w:tcPr>
            <w:tcW w:w="280" w:type="dxa"/>
            <w:vAlign w:val="bottom"/>
          </w:tcPr>
          <w:p>
            <w:pPr>
              <w:spacing w:after="0"/>
              <w:rPr>
                <w:sz w:val="15"/>
                <w:szCs w:val="15"/>
                <w:color w:val="auto"/>
              </w:rPr>
            </w:pPr>
          </w:p>
        </w:tc>
        <w:tc>
          <w:tcPr>
            <w:tcW w:w="1880" w:type="dxa"/>
            <w:vAlign w:val="bottom"/>
          </w:tcPr>
          <w:p>
            <w:pPr>
              <w:jc w:val="center"/>
              <w:ind w:right="181"/>
              <w:spacing w:after="0"/>
              <w:rPr>
                <w:sz w:val="20"/>
                <w:szCs w:val="20"/>
                <w:color w:val="auto"/>
              </w:rPr>
            </w:pPr>
            <w:r>
              <w:rPr>
                <w:rFonts w:ascii="Times New Roman" w:cs="Times New Roman" w:eastAsia="Times New Roman" w:hAnsi="Times New Roman"/>
                <w:sz w:val="14"/>
                <w:szCs w:val="14"/>
                <w:color w:val="auto"/>
              </w:rPr>
              <w:t>(In thousands)</w:t>
            </w:r>
          </w:p>
        </w:tc>
      </w:tr>
      <w:tr>
        <w:trPr>
          <w:trHeight w:val="224"/>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405,331</w:t>
            </w:r>
          </w:p>
        </w:tc>
      </w:tr>
      <w:tr>
        <w:trPr>
          <w:trHeight w:val="213"/>
        </w:trPr>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245,946</w:t>
            </w:r>
          </w:p>
        </w:tc>
      </w:tr>
      <w:tr>
        <w:trPr>
          <w:trHeight w:val="213"/>
        </w:trPr>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w:t>
            </w:r>
          </w:p>
        </w:tc>
      </w:tr>
      <w:tr>
        <w:trPr>
          <w:trHeight w:val="216"/>
        </w:trPr>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07"/>
        </w:trPr>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655,328</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-5595620</wp:posOffset>
            </wp:positionH>
            <wp:positionV relativeFrom="paragraph">
              <wp:posOffset>-719455</wp:posOffset>
            </wp:positionV>
            <wp:extent cx="6972935" cy="135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72935" cy="13525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-448310</wp:posOffset>
            </wp:positionV>
            <wp:extent cx="6972935" cy="135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72935" cy="13525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-177165</wp:posOffset>
            </wp:positionV>
            <wp:extent cx="6972935" cy="161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72935" cy="161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400"/>
          </w:cols>
          <w:pgMar w:left="320" w:top="121" w:right="359" w:bottom="1440" w:gutter="0" w:footer="0" w:header="0"/>
          <w:type w:val="continuous"/>
        </w:sectPr>
      </w:pPr>
    </w:p>
    <w:p>
      <w:pPr>
        <w:spacing w:after="0" w:line="71" w:lineRule="exact"/>
        <w:rPr>
          <w:sz w:val="20"/>
          <w:szCs w:val="20"/>
          <w:color w:val="auto"/>
        </w:rPr>
      </w:pPr>
    </w:p>
    <w:p>
      <w:pPr>
        <w:ind w:left="1280" w:hanging="793"/>
        <w:spacing w:after="0"/>
        <w:tabs>
          <w:tab w:leader="none" w:pos="1280" w:val="left"/>
        </w:tabs>
        <w:numPr>
          <w:ilvl w:val="0"/>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Matters</w:t>
      </w:r>
    </w:p>
    <w:p>
      <w:pPr>
        <w:spacing w:after="0" w:line="224" w:lineRule="exact"/>
        <w:rPr>
          <w:sz w:val="20"/>
          <w:szCs w:val="20"/>
          <w:color w:val="auto"/>
        </w:rPr>
      </w:pPr>
    </w:p>
    <w:p>
      <w:pPr>
        <w:ind w:right="160" w:firstLine="480"/>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185" w:lineRule="exact"/>
        <w:rPr>
          <w:sz w:val="20"/>
          <w:szCs w:val="20"/>
          <w:color w:val="auto"/>
        </w:rPr>
      </w:pPr>
    </w:p>
    <w:p>
      <w:pPr>
        <w:ind w:right="240" w:firstLine="480"/>
        <w:spacing w:after="0" w:line="257" w:lineRule="auto"/>
        <w:rPr>
          <w:sz w:val="20"/>
          <w:szCs w:val="20"/>
          <w:color w:val="auto"/>
        </w:rPr>
      </w:pPr>
      <w:r>
        <w:rPr>
          <w:rFonts w:ascii="Times New Roman" w:cs="Times New Roman" w:eastAsia="Times New Roman" w:hAnsi="Times New Roman"/>
          <w:sz w:val="18"/>
          <w:szCs w:val="18"/>
          <w:color w:val="auto"/>
        </w:rPr>
        <w:t>The Company accrues for contingencies when it believes that a loss is probable and can be reasonably estimated. To the extent there is a reasonable possibility that a loss may be incurred that is in excess of the amounts already recognized and such additional loss amount may be material, the Company either discloses the estimated additional loss amount or states that such an estimate cannot be made. Significant judgment is required to determine the probability of a loss and to estimate the amount of any probable loss.</w:t>
      </w:r>
    </w:p>
    <w:p>
      <w:pPr>
        <w:spacing w:after="0" w:line="181" w:lineRule="exact"/>
        <w:rPr>
          <w:sz w:val="20"/>
          <w:szCs w:val="20"/>
          <w:color w:val="auto"/>
        </w:rPr>
      </w:pPr>
    </w:p>
    <w:p>
      <w:pPr>
        <w:ind w:right="360" w:firstLine="480"/>
        <w:spacing w:after="0" w:line="277" w:lineRule="auto"/>
        <w:rPr>
          <w:sz w:val="20"/>
          <w:szCs w:val="20"/>
          <w:color w:val="auto"/>
        </w:rPr>
      </w:pPr>
      <w:r>
        <w:rPr>
          <w:rFonts w:ascii="Times New Roman" w:cs="Times New Roman" w:eastAsia="Times New Roman" w:hAnsi="Times New Roman"/>
          <w:sz w:val="18"/>
          <w:szCs w:val="18"/>
          <w:color w:val="auto"/>
        </w:rPr>
        <w:t>Legal fees and other costs related to litigation and other legal proceedings are expensed as incurred and are included in general and administrative expenses in the accompanying consolidated statements of operations.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hanging="793"/>
        <w:spacing w:after="0"/>
        <w:tabs>
          <w:tab w:leader="none" w:pos="1280"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4"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spacing w:after="0" w:line="2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and 2023, no amounts were accrued related to any outstanding indemnification agreements.</w:t>
      </w:r>
    </w:p>
    <w:p>
      <w:pPr>
        <w:spacing w:after="0" w:line="216" w:lineRule="exact"/>
        <w:rPr>
          <w:sz w:val="20"/>
          <w:szCs w:val="20"/>
          <w:color w:val="auto"/>
        </w:rPr>
      </w:pPr>
    </w:p>
    <w:p>
      <w:pPr>
        <w:ind w:left="1280" w:hanging="793"/>
        <w:spacing w:after="0"/>
        <w:tabs>
          <w:tab w:leader="none" w:pos="1280"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Taxes</w:t>
      </w:r>
    </w:p>
    <w:p>
      <w:pPr>
        <w:spacing w:after="0" w:line="224"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The Company conducts operations in many tax jurisdictions within and outside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can be reasonably estimated. These reserves are based on estimates which include several key assumptions including, but not limited to, the taxability of the Company’s services, the jurisdictions in which management believes it had nexus and the sourcing of revenues to those jurisdictions.</w:t>
      </w:r>
    </w:p>
    <w:p>
      <w:pPr>
        <w:spacing w:after="0" w:line="186"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w:t>
      </w:r>
    </w:p>
    <w:p>
      <w:pPr>
        <w:spacing w:after="0" w:line="176" w:lineRule="exact"/>
        <w:rPr>
          <w:sz w:val="20"/>
          <w:szCs w:val="20"/>
          <w:color w:val="auto"/>
        </w:rPr>
      </w:pPr>
    </w:p>
    <w:p>
      <w:pPr>
        <w:ind w:right="420" w:firstLine="480"/>
        <w:spacing w:after="0" w:line="277" w:lineRule="auto"/>
        <w:rPr>
          <w:sz w:val="20"/>
          <w:szCs w:val="20"/>
          <w:color w:val="auto"/>
        </w:rPr>
      </w:pPr>
      <w:r>
        <w:rPr>
          <w:rFonts w:ascii="Times New Roman" w:cs="Times New Roman" w:eastAsia="Times New Roman" w:hAnsi="Times New Roman"/>
          <w:sz w:val="18"/>
          <w:szCs w:val="18"/>
          <w:color w:val="auto"/>
        </w:rPr>
        <w:t>As of December 31, 2024, the liabilities recorded for non-income-based taxes were $19.3 million for domestic jurisdictions and $22.0 million for jurisdictions outside of the United States. As of December 31, 2023, these liabilities were $18.0 million and $22.2 million,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Stockholders' Equity</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4" w:lineRule="exact"/>
        <w:rPr>
          <w:sz w:val="20"/>
          <w:szCs w:val="20"/>
          <w:color w:val="auto"/>
        </w:rPr>
      </w:pPr>
    </w:p>
    <w:p>
      <w:pPr>
        <w:ind w:right="260" w:firstLine="480"/>
        <w:spacing w:after="0" w:line="277" w:lineRule="auto"/>
        <w:rPr>
          <w:sz w:val="20"/>
          <w:szCs w:val="20"/>
          <w:color w:val="auto"/>
        </w:rPr>
      </w:pPr>
      <w:r>
        <w:rPr>
          <w:rFonts w:ascii="Times New Roman" w:cs="Times New Roman" w:eastAsia="Times New Roman" w:hAnsi="Times New Roman"/>
          <w:sz w:val="18"/>
          <w:szCs w:val="18"/>
          <w:color w:val="auto"/>
        </w:rPr>
        <w:t>As of December 31, 2024 and 2023, the Company had authorized 100,000,000 shares of preferred stock, par value $0.001, of which no shares were issued and outstanding.</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4" w:lineRule="exact"/>
        <w:rPr>
          <w:sz w:val="20"/>
          <w:szCs w:val="20"/>
          <w:color w:val="auto"/>
        </w:rPr>
      </w:pPr>
    </w:p>
    <w:p>
      <w:pPr>
        <w:ind w:right="320" w:firstLine="480"/>
        <w:spacing w:after="0" w:line="262" w:lineRule="auto"/>
        <w:rPr>
          <w:sz w:val="20"/>
          <w:szCs w:val="20"/>
          <w:color w:val="auto"/>
        </w:rPr>
      </w:pPr>
      <w:r>
        <w:rPr>
          <w:rFonts w:ascii="Times New Roman" w:cs="Times New Roman" w:eastAsia="Times New Roman" w:hAnsi="Times New Roman"/>
          <w:sz w:val="18"/>
          <w:szCs w:val="18"/>
          <w:color w:val="auto"/>
        </w:rPr>
        <w:t>As of December 31, 2024 and 2023, the Company had authorized 1,000,000,000 shares of Class A common stock and 3,170,181 shares of Class B common stock, each par value of $0.001 per share. As of December 31, 2024 and 2023, 152,610,697 and 181,945,771 shares of Class A common stock, respectively, and no shares of Class B common stock were issued and outstanding.</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23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1000" w:type="dxa"/>
            <w:vAlign w:val="bottom"/>
            <w:tcBorders>
              <w:bottom w:val="single" w:sz="8" w:color="auto"/>
            </w:tcBorders>
          </w:tcPr>
          <w:p>
            <w:pPr>
              <w:spacing w:after="0"/>
              <w:rPr>
                <w:sz w:val="18"/>
                <w:szCs w:val="18"/>
                <w:color w:val="auto"/>
              </w:rPr>
            </w:pPr>
          </w:p>
        </w:tc>
      </w:tr>
      <w:tr>
        <w:trPr>
          <w:trHeight w:val="208"/>
        </w:trPr>
        <w:tc>
          <w:tcPr>
            <w:tcW w:w="70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issued and outstanding</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1,322,176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1,722,861</w:t>
            </w:r>
          </w:p>
        </w:tc>
      </w:tr>
      <w:tr>
        <w:trPr>
          <w:trHeight w:val="211"/>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issued and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18,386,271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18,755,538</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Twilio.org</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353,633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442,041</w:t>
            </w:r>
          </w:p>
        </w:tc>
      </w:tr>
      <w:tr>
        <w:trPr>
          <w:trHeight w:val="211"/>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awards available for grant under 2016 Plan</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23,292,678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19,869,260</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issuance pursuant to ESPP</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9,709,326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8,541,701</w:t>
            </w:r>
          </w:p>
        </w:tc>
      </w:tr>
      <w:tr>
        <w:trPr>
          <w:trHeight w:val="204"/>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53,064,084</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49,331,401</w:t>
            </w:r>
          </w:p>
        </w:tc>
      </w:tr>
      <w:tr>
        <w:trPr>
          <w:trHeight w:val="22"/>
        </w:trPr>
        <w:tc>
          <w:tcPr>
            <w:tcW w:w="7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24"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17"/>
          <w:szCs w:val="17"/>
          <w:color w:val="auto"/>
        </w:rPr>
        <w:t>In February 2023, the board of directors of the Company authorized the repurchase of up to $1.0 billion in aggregate value of the Company’s outstanding Class A common stock, and in March 2024, the board of directors authorized the repurchase of an additional $2.0 billion in aggregate value of the Company’s outstanding Class A common stock. Repurchases under this program could be made through open market, private transactions or other means, in compliance with applicable federal securities laws, and could include repurchases pursuant to Rule 10b5-1 trading plans. The Company had discretion in determining the conditions under which shares may be repurchased from time to time. This repurchase program expired on December 31, 2024.</w:t>
      </w:r>
    </w:p>
    <w:p>
      <w:pPr>
        <w:spacing w:after="0" w:line="169" w:lineRule="exact"/>
        <w:rPr>
          <w:sz w:val="20"/>
          <w:szCs w:val="20"/>
          <w:color w:val="auto"/>
        </w:rPr>
      </w:pPr>
    </w:p>
    <w:p>
      <w:pPr>
        <w:ind w:right="220" w:firstLine="480"/>
        <w:spacing w:after="0" w:line="26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repurchased 36.8 million shares and 11.3 million shares of its Class A common stock, respectively, for an aggregate purchase price of $2.3 billion and $672.1 million, respectively. As of December 31, 2024, the Company completed repurchases of $3.0 billion in aggregate value of its Class A common stock, as originally authorized.</w:t>
      </w:r>
    </w:p>
    <w:p>
      <w:pPr>
        <w:spacing w:after="0" w:line="176" w:lineRule="exact"/>
        <w:rPr>
          <w:sz w:val="20"/>
          <w:szCs w:val="20"/>
          <w:color w:val="auto"/>
        </w:rPr>
      </w:pPr>
    </w:p>
    <w:p>
      <w:pPr>
        <w:jc w:val="both"/>
        <w:ind w:right="20" w:firstLine="480"/>
        <w:spacing w:after="0" w:line="262" w:lineRule="auto"/>
        <w:rPr>
          <w:sz w:val="20"/>
          <w:szCs w:val="20"/>
          <w:color w:val="auto"/>
        </w:rPr>
      </w:pPr>
      <w:r>
        <w:rPr>
          <w:rFonts w:ascii="Times New Roman" w:cs="Times New Roman" w:eastAsia="Times New Roman" w:hAnsi="Times New Roman"/>
          <w:sz w:val="18"/>
          <w:szCs w:val="18"/>
          <w:color w:val="auto"/>
        </w:rPr>
        <w:t>In January 2025, the board of directors of the Company authorized a new share repurchase program to repurchase up to $2.0 billion in aggregate value of the Company’s outstanding Class A common stock with the repurchase terms similar to the previous program. The new program expires on December 31,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Stock-Based Compensation</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are descriptions for stock plans that govern a significant amount of outstanding equity awards as of December 31, 2024:</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2008 Stock Option Plan</w:t>
      </w:r>
    </w:p>
    <w:p>
      <w:pPr>
        <w:spacing w:after="0" w:line="224" w:lineRule="exact"/>
        <w:rPr>
          <w:sz w:val="20"/>
          <w:szCs w:val="20"/>
          <w:color w:val="auto"/>
        </w:rPr>
      </w:pPr>
    </w:p>
    <w:p>
      <w:pPr>
        <w:jc w:val="both"/>
        <w:ind w:right="160" w:firstLine="480"/>
        <w:spacing w:after="0" w:line="262" w:lineRule="auto"/>
        <w:rPr>
          <w:sz w:val="20"/>
          <w:szCs w:val="20"/>
          <w:color w:val="auto"/>
        </w:rPr>
      </w:pPr>
      <w:r>
        <w:rPr>
          <w:rFonts w:ascii="Times New Roman" w:cs="Times New Roman" w:eastAsia="Times New Roman" w:hAnsi="Times New Roman"/>
          <w:sz w:val="18"/>
          <w:szCs w:val="18"/>
          <w:color w:val="auto"/>
        </w:rPr>
        <w:t>In connection with the Company’s initial public offering on June 22, 2016, the 2008 Stock Option Plan, as amended and restated (the “2008 Plan”), was terminated and, accordingly, no shares were available for issuance after the termination. As of December 31, 2024 and 2023, all remaining outstanding stock options granted under the 2008 Plan were vested and exercisable and continue to be governed by the provisions of this plan.</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2016 Stock Option Plan</w:t>
      </w:r>
    </w:p>
    <w:p>
      <w:pPr>
        <w:spacing w:after="0" w:line="224"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The Company’s 2016 Stock Option and Incentive Plan (the “2016 Plan”) became effective on June 21, 2016. The 2016 Plan provides for the grant of ISOs, NSOs, restricted stock awards, RSUs, stock appreciation rights, unrestricted stock awards, performance share awards, dividend equivalent rights and cash-based awards to employees, directors and consultants of the Company. A total of 11,500,000 shares of the Company’s Class A common stock were initially reserved for issuance under the 2016 Plan. These available shares automatically increase each January 1, beginning on January 1, 2017, by 5% of the number of shares of the Company’s Class A and Class B common stock outstanding on the immediately preceding December 31, or such lesser number of shares as determined by the Company’s compensation committee. On January 1, 2024 and 2023, the shares available for grant under the 2016 Plan were automatically increased by 9,097,289 shares and 9,298,785 shares, respectively.</w:t>
      </w:r>
    </w:p>
    <w:p>
      <w:pPr>
        <w:spacing w:after="0" w:line="187"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Under the 2016 Plan, the stock options are granted at a price per share not less than 100% of the fair market value per share of the underlying common stock on the date of grant.</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4"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The Company’s 2016 ESPP was effective on June 21, 2016. A total of 2,400,000 shares of the Company’s Class A common stock were initially reserved for issuance under the 2016 ESPP. These available shares automatically increase each January 1, beginning on January 1, 2017, by the lesser of 1,800,000 shares of the Company's Class A common stock, 1% of the number of shares of the Company’s Class A and Class B common stock outstanding on the immediately preceding December 31 or such lesser number of shares as determined by the Company’s compensation committee. On January 1, 2024 and 2023, the shares available for grant under the 2016 ESPP were automatically increased by 1,800,000 shares.</w:t>
      </w:r>
    </w:p>
    <w:p>
      <w:pPr>
        <w:spacing w:after="0" w:line="186" w:lineRule="exact"/>
        <w:rPr>
          <w:sz w:val="20"/>
          <w:szCs w:val="20"/>
          <w:color w:val="auto"/>
        </w:rPr>
      </w:pPr>
    </w:p>
    <w:p>
      <w:pPr>
        <w:ind w:right="400" w:firstLine="480"/>
        <w:spacing w:after="0" w:line="262" w:lineRule="auto"/>
        <w:rPr>
          <w:sz w:val="20"/>
          <w:szCs w:val="20"/>
          <w:color w:val="auto"/>
        </w:rPr>
      </w:pPr>
      <w:r>
        <w:rPr>
          <w:rFonts w:ascii="Times New Roman" w:cs="Times New Roman" w:eastAsia="Times New Roman" w:hAnsi="Times New Roman"/>
          <w:sz w:val="18"/>
          <w:szCs w:val="18"/>
          <w:color w:val="auto"/>
        </w:rPr>
        <w:t>The 2016 ESPP allows eligible employees to purchase shares of the Company’s Class A common stock at a discount of 15% through payroll deductions of their eligible compensation, subject to any plan limitations. The 2016 ESPP provides for separate six-month offering periods beginning in May and November of each year.</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each purchase date, eligible employees purchase shares of the Company’s Class A common stock at a price per share equal to 85% of the lesser of</w:t>
      </w:r>
    </w:p>
    <w:p>
      <w:pPr>
        <w:spacing w:after="0" w:line="37" w:lineRule="exact"/>
        <w:rPr>
          <w:sz w:val="20"/>
          <w:szCs w:val="20"/>
          <w:color w:val="auto"/>
        </w:rPr>
      </w:pPr>
    </w:p>
    <w:p>
      <w:pPr>
        <w:ind w:right="160" w:firstLine="7"/>
        <w:spacing w:after="0" w:line="255" w:lineRule="auto"/>
        <w:tabs>
          <w:tab w:leader="none" w:pos="21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Company’s Class A common stock on the offering date or (ii) the fair market value of the Company’s Class A common stock on the purchase date.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total unrecognized compensation cost related to the 2016 ESPP was not significant.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Stock-options and restricted stock units and awards activity under the Company’s equity incentive plans is as follows: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10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61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40" w:type="dxa"/>
            <w:vAlign w:val="bottom"/>
          </w:tcPr>
          <w:p>
            <w:pPr>
              <w:spacing w:after="0"/>
              <w:rPr>
                <w:sz w:val="11"/>
                <w:szCs w:val="11"/>
                <w:color w:val="auto"/>
              </w:rPr>
            </w:pPr>
          </w:p>
        </w:tc>
        <w:tc>
          <w:tcPr>
            <w:tcW w:w="1100" w:type="dxa"/>
            <w:vAlign w:val="bottom"/>
          </w:tcPr>
          <w:p>
            <w:pPr>
              <w:jc w:val="center"/>
              <w:ind w:right="65"/>
              <w:spacing w:after="0" w:line="133"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7"/>
        </w:trPr>
        <w:tc>
          <w:tcPr>
            <w:tcW w:w="61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13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140" w:type="dxa"/>
            <w:vAlign w:val="bottom"/>
          </w:tcPr>
          <w:p>
            <w:pPr>
              <w:spacing w:after="0"/>
              <w:rPr>
                <w:sz w:val="12"/>
                <w:szCs w:val="12"/>
                <w:color w:val="auto"/>
              </w:rPr>
            </w:pPr>
          </w:p>
        </w:tc>
        <w:tc>
          <w:tcPr>
            <w:tcW w:w="1100" w:type="dxa"/>
            <w:vAlign w:val="bottom"/>
          </w:tcPr>
          <w:p>
            <w:pPr>
              <w:jc w:val="center"/>
              <w:ind w:right="65"/>
              <w:spacing w:after="0" w:line="14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4"/>
        </w:trPr>
        <w:tc>
          <w:tcPr>
            <w:tcW w:w="6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options as of December 31,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1,722,861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56,007</w:t>
            </w:r>
          </w:p>
        </w:tc>
        <w:tc>
          <w:tcPr>
            <w:tcW w:w="0" w:type="dxa"/>
            <w:vAlign w:val="bottom"/>
          </w:tcPr>
          <w:p>
            <w:pPr>
              <w:spacing w:after="0"/>
              <w:rPr>
                <w:sz w:val="1"/>
                <w:szCs w:val="1"/>
                <w:color w:val="auto"/>
              </w:rPr>
            </w:pPr>
          </w:p>
        </w:tc>
      </w:tr>
      <w:tr>
        <w:trPr>
          <w:trHeight w:val="211"/>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(181,818)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Forfeited and canceled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(218,867)</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options as of December 31, 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1,322,176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74,838</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vested and exercisable as of December 31, 2024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1,317,265</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74,838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69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7"/>
        </w:trPr>
        <w:tc>
          <w:tcPr>
            <w:tcW w:w="6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880" w:type="dxa"/>
            <w:vAlign w:val="bottom"/>
          </w:tcPr>
          <w:p>
            <w:pPr>
              <w:spacing w:after="0"/>
              <w:rPr>
                <w:sz w:val="16"/>
                <w:szCs w:val="16"/>
                <w:color w:val="auto"/>
              </w:rPr>
            </w:pPr>
          </w:p>
        </w:tc>
      </w:tr>
      <w:tr>
        <w:trPr>
          <w:trHeight w:val="221"/>
        </w:trPr>
        <w:tc>
          <w:tcPr>
            <w:tcW w:w="69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 xml:space="preserve">Aggregate intrinsic value of stock options exercised </w:t>
            </w:r>
            <w:r>
              <w:rPr>
                <w:rFonts w:ascii="Times New Roman" w:cs="Times New Roman" w:eastAsia="Times New Roman" w:hAnsi="Times New Roman"/>
                <w:sz w:val="20"/>
                <w:szCs w:val="20"/>
                <w:color w:val="auto"/>
                <w:vertAlign w:val="superscript"/>
              </w:rPr>
              <w:t>(1)</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8,649</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15,242</w:t>
            </w:r>
          </w:p>
        </w:tc>
        <w:tc>
          <w:tcPr>
            <w:tcW w:w="5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80,839</w:t>
            </w:r>
          </w:p>
        </w:tc>
      </w:tr>
      <w:tr>
        <w:trPr>
          <w:trHeight w:val="211"/>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estimated grant date fair value of options vested</w:t>
            </w:r>
          </w:p>
        </w:tc>
        <w:tc>
          <w:tcPr>
            <w:tcW w:w="86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9,351</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28,619</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77,403</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per share of options granted</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5"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Aggregate intrinsic value represents the difference between the fair value of the Company’s Class A common stock as reported on the New York Stock Exchange and the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exercise price of outstanding “in-the-money” options.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2024, total unrecognized compensation cost related to all unvested stock options was not significant.</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3"/>
                <w:szCs w:val="13"/>
                <w:color w:val="auto"/>
              </w:rPr>
            </w:pPr>
          </w:p>
        </w:tc>
        <w:tc>
          <w:tcPr>
            <w:tcW w:w="1100" w:type="dxa"/>
            <w:vAlign w:val="bottom"/>
            <w:vMerge w:val="restart"/>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3"/>
        </w:trPr>
        <w:tc>
          <w:tcPr>
            <w:tcW w:w="696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9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100" w:type="dxa"/>
            <w:vAlign w:val="bottom"/>
          </w:tcPr>
          <w:p>
            <w:pPr>
              <w:jc w:val="center"/>
              <w:ind w:right="86"/>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7"/>
        </w:trPr>
        <w:tc>
          <w:tcPr>
            <w:tcW w:w="696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100" w:type="dxa"/>
            <w:vAlign w:val="bottom"/>
          </w:tcPr>
          <w:p>
            <w:pPr>
              <w:jc w:val="center"/>
              <w:ind w:right="66"/>
              <w:spacing w:after="0" w:line="14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3"/>
        </w:trPr>
        <w:tc>
          <w:tcPr>
            <w:tcW w:w="69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40" w:type="dxa"/>
            <w:vAlign w:val="bottom"/>
          </w:tcPr>
          <w:p>
            <w:pPr>
              <w:spacing w:after="0"/>
              <w:rPr>
                <w:sz w:val="16"/>
                <w:szCs w:val="16"/>
                <w:color w:val="auto"/>
              </w:rPr>
            </w:pPr>
          </w:p>
        </w:tc>
        <w:tc>
          <w:tcPr>
            <w:tcW w:w="110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 as of December 31, 2023</w:t>
            </w:r>
          </w:p>
        </w:tc>
        <w:tc>
          <w:tcPr>
            <w:tcW w:w="12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18,755,538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1,422,983</w:t>
            </w:r>
          </w:p>
        </w:tc>
        <w:tc>
          <w:tcPr>
            <w:tcW w:w="0" w:type="dxa"/>
            <w:vAlign w:val="bottom"/>
          </w:tcPr>
          <w:p>
            <w:pPr>
              <w:spacing w:after="0"/>
              <w:rPr>
                <w:sz w:val="1"/>
                <w:szCs w:val="1"/>
                <w:color w:val="auto"/>
              </w:rPr>
            </w:pPr>
          </w:p>
        </w:tc>
      </w:tr>
      <w:tr>
        <w:trPr>
          <w:trHeight w:val="211"/>
        </w:trPr>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10,584,021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(6,639,672)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 and canceled</w:t>
            </w: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(4,313,616)</w:t>
            </w:r>
          </w:p>
        </w:tc>
        <w:tc>
          <w:tcPr>
            <w:tcW w:w="3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83.09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 as of December 31, 2024</w:t>
            </w:r>
          </w:p>
        </w:tc>
        <w:tc>
          <w:tcPr>
            <w:tcW w:w="12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18,386,271</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1,394,966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In 2024, the Company granted 516,626 shares of PSUs to certain of its executive employees. These awards are included in the table above. The awards had an aggregate grant date fair value of $34.5 million. The PSUs will vest if certain operational performance or market conditions, as defined in the grant agreements, are met during the performance period, which expires on December 31, 2026. The final vesting determination will be made by the Company’s Compensation Committee subsequent to the completion of the performance period. At the end of the vesting period the number of shares actually issued may range from 0% to 200% of the target based on levels of performance.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firstLine="480"/>
        <w:spacing w:after="0" w:line="268" w:lineRule="auto"/>
        <w:rPr>
          <w:sz w:val="20"/>
          <w:szCs w:val="20"/>
          <w:color w:val="auto"/>
        </w:rPr>
      </w:pPr>
      <w:r>
        <w:rPr>
          <w:rFonts w:ascii="Times New Roman" w:cs="Times New Roman" w:eastAsia="Times New Roman" w:hAnsi="Times New Roman"/>
          <w:sz w:val="17"/>
          <w:szCs w:val="17"/>
          <w:color w:val="auto"/>
        </w:rPr>
        <w:t>In March 2022, the Company granted 919,289 shares of PSUs to certain of its executive employees. These awards are included in the table above. The PSUs were granted with a grant date fair value per share of $157.44 and an aggregate grant date fair value of $144.7 million. Each PSU award consisted of three tranches that would vest separately over distinct service periods if the respective performance conditions, as defined in the grant agreements, were met. The final vesting determination is made by the Company’s Compensation Committee subsequent to the completion of the performance period. The vesting of the first tranche was based on achievement of revenue growth targets with respect to the year ended December 31, 2022. The vesting of the second and third tranches was based on both (a) revenue growth targets and (b) profitability targets achievement with respect to each of the years ended December 31, 2023 and 2024. If performance targets are not achieved, the related tranches are forfeited. Vesting of these PSUs can range up to 100% above the target based on levels of performance and is recorded in stock-based compensation expense in the year during which each tranche vests.</w:t>
      </w:r>
    </w:p>
    <w:p>
      <w:pPr>
        <w:spacing w:after="0" w:line="175" w:lineRule="exact"/>
        <w:rPr>
          <w:sz w:val="20"/>
          <w:szCs w:val="20"/>
          <w:color w:val="auto"/>
        </w:rPr>
      </w:pPr>
    </w:p>
    <w:p>
      <w:pPr>
        <w:ind w:right="60" w:firstLine="480"/>
        <w:spacing w:after="0" w:line="277"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unvested RSUs was $1.2 billion, which will be amortized over a weighted-average period of 2.5 years.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224"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8"/>
          <w:szCs w:val="18"/>
          <w:color w:val="auto"/>
        </w:rPr>
        <w:t>The Company used the following assumptions in the Black-Scholes option pricing model to estimate the fair value of the purchase rights issued under the 2016 ESPP:</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8"/>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60" w:type="dxa"/>
            <w:vAlign w:val="bottom"/>
            <w:gridSpan w:val="3"/>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08"/>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common stock</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$96.41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$61.55</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w:t>
            </w: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$99.68</w:t>
            </w:r>
          </w:p>
        </w:tc>
      </w:tr>
      <w:tr>
        <w:trPr>
          <w:trHeight w:val="211"/>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0.50</w:t>
            </w:r>
          </w:p>
        </w:tc>
        <w:tc>
          <w:tcPr>
            <w:tcW w:w="1860" w:type="dxa"/>
            <w:vAlign w:val="bottom"/>
            <w:gridSpan w:val="3"/>
          </w:tcPr>
          <w:p>
            <w:pPr>
              <w:jc w:val="center"/>
              <w:ind w:left="20"/>
              <w:spacing w:after="0"/>
              <w:rPr>
                <w:sz w:val="20"/>
                <w:szCs w:val="20"/>
                <w:color w:val="auto"/>
              </w:rPr>
            </w:pPr>
            <w:r>
              <w:rPr>
                <w:rFonts w:ascii="Times New Roman" w:cs="Times New Roman" w:eastAsia="Times New Roman" w:hAnsi="Times New Roman"/>
                <w:sz w:val="16"/>
                <w:szCs w:val="16"/>
                <w:color w:val="auto"/>
                <w:w w:val="99"/>
              </w:rPr>
              <w:t>0.50</w:t>
            </w:r>
          </w:p>
        </w:tc>
        <w:tc>
          <w:tcPr>
            <w:tcW w:w="10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0.50</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- 41.8%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- 57.1%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- 97.3%</w:t>
            </w:r>
          </w:p>
        </w:tc>
      </w:tr>
      <w:tr>
        <w:trPr>
          <w:trHeight w:val="211"/>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- 4.5%</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rate</w:t>
            </w:r>
          </w:p>
        </w:tc>
        <w:tc>
          <w:tcPr>
            <w:tcW w:w="1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r>
    </w:tbl>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8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80" w:type="dxa"/>
            <w:vAlign w:val="bottom"/>
            <w:tcBorders>
              <w:bottom w:val="single" w:sz="8" w:color="auto"/>
            </w:tcBorders>
          </w:tcPr>
          <w:p>
            <w:pPr>
              <w:spacing w:after="0"/>
              <w:rPr>
                <w:sz w:val="18"/>
                <w:szCs w:val="18"/>
                <w:color w:val="auto"/>
              </w:rPr>
            </w:pPr>
          </w:p>
        </w:tc>
      </w:tr>
      <w:tr>
        <w:trPr>
          <w:trHeight w:val="208"/>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7"/>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21,136</w:t>
            </w:r>
          </w:p>
        </w:tc>
      </w:tr>
      <w:tr>
        <w:trPr>
          <w:trHeight w:val="211"/>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374,846</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240,109</w:t>
            </w:r>
          </w:p>
        </w:tc>
      </w:tr>
      <w:tr>
        <w:trPr>
          <w:trHeight w:val="211"/>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148,194</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14,275</w:t>
            </w:r>
          </w:p>
        </w:tc>
      </w:tr>
      <w:tr>
        <w:trPr>
          <w:trHeight w:val="204"/>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616,607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675,857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798,560</w:t>
            </w:r>
          </w:p>
        </w:tc>
      </w:tr>
      <w:tr>
        <w:trPr>
          <w:trHeight w:val="22"/>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Net Loss Per Share Attributable to Common Stockholders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sets forth the calculation of basic and diluted net loss per share attributable to common stockholders during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3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 (in thousands)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(1,256,145)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line="147" w:lineRule="exact"/>
              <w:rPr>
                <w:sz w:val="20"/>
                <w:szCs w:val="20"/>
                <w:color w:val="auto"/>
              </w:rPr>
            </w:pPr>
            <w:r>
              <w:rPr>
                <w:rFonts w:ascii="Times New Roman" w:cs="Times New Roman" w:eastAsia="Times New Roman" w:hAnsi="Times New Roman"/>
                <w:sz w:val="16"/>
                <w:szCs w:val="16"/>
                <w:color w:val="auto"/>
              </w:rPr>
              <w:t>Weighted-average shares used to compute net loss per share attributable to</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9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165,925,128</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183,327,844</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182,994,038</w:t>
            </w:r>
          </w:p>
        </w:tc>
        <w:tc>
          <w:tcPr>
            <w:tcW w:w="0" w:type="dxa"/>
            <w:vAlign w:val="bottom"/>
          </w:tcPr>
          <w:p>
            <w:pPr>
              <w:spacing w:after="0"/>
              <w:rPr>
                <w:sz w:val="1"/>
                <w:szCs w:val="1"/>
                <w:color w:val="auto"/>
              </w:rPr>
            </w:pPr>
          </w:p>
        </w:tc>
      </w:tr>
      <w:tr>
        <w:trPr>
          <w:trHeight w:val="187"/>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stockholders, basic and diluted</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the diluted net loss per share attributable to common stockholders because their effect would have been anti-dilutive: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00" w:type="dxa"/>
            <w:vAlign w:val="bottom"/>
            <w:tcBorders>
              <w:bottom w:val="single" w:sz="8" w:color="auto"/>
            </w:tcBorders>
          </w:tcPr>
          <w:p>
            <w:pPr>
              <w:spacing w:after="0"/>
              <w:rPr>
                <w:sz w:val="18"/>
                <w:szCs w:val="18"/>
                <w:color w:val="auto"/>
              </w:rPr>
            </w:pPr>
          </w:p>
        </w:tc>
      </w:tr>
      <w:tr>
        <w:trPr>
          <w:trHeight w:val="208"/>
        </w:trPr>
        <w:tc>
          <w:tcPr>
            <w:tcW w:w="6980" w:type="dxa"/>
            <w:vAlign w:val="bottom"/>
          </w:tcPr>
          <w:p>
            <w:pPr>
              <w:spacing w:after="0"/>
              <w:rPr>
                <w:sz w:val="18"/>
                <w:szCs w:val="18"/>
                <w:color w:val="auto"/>
              </w:rPr>
            </w:pPr>
          </w:p>
        </w:tc>
        <w:tc>
          <w:tcPr>
            <w:tcW w:w="120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issued and outstanding</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1,322,176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1,722,861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2,277,379</w:t>
            </w:r>
          </w:p>
        </w:tc>
      </w:tr>
      <w:tr>
        <w:trPr>
          <w:trHeight w:val="213"/>
        </w:trPr>
        <w:tc>
          <w:tcPr>
            <w:tcW w:w="698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Unvested restricted stock units issued and outstanding</w:t>
            </w:r>
            <w:r>
              <w:rPr>
                <w:rFonts w:ascii="Times New Roman" w:cs="Times New Roman" w:eastAsia="Times New Roman" w:hAnsi="Times New Roman"/>
                <w:sz w:val="20"/>
                <w:szCs w:val="20"/>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18,386,271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18,755,538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15,414,997</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Twilio.org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353,633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442,041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530,449</w:t>
            </w: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committed under ESPP</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265,698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426,199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766,334</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in escrow</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31,503</w:t>
            </w: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in escrow and restricted stock awards subject to future vesting</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56,237</w:t>
            </w:r>
          </w:p>
        </w:tc>
      </w:tr>
      <w:tr>
        <w:trPr>
          <w:trHeight w:val="234"/>
        </w:trPr>
        <w:tc>
          <w:tcPr>
            <w:tcW w:w="69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20,327,778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21,381,913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19,076,899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1" w:lineRule="exact"/>
        <w:rPr>
          <w:sz w:val="20"/>
          <w:szCs w:val="20"/>
          <w:color w:val="auto"/>
        </w:rPr>
      </w:pPr>
    </w:p>
    <w:p>
      <w:pPr>
        <w:ind w:left="160" w:hanging="153"/>
        <w:spacing w:after="0"/>
        <w:tabs>
          <w:tab w:leader="none" w:pos="160" w:val="left"/>
        </w:tabs>
        <w:numPr>
          <w:ilvl w:val="0"/>
          <w:numId w:val="7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number of PSUs that will ultimately vest may increase or decrease the number of shares that will be issued at the end of the performance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Income Taxes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domestic and foreign components of loss before provision for income taxes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54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6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7"/>
        </w:trPr>
        <w:tc>
          <w:tcPr>
            <w:tcW w:w="6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(In thousands)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(1,021,208)</w:t>
            </w:r>
          </w:p>
        </w:tc>
      </w:tr>
      <w:tr>
        <w:trPr>
          <w:trHeight w:val="211"/>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(222,424)</w:t>
            </w:r>
          </w:p>
        </w:tc>
      </w:tr>
      <w:tr>
        <w:trPr>
          <w:trHeight w:val="234"/>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(1,243,632)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Provision for income taxes consists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Borders>
              <w:bottom w:val="single" w:sz="8" w:color="auto"/>
            </w:tcBorders>
          </w:tcPr>
          <w:p>
            <w:pPr>
              <w:spacing w:after="0"/>
              <w:rPr>
                <w:sz w:val="18"/>
                <w:szCs w:val="18"/>
                <w:color w:val="auto"/>
              </w:rPr>
            </w:pPr>
          </w:p>
        </w:tc>
      </w:tr>
      <w:tr>
        <w:trPr>
          <w:trHeight w:val="208"/>
        </w:trPr>
        <w:tc>
          <w:tcPr>
            <w:tcW w:w="6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(In thousands)</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1"/>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w:t>
            </w:r>
          </w:p>
        </w:tc>
      </w:tr>
      <w:tr>
        <w:trPr>
          <w:trHeight w:val="216"/>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r>
      <w:tr>
        <w:trPr>
          <w:trHeight w:val="211"/>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31,354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17,450</w:t>
            </w:r>
          </w:p>
        </w:tc>
      </w:tr>
      <w:tr>
        <w:trPr>
          <w:trHeight w:val="209"/>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35,454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25,478</w:t>
            </w: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r>
      <w:tr>
        <w:trPr>
          <w:trHeight w:val="211"/>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216"/>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(6,992)</w:t>
            </w:r>
          </w:p>
        </w:tc>
      </w:tr>
      <w:tr>
        <w:trPr>
          <w:trHeight w:val="204"/>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(12,965)</w:t>
            </w:r>
          </w:p>
        </w:tc>
      </w:tr>
      <w:tr>
        <w:trPr>
          <w:trHeight w:val="234"/>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a reconciliation of the statutory federal tax rate and the Company's effective tax rate:</w:t>
      </w:r>
    </w:p>
    <w:p>
      <w:pPr>
        <w:spacing w:after="0" w:line="26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federal statutory rate</w:t>
            </w: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tax, net of federal benefit</w:t>
            </w:r>
          </w:p>
        </w:tc>
        <w:tc>
          <w:tcPr>
            <w:tcW w:w="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r>
      <w:tr>
        <w:trPr>
          <w:trHeight w:val="21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Credits</w:t>
            </w:r>
          </w:p>
        </w:tc>
        <w:tc>
          <w:tcPr>
            <w:tcW w:w="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r>
      <w:tr>
        <w:trPr>
          <w:trHeight w:val="21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Permanent book vs. tax differences</w:t>
            </w:r>
          </w:p>
        </w:tc>
        <w:tc>
          <w:tcPr>
            <w:tcW w:w="4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4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r>
      <w:tr>
        <w:trPr>
          <w:trHeight w:val="211"/>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r>
      <w:tr>
        <w:trPr>
          <w:trHeight w:val="229"/>
        </w:trPr>
        <w:tc>
          <w:tcPr>
            <w:tcW w:w="7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Effective tax rate</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8"/>
        </w:trPr>
        <w:tc>
          <w:tcPr>
            <w:tcW w:w="6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shd w:val="clear" w:color="auto" w:fill="CCEEFF"/>
          </w:tcPr>
          <w:p>
            <w:pPr>
              <w:spacing w:after="0"/>
              <w:rPr>
                <w:sz w:val="16"/>
                <w:szCs w:val="16"/>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80" w:type="dxa"/>
            <w:vAlign w:val="bottom"/>
            <w:shd w:val="clear" w:color="auto" w:fill="CCEEFF"/>
          </w:tcPr>
          <w:p>
            <w:pPr>
              <w:spacing w:after="0"/>
              <w:rPr>
                <w:sz w:val="16"/>
                <w:szCs w:val="16"/>
                <w:color w:val="auto"/>
              </w:rPr>
            </w:pPr>
          </w:p>
        </w:tc>
      </w:tr>
      <w:tr>
        <w:trPr>
          <w:trHeight w:val="211"/>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810,278</w:t>
            </w:r>
          </w:p>
        </w:tc>
        <w:tc>
          <w:tcPr>
            <w:tcW w:w="100" w:type="dxa"/>
            <w:vAlign w:val="bottom"/>
          </w:tcPr>
          <w:p>
            <w:pPr>
              <w:spacing w:after="0"/>
              <w:rPr>
                <w:sz w:val="18"/>
                <w:szCs w:val="18"/>
                <w:color w:val="auto"/>
              </w:rPr>
            </w:pPr>
          </w:p>
        </w:tc>
        <w:tc>
          <w:tcPr>
            <w:tcW w:w="4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983,652</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Accruals and reserves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73,535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52,750</w:t>
            </w:r>
          </w:p>
        </w:tc>
      </w:tr>
      <w:tr>
        <w:trPr>
          <w:trHeight w:val="211"/>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29,572</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177,109</w:t>
            </w:r>
          </w:p>
        </w:tc>
      </w:tr>
      <w:tr>
        <w:trPr>
          <w:trHeight w:val="211"/>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135,564</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research and development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299,061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231,819</w:t>
            </w:r>
          </w:p>
        </w:tc>
      </w:tr>
      <w:tr>
        <w:trPr>
          <w:trHeight w:val="211"/>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44,682</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and other basis differences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51,368</w:t>
            </w:r>
          </w:p>
        </w:tc>
      </w:tr>
      <w:tr>
        <w:trPr>
          <w:trHeight w:val="211"/>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31,852</w:t>
            </w:r>
          </w:p>
        </w:tc>
      </w:tr>
      <w:tr>
        <w:trPr>
          <w:trHeight w:val="209"/>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1,652,442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1,738,368</w:t>
            </w:r>
          </w:p>
        </w:tc>
      </w:tr>
      <w:tr>
        <w:trPr>
          <w:trHeight w:val="211"/>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(1,488,328)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(1,533,933)</w:t>
            </w:r>
          </w:p>
        </w:tc>
      </w:tr>
      <w:tr>
        <w:trPr>
          <w:trHeight w:val="209"/>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deferred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204,435</w:t>
            </w:r>
          </w:p>
        </w:tc>
      </w:tr>
      <w:tr>
        <w:trPr>
          <w:trHeight w:val="211"/>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software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(36,109)</w:t>
            </w:r>
          </w:p>
        </w:tc>
      </w:tr>
      <w:tr>
        <w:trPr>
          <w:trHeight w:val="211"/>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Acquired intangibles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(81,415)</w:t>
            </w:r>
          </w:p>
        </w:tc>
      </w:tr>
      <w:tr>
        <w:trPr>
          <w:trHeight w:val="211"/>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(19,964)</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commissions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(50,703)</w:t>
            </w:r>
          </w:p>
        </w:tc>
      </w:tr>
      <w:tr>
        <w:trPr>
          <w:trHeight w:val="207"/>
        </w:trPr>
        <w:tc>
          <w:tcPr>
            <w:tcW w:w="6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deferred tax asset</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15,171</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Company’s tax carryforwards, carryovers and credits: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080" w:type="dxa"/>
            <w:vAlign w:val="bottom"/>
          </w:tcPr>
          <w:p>
            <w:pPr>
              <w:ind w:left="1000"/>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12"/>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8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(If not utilized)</w:t>
            </w:r>
          </w:p>
        </w:tc>
      </w:tr>
      <w:tr>
        <w:trPr>
          <w:trHeight w:val="187"/>
        </w:trPr>
        <w:tc>
          <w:tcPr>
            <w:tcW w:w="59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rPr>
                <w:sz w:val="16"/>
                <w:szCs w:val="16"/>
                <w:color w:val="auto"/>
              </w:rPr>
            </w:pPr>
          </w:p>
        </w:tc>
      </w:tr>
      <w:tr>
        <w:trPr>
          <w:trHeight w:val="221"/>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tax credits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151,594</w:t>
            </w: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Various dates beginning in 2038</w:t>
            </w:r>
          </w:p>
        </w:tc>
      </w:tr>
      <w:tr>
        <w:trPr>
          <w:trHeight w:val="211"/>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net operating loss carryforwards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2,826,042</w:t>
            </w:r>
          </w:p>
        </w:tc>
        <w:tc>
          <w:tcPr>
            <w:tcW w:w="10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Indefinite</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net operating loss carryforwards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2,390,636</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Various dates beginning in 2026</w:t>
            </w:r>
          </w:p>
        </w:tc>
      </w:tr>
      <w:tr>
        <w:trPr>
          <w:trHeight w:val="211"/>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tax credits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125,282</w:t>
            </w:r>
          </w:p>
        </w:tc>
        <w:tc>
          <w:tcPr>
            <w:tcW w:w="10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Various dates beginning in 2029</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net operating loss carryforwards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846,118</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A limitation may apply to the use of the federal and state net operating loss and credit carryforwards, under provisions of the Internal Revenue Code of 1986, as amended, and similar state tax provisions that are applicable if the Company experiences an “ownership change.” An ownership change may occur, for example, as a result of issuance of new equity. Should these limitations apply, the carryforwards would be subject to an annual limitation, resulting in a potential reduction in the gross deferred tax assets before considering the valuation allowance.</w:t>
      </w:r>
    </w:p>
    <w:p>
      <w:pPr>
        <w:spacing w:after="0" w:line="181" w:lineRule="exact"/>
        <w:rPr>
          <w:sz w:val="20"/>
          <w:szCs w:val="20"/>
          <w:color w:val="auto"/>
        </w:rPr>
      </w:pPr>
    </w:p>
    <w:p>
      <w:pPr>
        <w:ind w:right="100" w:firstLine="480"/>
        <w:spacing w:after="0" w:line="262" w:lineRule="auto"/>
        <w:rPr>
          <w:sz w:val="20"/>
          <w:szCs w:val="20"/>
          <w:color w:val="auto"/>
        </w:rPr>
      </w:pPr>
      <w:r>
        <w:rPr>
          <w:rFonts w:ascii="Times New Roman" w:cs="Times New Roman" w:eastAsia="Times New Roman" w:hAnsi="Times New Roman"/>
          <w:sz w:val="18"/>
          <w:szCs w:val="18"/>
          <w:color w:val="auto"/>
        </w:rPr>
        <w:t>The Company's accounting for deferred taxes involves the evaluation of a number of factors related to the realizability of its net deferred tax assets. The Company primarily considered such factors as its history of operating losses, the nature of the Company's deferred tax assets, and the timing, likelihood and amount, if any, of future taxable income during the periods in which those temporary differences and carryforwards become deductible.</w:t>
      </w:r>
    </w:p>
    <w:p>
      <w:pPr>
        <w:spacing w:after="0" w:line="176" w:lineRule="exact"/>
        <w:rPr>
          <w:sz w:val="20"/>
          <w:szCs w:val="20"/>
          <w:color w:val="auto"/>
        </w:rPr>
      </w:pPr>
    </w:p>
    <w:p>
      <w:pPr>
        <w:ind w:right="320" w:firstLine="480"/>
        <w:spacing w:after="0" w:line="262" w:lineRule="auto"/>
        <w:rPr>
          <w:sz w:val="20"/>
          <w:szCs w:val="20"/>
          <w:color w:val="auto"/>
        </w:rPr>
      </w:pPr>
      <w:r>
        <w:rPr>
          <w:rFonts w:ascii="Times New Roman" w:cs="Times New Roman" w:eastAsia="Times New Roman" w:hAnsi="Times New Roman"/>
          <w:sz w:val="18"/>
          <w:szCs w:val="18"/>
          <w:color w:val="auto"/>
        </w:rPr>
        <w:t>At present, the Company does not believe that it is more likely than not that the federal, state and certain foreign net deferred tax assets will be realized, and accordingly, a valuation allowance has been established. The valuation allowance decreased by approximately $45.6 million during the year ended December 31, 2024, and increased by approximately $176.6 million during the year ended December 31, 2023.</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Borders>
              <w:bottom w:val="single" w:sz="8" w:color="auto"/>
            </w:tcBorders>
          </w:tcPr>
          <w:p>
            <w:pPr>
              <w:spacing w:after="0"/>
              <w:rPr>
                <w:sz w:val="18"/>
                <w:szCs w:val="18"/>
                <w:color w:val="auto"/>
              </w:rPr>
            </w:pPr>
          </w:p>
        </w:tc>
      </w:tr>
      <w:tr>
        <w:trPr>
          <w:trHeight w:val="208"/>
        </w:trPr>
        <w:tc>
          <w:tcPr>
            <w:tcW w:w="6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7"/>
        </w:trPr>
        <w:tc>
          <w:tcPr>
            <w:tcW w:w="6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(In thousands)</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 beginning of year</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223,380</w:t>
            </w: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for tax positions of prior years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decreases for tax positions of prior years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for tax positions of current year</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w:t>
            </w: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r>
      <w:tr>
        <w:trPr>
          <w:trHeight w:val="209"/>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Unrecognized tax benefit, end of year</w:t>
            </w: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233,778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228,966</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380" w:firstLine="480"/>
        <w:spacing w:after="0" w:line="262" w:lineRule="auto"/>
        <w:rPr>
          <w:sz w:val="20"/>
          <w:szCs w:val="20"/>
          <w:color w:val="auto"/>
        </w:rPr>
      </w:pPr>
      <w:r>
        <w:rPr>
          <w:rFonts w:ascii="Times New Roman" w:cs="Times New Roman" w:eastAsia="Times New Roman" w:hAnsi="Times New Roman"/>
          <w:sz w:val="18"/>
          <w:szCs w:val="18"/>
          <w:color w:val="auto"/>
        </w:rPr>
        <w:t>As of December 31, 2024, the Company had approximately $252.2 million of unrecognized tax benefits. If the $252.2 million is recognized, $3.1 million would affect the effective tax rate. The remaining amount would be offset by the reversal of related deferred tax assets which are subject to a full valuation allowance.</w:t>
      </w:r>
    </w:p>
    <w:p>
      <w:pPr>
        <w:spacing w:after="0" w:line="176" w:lineRule="exact"/>
        <w:rPr>
          <w:sz w:val="20"/>
          <w:szCs w:val="20"/>
          <w:color w:val="auto"/>
        </w:rPr>
      </w:pPr>
    </w:p>
    <w:p>
      <w:pPr>
        <w:ind w:right="260" w:firstLine="480"/>
        <w:spacing w:after="0" w:line="262" w:lineRule="auto"/>
        <w:rPr>
          <w:sz w:val="20"/>
          <w:szCs w:val="20"/>
          <w:color w:val="auto"/>
        </w:rPr>
      </w:pPr>
      <w:r>
        <w:rPr>
          <w:rFonts w:ascii="Times New Roman" w:cs="Times New Roman" w:eastAsia="Times New Roman" w:hAnsi="Times New Roman"/>
          <w:sz w:val="18"/>
          <w:szCs w:val="18"/>
          <w:color w:val="auto"/>
        </w:rPr>
        <w:t>The Company does not anticipate any significant changes within 12 months of December 31, 2024, in its uncertain tax positions that would be material to its consolidated financial statements taken as a whole because nearly all of the unrecognized tax benefit has been offset by a deferred tax asset, which has been reduced by a valuation allowance.</w:t>
      </w:r>
    </w:p>
    <w:p>
      <w:pPr>
        <w:spacing w:after="0" w:line="176"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many U.S. states and foreign jurisdictions. As of December 31, 2024, the tax years 2008 through the current period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 The Company is fully reserved for all open U.S. federal, state and local, or non-U.S. income tax examinations by any tax authorities.</w:t>
      </w:r>
    </w:p>
    <w:p>
      <w:pPr>
        <w:spacing w:after="0" w:line="186"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On June 7, 2019, a three-judge panel from the U.S. Court of Appeals for the Ninth Circuit overturned the U.S. Tax Court's decision in Altera Corp. v. Commissioner and upheld the portion of the Treasury regulations under Section 482 of the Internal Revenue Code that requires related parties in a cost-sharing arrangement to share expenses related to share-based compensation. As a result of this decision, the Company's gross unrecognized tax benefits increased to reflect the impact of including share-based compensation in cost-sharing arrangements. The Company will continue to monitor future developments related to this matter and their potential effects on its consolidated financial statements. There is no impact on the Company’s effective tax rate for years ended December 31, 2024 and 2023 due to a full valuation allowance against its deferred tax assets.</w:t>
      </w:r>
    </w:p>
    <w:p>
      <w:pPr>
        <w:spacing w:after="0" w:line="185" w:lineRule="exact"/>
        <w:rPr>
          <w:sz w:val="20"/>
          <w:szCs w:val="20"/>
          <w:color w:val="auto"/>
        </w:rPr>
      </w:pPr>
    </w:p>
    <w:p>
      <w:pPr>
        <w:ind w:right="280" w:firstLine="480"/>
        <w:spacing w:after="0" w:line="262" w:lineRule="auto"/>
        <w:rPr>
          <w:sz w:val="20"/>
          <w:szCs w:val="20"/>
          <w:color w:val="auto"/>
        </w:rPr>
      </w:pPr>
      <w:r>
        <w:rPr>
          <w:rFonts w:ascii="Times New Roman" w:cs="Times New Roman" w:eastAsia="Times New Roman" w:hAnsi="Times New Roman"/>
          <w:sz w:val="18"/>
          <w:szCs w:val="18"/>
          <w:color w:val="auto"/>
        </w:rPr>
        <w:t>The provision for income taxes recorded in the years ended December 31, 2024 and 2023, respectively, consists primarily of income taxes and withholding taxes in jurisdictions in which the Company conducts business. Due to a history of losses in the U.S., the Company maintains a full valuation allowance against its U.S. deferred tax assets.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4"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defined in Rules 13a-15(e) and 15d-15(e) under the Exchange Act), as of the end of the period covered by this Annual Report on Form 10-K.</w:t>
      </w:r>
    </w:p>
    <w:p>
      <w:pPr>
        <w:spacing w:after="0" w:line="176"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Based on this evaluation, our Chief Executive Officer and our Chief Financial Officer concluded that, as of December 31, 2024,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4"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U.S. generally accepted accounting principles.</w:t>
      </w:r>
    </w:p>
    <w:p>
      <w:pPr>
        <w:spacing w:after="0" w:line="186" w:lineRule="exact"/>
        <w:rPr>
          <w:sz w:val="20"/>
          <w:szCs w:val="20"/>
          <w:color w:val="auto"/>
        </w:rPr>
      </w:pPr>
    </w:p>
    <w:p>
      <w:pPr>
        <w:ind w:right="240" w:firstLine="480"/>
        <w:spacing w:after="0" w:line="277" w:lineRule="auto"/>
        <w:rPr>
          <w:sz w:val="20"/>
          <w:szCs w:val="20"/>
          <w:color w:val="auto"/>
        </w:rPr>
      </w:pPr>
      <w:r>
        <w:rPr>
          <w:rFonts w:ascii="Times New Roman" w:cs="Times New Roman" w:eastAsia="Times New Roman" w:hAnsi="Times New Roman"/>
          <w:sz w:val="17"/>
          <w:szCs w:val="17"/>
          <w:color w:val="auto"/>
        </w:rPr>
        <w:t xml:space="preserve">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2024, based on the criteria set forth in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issued by the Committee of Sponsoring Organizations of the Treadway Commission (2013 framework). Based on this evaluation, management concluded that our internal control over financial reporting was effective as of December 31, 2024.</w:t>
      </w:r>
    </w:p>
    <w:p>
      <w:pPr>
        <w:spacing w:after="0" w:line="165"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KPMG LLP, an independent registered public accounting firm, as stated in their report which is included in Part II, Item 8, “Financial Statements and Supplementary Data,” of this Annual Report on Form 10-K.</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4" w:lineRule="exact"/>
        <w:rPr>
          <w:sz w:val="20"/>
          <w:szCs w:val="20"/>
          <w:color w:val="auto"/>
        </w:rPr>
      </w:pPr>
    </w:p>
    <w:p>
      <w:pPr>
        <w:jc w:val="both"/>
        <w:ind w:right="40" w:firstLine="480"/>
        <w:spacing w:after="0" w:line="25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connection with the evaluation required by Rules 13a-15(d) and 15d-15(d) of the Exchange Act that occurred during the three months ended December 31, 2024, that materially affected, or are reasonably likely to materially affect, our internal control over financial reporting.</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4" w:lineRule="exact"/>
        <w:rPr>
          <w:sz w:val="20"/>
          <w:szCs w:val="20"/>
          <w:color w:val="auto"/>
        </w:rPr>
      </w:pPr>
    </w:p>
    <w:p>
      <w:pPr>
        <w:ind w:right="40" w:firstLine="480"/>
        <w:spacing w:after="0" w:line="216" w:lineRule="exact"/>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control system, misstatements due to error or fraud may occur and not be detected.</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3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2" w:lineRule="exact"/>
        <w:rPr>
          <w:sz w:val="20"/>
          <w:szCs w:val="20"/>
          <w:color w:val="auto"/>
        </w:rPr>
      </w:pPr>
    </w:p>
    <w:p>
      <w:pPr>
        <w:ind w:right="140" w:firstLine="480"/>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adopted or terminated a “Rule 10b5-1 trading arrangement” or a “non-Rule 10b5-1 trading arrangement” (each as defined in Item 408 of Regulation S-K).</w:t>
      </w: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Disclosure Pursuant to Section 13(r) of the Exchange Act</w:t>
      </w:r>
    </w:p>
    <w:p>
      <w:pPr>
        <w:spacing w:after="0" w:line="102" w:lineRule="exact"/>
        <w:rPr>
          <w:sz w:val="20"/>
          <w:szCs w:val="20"/>
          <w:color w:val="auto"/>
        </w:rPr>
      </w:pPr>
    </w:p>
    <w:p>
      <w:pPr>
        <w:ind w:firstLine="480"/>
        <w:spacing w:after="0" w:line="246" w:lineRule="auto"/>
        <w:rPr>
          <w:sz w:val="20"/>
          <w:szCs w:val="20"/>
          <w:color w:val="auto"/>
        </w:rPr>
      </w:pPr>
      <w:r>
        <w:rPr>
          <w:rFonts w:ascii="Times New Roman" w:cs="Times New Roman" w:eastAsia="Times New Roman" w:hAnsi="Times New Roman"/>
          <w:sz w:val="18"/>
          <w:szCs w:val="18"/>
          <w:color w:val="auto"/>
        </w:rPr>
        <w:t>Section 13(r) of the Exchange Act requires an issuer to disclose certain information in its periodic reports if it or any of its affiliates knowingly engaged in certain activities, transactions or dealings with individuals or entities subject to specific U.S. economic sanctions during the reporting period, even when the activities, transactions or dealings are conducted in compliance with applicable law.</w:t>
      </w:r>
    </w:p>
    <w:p>
      <w:pPr>
        <w:spacing w:after="0" w:line="204" w:lineRule="exact"/>
        <w:rPr>
          <w:sz w:val="20"/>
          <w:szCs w:val="20"/>
          <w:color w:val="auto"/>
        </w:rPr>
      </w:pPr>
    </w:p>
    <w:p>
      <w:pPr>
        <w:ind w:right="220" w:firstLine="480"/>
        <w:spacing w:after="0" w:line="253" w:lineRule="auto"/>
        <w:rPr>
          <w:sz w:val="20"/>
          <w:szCs w:val="20"/>
          <w:color w:val="auto"/>
        </w:rPr>
      </w:pPr>
      <w:r>
        <w:rPr>
          <w:rFonts w:ascii="Times New Roman" w:cs="Times New Roman" w:eastAsia="Times New Roman" w:hAnsi="Times New Roman"/>
          <w:sz w:val="18"/>
          <w:szCs w:val="18"/>
          <w:color w:val="auto"/>
        </w:rPr>
        <w:t>The Company, through one of its non-U.S. subsidiaries, is party to service agreements with a non-affiliated Swiss entity, pursuant to which the non-affiliated Swiss entity delivers SMS messages terminating in Iran through Mobile Telecommunication Company of Iran, Rightel Telecommunications Services Co. and MTN Irancell (collectively, the “Iranian Entities”). The Iranian Entities may be considered “Government of Iran” entities (as defined by Section 560.304 of title 31, Code of Federal Regulations). For the year ended December 31, 2024, the Company’s non-U.S. subsidiaries made payments to the non-affiliated Swiss entity to deliver SMS messages terminating in Iran but did not receive any gross revenue or net profits from the Iranian Entities associated with these services. These services are in the process of being terminated.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4" w:lineRule="exact"/>
        <w:rPr>
          <w:sz w:val="20"/>
          <w:szCs w:val="20"/>
          <w:color w:val="auto"/>
        </w:rPr>
      </w:pPr>
    </w:p>
    <w:p>
      <w:pPr>
        <w:ind w:right="200" w:firstLine="4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2025 Annual Meeting of Stockholders (the “Proxy Statement”). The Proxy Statement will be filed with the SEC within 120 days of the year ended December 31, 2024.</w:t>
      </w:r>
    </w:p>
    <w:p>
      <w:pPr>
        <w:spacing w:after="0" w:line="163" w:lineRule="exact"/>
        <w:rPr>
          <w:sz w:val="20"/>
          <w:szCs w:val="20"/>
          <w:color w:val="auto"/>
        </w:rPr>
      </w:pPr>
    </w:p>
    <w:p>
      <w:pPr>
        <w:ind w:right="200" w:firstLine="480"/>
        <w:spacing w:after="0" w:line="262" w:lineRule="auto"/>
        <w:rPr>
          <w:sz w:val="20"/>
          <w:szCs w:val="20"/>
          <w:color w:val="auto"/>
        </w:rPr>
      </w:pPr>
      <w:r>
        <w:rPr>
          <w:rFonts w:ascii="Times New Roman" w:cs="Times New Roman" w:eastAsia="Times New Roman" w:hAnsi="Times New Roman"/>
          <w:sz w:val="18"/>
          <w:szCs w:val="18"/>
          <w:color w:val="auto"/>
        </w:rPr>
        <w:t>Our board of directors has adopted a code of conduct that applies to all officers, directors and employees, which is available on our website at http://investors.twilio.com under “Governance.” We intend to satisfy the disclosure requirement under Item 5.05 of Form 8-K regarding amendments to, or waiver from, a provision of our code of conduct by posting such information on the website address and location specified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4"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to be filed with the SEC within 120 days of the year ended December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4"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to be filed with the SEC within 120 days of the year ended December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4"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to be filed with the SEC within 120 days of the year ended December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4"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to be filed with the SEC within 120 days of the year ended December 31, 2024.</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 and Financial Statement Schedules</w:t>
      </w:r>
    </w:p>
    <w:p>
      <w:pPr>
        <w:spacing w:after="0" w:line="224" w:lineRule="exact"/>
        <w:rPr>
          <w:sz w:val="20"/>
          <w:szCs w:val="20"/>
          <w:color w:val="auto"/>
        </w:rPr>
      </w:pPr>
    </w:p>
    <w:p>
      <w:pPr>
        <w:ind w:left="1280" w:hanging="793"/>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See Index to Financial Statements at Item 8 herein.</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0" w:lineRule="exact"/>
        <w:rPr>
          <w:sz w:val="20"/>
          <w:szCs w:val="20"/>
          <w:color w:val="auto"/>
        </w:rPr>
      </w:pPr>
    </w:p>
    <w:p>
      <w:pPr>
        <w:ind w:left="1280" w:firstLine="480"/>
        <w:spacing w:after="0" w:line="277" w:lineRule="auto"/>
        <w:rPr>
          <w:sz w:val="20"/>
          <w:szCs w:val="20"/>
          <w:color w:val="auto"/>
        </w:rPr>
      </w:pPr>
      <w:r>
        <w:rPr>
          <w:rFonts w:ascii="Times New Roman" w:cs="Times New Roman" w:eastAsia="Times New Roman" w:hAnsi="Times New Roman"/>
          <w:sz w:val="18"/>
          <w:szCs w:val="18"/>
          <w:color w:val="auto"/>
        </w:rPr>
        <w:t>Schedules not listed above have been omitted because they are not required, not applicable, or the required information is otherwise included.</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 Exhibits</w:t>
      </w:r>
    </w:p>
    <w:p>
      <w:pPr>
        <w:spacing w:after="0" w:line="220" w:lineRule="exact"/>
        <w:rPr>
          <w:sz w:val="20"/>
          <w:szCs w:val="20"/>
          <w:color w:val="auto"/>
        </w:rPr>
      </w:pPr>
    </w:p>
    <w:p>
      <w:pPr>
        <w:ind w:left="1280" w:right="20" w:firstLine="480"/>
        <w:spacing w:after="0" w:line="277" w:lineRule="auto"/>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in each case as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187"/>
        </w:trPr>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80" w:type="dxa"/>
            <w:vAlign w:val="bottom"/>
            <w:gridSpan w:val="3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35"/>
            <w:vMerge w:val="continue"/>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7"/>
        </w:trPr>
        <w:tc>
          <w:tcPr>
            <w:tcW w:w="8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920" w:type="dxa"/>
            <w:vAlign w:val="bottom"/>
            <w:tcBorders>
              <w:top w:val="single" w:sz="8" w:color="auto"/>
            </w:tcBorders>
            <w:gridSpan w:val="42"/>
          </w:tcPr>
          <w:p>
            <w:pPr>
              <w:spacing w:after="0" w:line="147"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Amended and Restated Certificate of Incorporation of Twilio Inc.</w:t>
              </w:r>
            </w:hyperlink>
          </w:p>
        </w:tc>
        <w:tc>
          <w:tcPr>
            <w:tcW w:w="1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10-Q</w:t>
            </w:r>
          </w:p>
        </w:tc>
        <w:tc>
          <w:tcPr>
            <w:tcW w:w="10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August 1, 2024</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Fourth Amended and Restated Bylaws of Twilio Inc.</w:t>
              </w:r>
            </w:hyperlink>
          </w:p>
        </w:tc>
        <w:tc>
          <w:tcPr>
            <w:tcW w:w="720" w:type="dxa"/>
            <w:vAlign w:val="bottom"/>
            <w:tcBorders>
              <w:top w:val="single" w:sz="8" w:color="0000FF"/>
            </w:tcBorders>
            <w:gridSpan w:val="6"/>
          </w:tcPr>
          <w:p>
            <w:pPr>
              <w:spacing w:after="0"/>
              <w:rPr>
                <w:sz w:val="15"/>
                <w:szCs w:val="15"/>
                <w:color w:val="auto"/>
              </w:rPr>
            </w:pPr>
          </w:p>
        </w:tc>
        <w:tc>
          <w:tcPr>
            <w:tcW w:w="1320" w:type="dxa"/>
            <w:vAlign w:val="bottom"/>
            <w:gridSpan w:val="22"/>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23, 2025</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Certificate of Retirement of Class B Common Stock of Twilio Inc, dated as of June</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29, 2023</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0000FF"/>
              <w:bottom w:val="single" w:sz="8" w:color="0000FF"/>
            </w:tcBorders>
            <w:gridSpan w:val="2"/>
          </w:tcPr>
          <w:p>
            <w:pPr>
              <w:spacing w:after="0" w:line="114"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28, 2023</w:t>
              </w:r>
            </w:hyperlink>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4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Indenture, dated as of March 9, 2021 by and between Twilio Inc. and U.S. Bank</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tcBorders>
              <w:top w:val="single" w:sz="8" w:color="0000FF"/>
              <w:bottom w:val="single" w:sz="8" w:color="0000FF"/>
            </w:tcBorders>
            <w:gridSpan w:val="6"/>
          </w:tcPr>
          <w:p>
            <w:pPr>
              <w:spacing w:after="0" w:line="114"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National Association, as Trustee</w:t>
              </w:r>
            </w:hyperlink>
          </w:p>
        </w:tc>
        <w:tc>
          <w:tcPr>
            <w:tcW w:w="268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First Supplemental Indenture, dated as of March 9, 2021, between Twilio Inc. and</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bottom w:val="single" w:sz="8" w:color="0000FF"/>
            </w:tcBorders>
            <w:gridSpan w:val="10"/>
          </w:tcPr>
          <w:p>
            <w:pPr>
              <w:spacing w:after="0" w:line="114"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U.S. Bank National Association, as Trustee</w:t>
              </w:r>
            </w:hyperlink>
          </w:p>
        </w:tc>
        <w:tc>
          <w:tcPr>
            <w:tcW w:w="2200" w:type="dxa"/>
            <w:vAlign w:val="bottom"/>
            <w:tcBorders>
              <w:top w:val="single" w:sz="8" w:color="0000FF"/>
            </w:tcBorders>
            <w:gridSpan w:val="2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Form of 3.625% Senior Notes due 2029</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4.3</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Form of 3.875% Senior Notes due 2031</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4.4</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9, 2021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sz w:val="20"/>
                <w:szCs w:val="20"/>
                <w:color w:val="auto"/>
              </w:rPr>
            </w:pPr>
            <w:r>
              <w:rPr>
                <w:rFonts w:ascii="Times New Roman" w:cs="Times New Roman" w:eastAsia="Times New Roman" w:hAnsi="Times New Roman"/>
                <w:sz w:val="14"/>
                <w:szCs w:val="14"/>
                <w:color w:val="0000FF"/>
              </w:rPr>
              <w:t>Description of the Registrant's Securities Registered Pursuant to Section 12 of the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tcBorders>
            <w:gridSpan w:val="32"/>
          </w:tcPr>
          <w:p>
            <w:pPr>
              <w:spacing w:after="0" w:line="114" w:lineRule="exact"/>
              <w:rPr>
                <w:sz w:val="20"/>
                <w:szCs w:val="20"/>
                <w:color w:val="auto"/>
              </w:rPr>
            </w:pPr>
            <w:r>
              <w:rPr>
                <w:rFonts w:ascii="Times New Roman" w:cs="Times New Roman" w:eastAsia="Times New Roman" w:hAnsi="Times New Roman"/>
                <w:sz w:val="13"/>
                <w:szCs w:val="13"/>
                <w:color w:val="0000FF"/>
              </w:rPr>
              <w:t>Securities Exchange Act of 1934</w:t>
            </w: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Form of Indemnification Agreement</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26, 2021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Twilio Inc. Amended and Restated 2008 Stock Option Plan and forms of Stock</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26,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500" w:type="dxa"/>
            <w:vAlign w:val="bottom"/>
            <w:tcBorders>
              <w:top w:val="single" w:sz="8" w:color="0000FF"/>
            </w:tcBorders>
            <w:gridSpan w:val="27"/>
          </w:tcPr>
          <w:p>
            <w:pPr>
              <w:spacing w:after="0" w:line="114"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Option Agreement and form of Stock Option Grant Notice</w:t>
              </w:r>
            </w:hyperlink>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Twilio Inc. Amended and Restated 2016 Stock Option and Incentive Plan, and forms</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26,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Borders>
              <w:top w:val="single" w:sz="8" w:color="0000FF"/>
              <w:bottom w:val="single" w:sz="8" w:color="0000FF"/>
            </w:tcBorders>
            <w:gridSpan w:val="5"/>
          </w:tcPr>
          <w:p>
            <w:pPr>
              <w:spacing w:after="0" w:line="114"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of agreements thereunder</w:t>
              </w:r>
            </w:hyperlink>
          </w:p>
        </w:tc>
        <w:tc>
          <w:tcPr>
            <w:tcW w:w="3380" w:type="dxa"/>
            <w:vAlign w:val="bottom"/>
            <w:tcBorders>
              <w:top w:val="single" w:sz="8" w:color="0000FF"/>
            </w:tcBorders>
            <w:gridSpan w:val="34"/>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Twilio Inc. 2019 France Sub-Plan to the 2016 Stock Option and Incentive Plan</w:t>
              </w:r>
            </w:hyperlink>
          </w:p>
        </w:tc>
        <w:tc>
          <w:tcPr>
            <w:tcW w:w="560" w:type="dxa"/>
            <w:vAlign w:val="bottom"/>
            <w:gridSpan w:val="17"/>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31, 2019</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Cash-Based Award Agreement for Company Employees under the Twilio Inc. 2016</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22, 2023</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tcBorders>
              <w:top w:val="single" w:sz="8" w:color="0000FF"/>
              <w:bottom w:val="single" w:sz="8" w:color="0000FF"/>
            </w:tcBorders>
            <w:gridSpan w:val="6"/>
          </w:tcPr>
          <w:p>
            <w:pPr>
              <w:spacing w:after="0" w:line="114"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Stock Option and Incentive Plan</w:t>
              </w:r>
            </w:hyperlink>
          </w:p>
        </w:tc>
        <w:tc>
          <w:tcPr>
            <w:tcW w:w="2900" w:type="dxa"/>
            <w:vAlign w:val="bottom"/>
            <w:tcBorders>
              <w:top w:val="single" w:sz="8" w:color="0000FF"/>
            </w:tcBorders>
            <w:gridSpan w:val="31"/>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Borders>
              <w:bottom w:val="single" w:sz="8" w:color="0000FF"/>
            </w:tcBorders>
            <w:gridSpan w:val="34"/>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Twilio Inc. Amended and Restated Non-Employee Director Compensation Policy</w:t>
              </w:r>
            </w:hyperlink>
          </w:p>
        </w:tc>
        <w:tc>
          <w:tcPr>
            <w:tcW w:w="360" w:type="dxa"/>
            <w:vAlign w:val="bottom"/>
            <w:gridSpan w:val="9"/>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8, 2024</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0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Twilio Inc. Amended and Restated 2016 Employee Stock Purchase Plan</w:t>
              </w:r>
            </w:hyperlink>
          </w:p>
        </w:tc>
        <w:tc>
          <w:tcPr>
            <w:tcW w:w="940" w:type="dxa"/>
            <w:vAlign w:val="bottom"/>
            <w:gridSpan w:val="20"/>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31, 2019</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Twilio Inc. Amended Chief Executive Officer Severance Plan</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4, 2024</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Twilio Inc. Senior Executive Severance Plan</w:t>
              </w:r>
            </w:hyperlink>
          </w:p>
        </w:tc>
        <w:tc>
          <w:tcPr>
            <w:tcW w:w="960" w:type="dxa"/>
            <w:vAlign w:val="bottom"/>
            <w:tcBorders>
              <w:top w:val="single" w:sz="8" w:color="0000FF"/>
            </w:tcBorders>
            <w:gridSpan w:val="9"/>
          </w:tcPr>
          <w:p>
            <w:pPr>
              <w:spacing w:after="0"/>
              <w:rPr>
                <w:sz w:val="15"/>
                <w:szCs w:val="15"/>
                <w:color w:val="auto"/>
              </w:rPr>
            </w:pPr>
          </w:p>
        </w:tc>
        <w:tc>
          <w:tcPr>
            <w:tcW w:w="1540" w:type="dxa"/>
            <w:vAlign w:val="bottom"/>
            <w:gridSpan w:val="23"/>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4, 2024</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Twilio Inc. Non-Employee Directors’ Deferred Compensation Program and forms</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10, 2023</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FF"/>
              <w:bottom w:val="single" w:sz="8" w:color="0000FF"/>
            </w:tcBorders>
            <w:gridSpan w:val="3"/>
          </w:tcPr>
          <w:p>
            <w:pPr>
              <w:spacing w:after="0" w:line="114"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thereunder</w:t>
              </w:r>
            </w:hyperlink>
          </w:p>
        </w:tc>
        <w:tc>
          <w:tcPr>
            <w:tcW w:w="4100" w:type="dxa"/>
            <w:vAlign w:val="bottom"/>
            <w:tcBorders>
              <w:top w:val="single" w:sz="8" w:color="0000FF"/>
            </w:tcBorders>
            <w:gridSpan w:val="32"/>
          </w:tcPr>
          <w:p>
            <w:pPr>
              <w:spacing w:after="0"/>
              <w:rPr>
                <w:sz w:val="9"/>
                <w:szCs w:val="9"/>
                <w:color w:val="auto"/>
              </w:rPr>
            </w:pPr>
          </w:p>
        </w:tc>
        <w:tc>
          <w:tcPr>
            <w:tcW w:w="80" w:type="dxa"/>
            <w:vAlign w:val="bottom"/>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Twilio Inc. Executive Incentive Compensation Plan</w:t>
              </w:r>
            </w:hyperlink>
          </w:p>
        </w:tc>
        <w:tc>
          <w:tcPr>
            <w:tcW w:w="2100" w:type="dxa"/>
            <w:vAlign w:val="bottom"/>
            <w:gridSpan w:val="29"/>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 2023</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Offer Letter with Dana Wagner, dated as of October 7, 2021</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22, 2022</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top w:val="single" w:sz="8" w:color="0000FF"/>
            </w:tcBorders>
            <w:gridSpan w:val="18"/>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Offer Letter with Aidan Viggiano, dated February 10, 2023</w:t>
              </w:r>
            </w:hyperlink>
          </w:p>
        </w:tc>
        <w:tc>
          <w:tcPr>
            <w:tcW w:w="1640" w:type="dxa"/>
            <w:vAlign w:val="bottom"/>
            <w:gridSpan w:val="25"/>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tcBorders>
              <w:bottom w:val="single" w:sz="8" w:color="0000FF"/>
            </w:tcBorders>
            <w:gridSpan w:val="32"/>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Separation Agreement and Release with Jeff Lawson, dated as of January 7, 2024</w:t>
              </w:r>
            </w:hyperlink>
          </w:p>
        </w:tc>
        <w:tc>
          <w:tcPr>
            <w:tcW w:w="400" w:type="dxa"/>
            <w:vAlign w:val="bottom"/>
            <w:gridSpan w:val="11"/>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8, 2024</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Offer Letter with Khozema Shipchandler, dated as of January 7, 2024</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8, 2024</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top w:val="single" w:sz="8" w:color="0000FF"/>
            </w:tcBorders>
            <w:gridSpan w:val="22"/>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Cooperation Agreement, dated March 30, 2024</w:t>
              </w:r>
            </w:hyperlink>
          </w:p>
        </w:tc>
        <w:tc>
          <w:tcPr>
            <w:tcW w:w="1100" w:type="dxa"/>
            <w:vAlign w:val="bottom"/>
            <w:gridSpan w:val="21"/>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 2024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Sublease, dated as of August 30, 2018, by and between Salesforce.com, Inc. and</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8, 2018</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top w:val="single" w:sz="8" w:color="0000FF"/>
              <w:bottom w:val="single" w:sz="8" w:color="0000FF"/>
            </w:tcBorders>
            <w:gridSpan w:val="4"/>
          </w:tcPr>
          <w:p>
            <w:pPr>
              <w:spacing w:after="0" w:line="114"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Twilio Inc.</w:t>
              </w:r>
            </w:hyperlink>
          </w:p>
        </w:tc>
        <w:tc>
          <w:tcPr>
            <w:tcW w:w="3960" w:type="dxa"/>
            <w:vAlign w:val="bottom"/>
            <w:tcBorders>
              <w:top w:val="single" w:sz="8" w:color="0000FF"/>
            </w:tcBorders>
            <w:gridSpan w:val="26"/>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100" w:type="dxa"/>
            <w:vAlign w:val="bottom"/>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Consent to Sublease Agreement, dated as of September 25, 2018, by and among</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8, 2018</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560" w:type="dxa"/>
            <w:vAlign w:val="bottom"/>
            <w:tcBorders>
              <w:top w:val="single" w:sz="8" w:color="0000FF"/>
            </w:tcBorders>
            <w:gridSpan w:val="29"/>
          </w:tcPr>
          <w:p>
            <w:pPr>
              <w:spacing w:after="0" w:line="114"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Hudson Rincon Center, LLC, Salesforce.com Inc. and Twilio Inc.</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100" w:type="dxa"/>
            <w:vAlign w:val="bottom"/>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10.19†</w:t>
            </w: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Framework Agreement, dated as of February 26, 2021, by and among Twilio Inc.,</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6,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Borders>
              <w:top w:val="single" w:sz="8" w:color="0000FF"/>
              <w:bottom w:val="single" w:sz="8" w:color="0000FF"/>
            </w:tcBorders>
            <w:gridSpan w:val="19"/>
          </w:tcPr>
          <w:p>
            <w:pPr>
              <w:spacing w:after="0" w:line="114"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Carlyle Partners V Holdings, L.P. and Syniverse Corporation</w:t>
              </w:r>
            </w:hyperlink>
          </w:p>
        </w:tc>
        <w:tc>
          <w:tcPr>
            <w:tcW w:w="1220" w:type="dxa"/>
            <w:vAlign w:val="bottom"/>
            <w:tcBorders>
              <w:top w:val="single" w:sz="8" w:color="0000FF"/>
            </w:tcBorders>
            <w:gridSpan w:val="15"/>
          </w:tcPr>
          <w:p>
            <w:pPr>
              <w:spacing w:after="0"/>
              <w:rPr>
                <w:sz w:val="9"/>
                <w:szCs w:val="9"/>
                <w:color w:val="auto"/>
              </w:rPr>
            </w:pPr>
          </w:p>
        </w:tc>
        <w:tc>
          <w:tcPr>
            <w:tcW w:w="100" w:type="dxa"/>
            <w:vAlign w:val="bottom"/>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Framework Agreement Letter Agreement, dated as of August 16, 2021, by and among</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17, 2021</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160" w:type="dxa"/>
            <w:vAlign w:val="bottom"/>
            <w:tcBorders>
              <w:top w:val="single" w:sz="8" w:color="0000FF"/>
              <w:bottom w:val="single" w:sz="8" w:color="0000FF"/>
            </w:tcBorders>
            <w:gridSpan w:val="24"/>
          </w:tcPr>
          <w:p>
            <w:pPr>
              <w:spacing w:after="0" w:line="114"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Twilio Inc., Carlyle Partners V Holdings, L.P. and Syniverse Corporation</w:t>
              </w:r>
            </w:hyperlink>
          </w:p>
        </w:tc>
        <w:tc>
          <w:tcPr>
            <w:tcW w:w="740" w:type="dxa"/>
            <w:vAlign w:val="bottom"/>
            <w:tcBorders>
              <w:top w:val="single" w:sz="8" w:color="0000FF"/>
            </w:tcBorders>
            <w:gridSpan w:val="17"/>
          </w:tcPr>
          <w:p>
            <w:pPr>
              <w:spacing w:after="0"/>
              <w:rPr>
                <w:sz w:val="9"/>
                <w:szCs w:val="9"/>
                <w:color w:val="auto"/>
              </w:rPr>
            </w:pPr>
          </w:p>
        </w:tc>
        <w:tc>
          <w:tcPr>
            <w:tcW w:w="1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Second Framework Agreement Letter Agreement, dated as of May 13, 2022, by and</w:t>
              </w:r>
            </w:hyperlink>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001-37806</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16, 2022</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20" w:type="dxa"/>
            <w:vAlign w:val="bottom"/>
            <w:tcBorders>
              <w:top w:val="single" w:sz="8" w:color="0000FF"/>
              <w:bottom w:val="single" w:sz="8" w:color="0000FF"/>
            </w:tcBorders>
            <w:gridSpan w:val="31"/>
          </w:tcPr>
          <w:p>
            <w:pPr>
              <w:spacing w:after="0" w:line="114" w:lineRule="exact"/>
              <w:rPr>
                <w:rFonts w:ascii="Times New Roman" w:cs="Times New Roman" w:eastAsia="Times New Roman" w:hAnsi="Times New Roman"/>
                <w:sz w:val="13"/>
                <w:szCs w:val="13"/>
                <w:color w:val="0000FF"/>
              </w:rPr>
            </w:pPr>
            <w:hyperlink r:id="rId175">
              <w:r>
                <w:rPr>
                  <w:rFonts w:ascii="Times New Roman" w:cs="Times New Roman" w:eastAsia="Times New Roman" w:hAnsi="Times New Roman"/>
                  <w:sz w:val="13"/>
                  <w:szCs w:val="13"/>
                  <w:color w:val="0000FF"/>
                </w:rPr>
                <w:t>among Twilio Inc., Carlyle Partners V Holdings, L.P. and Syniverse Corporation</w:t>
              </w:r>
            </w:hyperlink>
          </w:p>
        </w:tc>
        <w:tc>
          <w:tcPr>
            <w:tcW w:w="160" w:type="dxa"/>
            <w:vAlign w:val="bottom"/>
            <w:tcBorders>
              <w:top w:val="single" w:sz="8" w:color="0000FF"/>
            </w:tcBorders>
            <w:gridSpan w:val="7"/>
          </w:tcPr>
          <w:p>
            <w:pPr>
              <w:spacing w:after="0"/>
              <w:rPr>
                <w:sz w:val="9"/>
                <w:szCs w:val="9"/>
                <w:color w:val="auto"/>
              </w:rPr>
            </w:pPr>
          </w:p>
        </w:tc>
        <w:tc>
          <w:tcPr>
            <w:tcW w:w="100" w:type="dxa"/>
            <w:vAlign w:val="bottom"/>
            <w:gridSpan w:val="2"/>
          </w:tcPr>
          <w:p>
            <w:pPr>
              <w:spacing w:after="0"/>
              <w:rPr>
                <w:sz w:val="9"/>
                <w:szCs w:val="9"/>
                <w:color w:val="auto"/>
              </w:rPr>
            </w:pPr>
          </w:p>
        </w:tc>
        <w:tc>
          <w:tcPr>
            <w:tcW w:w="160" w:type="dxa"/>
            <w:vAlign w:val="bottom"/>
            <w:gridSpan w:val="3"/>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sz w:val="20"/>
                <w:szCs w:val="20"/>
                <w:color w:val="auto"/>
              </w:rPr>
            </w:pPr>
            <w:r>
              <w:rPr>
                <w:rFonts w:ascii="Times New Roman" w:cs="Times New Roman" w:eastAsia="Times New Roman" w:hAnsi="Times New Roman"/>
                <w:sz w:val="14"/>
                <w:szCs w:val="14"/>
                <w:color w:val="0000FF"/>
              </w:rPr>
              <w:t>Policy on Insider Trading and Disclosure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4"/>
          </w:tcPr>
          <w:p>
            <w:pPr>
              <w:spacing w:after="0" w:line="20" w:lineRule="exact"/>
              <w:rPr>
                <w:sz w:val="1"/>
                <w:szCs w:val="1"/>
                <w:color w:val="auto"/>
              </w:rPr>
            </w:pPr>
          </w:p>
        </w:tc>
        <w:tc>
          <w:tcPr>
            <w:tcW w:w="1280" w:type="dxa"/>
            <w:vAlign w:val="bottom"/>
            <w:gridSpan w:val="1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Special Trading Procedures for Designated Persons</w:t>
            </w:r>
          </w:p>
        </w:tc>
        <w:tc>
          <w:tcPr>
            <w:tcW w:w="2120" w:type="dxa"/>
            <w:vAlign w:val="bottom"/>
            <w:gridSpan w:val="30"/>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43"/>
          </w:tcPr>
          <w:p>
            <w:pPr>
              <w:spacing w:after="0"/>
              <w:rPr>
                <w:sz w:val="20"/>
                <w:szCs w:val="20"/>
                <w:color w:val="auto"/>
              </w:rPr>
            </w:pPr>
            <w:r>
              <w:rPr>
                <w:rFonts w:ascii="Times New Roman" w:cs="Times New Roman" w:eastAsia="Times New Roman" w:hAnsi="Times New Roman"/>
                <w:sz w:val="14"/>
                <w:szCs w:val="14"/>
                <w:color w:val="0000FF"/>
              </w:rPr>
              <w:t>Requirements for 10b5-1 Trading Plans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List of Subsidiaries of Twilio Inc.</w:t>
            </w:r>
          </w:p>
        </w:tc>
        <w:tc>
          <w:tcPr>
            <w:tcW w:w="2780" w:type="dxa"/>
            <w:vAlign w:val="bottom"/>
            <w:gridSpan w:val="34"/>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300" w:type="dxa"/>
            <w:vAlign w:val="bottom"/>
            <w:gridSpan w:val="18"/>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Consent of KPMG, LLP, Independent Registered Public Accounting Firm</w:t>
            </w:r>
          </w:p>
        </w:tc>
        <w:tc>
          <w:tcPr>
            <w:tcW w:w="840" w:type="dxa"/>
            <w:vAlign w:val="bottom"/>
            <w:gridSpan w:val="18"/>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9"/>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43"/>
          </w:tcPr>
          <w:p>
            <w:pPr>
              <w:spacing w:after="0"/>
              <w:rPr>
                <w:sz w:val="20"/>
                <w:szCs w:val="20"/>
                <w:color w:val="auto"/>
              </w:rPr>
            </w:pPr>
            <w:r>
              <w:rPr>
                <w:rFonts w:ascii="Times New Roman" w:cs="Times New Roman" w:eastAsia="Times New Roman" w:hAnsi="Times New Roman"/>
                <w:sz w:val="14"/>
                <w:szCs w:val="14"/>
                <w:color w:val="auto"/>
              </w:rPr>
              <w:t>Power of Attorney (included in signature page hereto)</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71"/>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gridSpan w:val="43"/>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pursuant to Exchange Act Rules 13a-</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340" w:type="dxa"/>
            <w:vAlign w:val="bottom"/>
            <w:tcBorders>
              <w:right w:val="single" w:sz="8" w:color="0000FF"/>
            </w:tcBorders>
            <w:gridSpan w:val="30"/>
            <w:shd w:val="clear" w:color="auto" w:fill="0000FF"/>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40" w:type="dxa"/>
            <w:vAlign w:val="bottom"/>
            <w:gridSpan w:val="43"/>
          </w:tcPr>
          <w:p>
            <w:pPr>
              <w:spacing w:after="0" w:line="114" w:lineRule="exact"/>
              <w:rPr>
                <w:sz w:val="20"/>
                <w:szCs w:val="20"/>
                <w:color w:val="auto"/>
              </w:rPr>
            </w:pPr>
            <w:r>
              <w:rPr>
                <w:rFonts w:ascii="Times New Roman" w:cs="Times New Roman" w:eastAsia="Times New Roman" w:hAnsi="Times New Roman"/>
                <w:sz w:val="13"/>
                <w:szCs w:val="13"/>
                <w:color w:val="0000FF"/>
              </w:rPr>
              <w:t>14(a) and 15d-14(a), as adopted pursuant to Section 302 of the Sarbanes-Oxley Act of</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0000FF"/>
              <w:bottom w:val="single" w:sz="8" w:color="0000FF"/>
            </w:tcBorders>
          </w:tcPr>
          <w:p>
            <w:pPr>
              <w:spacing w:after="0" w:line="127" w:lineRule="exact"/>
              <w:rPr>
                <w:sz w:val="20"/>
                <w:szCs w:val="20"/>
                <w:color w:val="auto"/>
              </w:rPr>
            </w:pPr>
            <w:r>
              <w:rPr>
                <w:rFonts w:ascii="Times New Roman" w:cs="Times New Roman" w:eastAsia="Times New Roman" w:hAnsi="Times New Roman"/>
                <w:sz w:val="14"/>
                <w:szCs w:val="14"/>
                <w:color w:val="0000FF"/>
                <w:w w:val="92"/>
              </w:rPr>
              <w:t>2002</w:t>
            </w:r>
          </w:p>
        </w:tc>
        <w:tc>
          <w:tcPr>
            <w:tcW w:w="2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Exchange Act Rules 13a-</w:t>
            </w:r>
          </w:p>
        </w:tc>
        <w:tc>
          <w:tcPr>
            <w:tcW w:w="420" w:type="dxa"/>
            <w:vAlign w:val="bottom"/>
            <w:gridSpan w:val="12"/>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40" w:type="dxa"/>
            <w:vAlign w:val="bottom"/>
            <w:gridSpan w:val="43"/>
          </w:tcPr>
          <w:p>
            <w:pPr>
              <w:spacing w:after="0" w:line="114" w:lineRule="exact"/>
              <w:rPr>
                <w:sz w:val="20"/>
                <w:szCs w:val="20"/>
                <w:color w:val="auto"/>
              </w:rPr>
            </w:pPr>
            <w:r>
              <w:rPr>
                <w:rFonts w:ascii="Times New Roman" w:cs="Times New Roman" w:eastAsia="Times New Roman" w:hAnsi="Times New Roman"/>
                <w:sz w:val="13"/>
                <w:szCs w:val="13"/>
                <w:color w:val="0000FF"/>
              </w:rPr>
              <w:t>14(a) and 15d-14(a), as adopted pursuant to Section 302 of the Sarbanes-Oxley Act of</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0000FF"/>
              <w:bottom w:val="single" w:sz="8" w:color="0000FF"/>
            </w:tcBorders>
          </w:tcPr>
          <w:p>
            <w:pPr>
              <w:spacing w:after="0" w:line="127" w:lineRule="exact"/>
              <w:rPr>
                <w:sz w:val="20"/>
                <w:szCs w:val="20"/>
                <w:color w:val="auto"/>
              </w:rPr>
            </w:pPr>
            <w:r>
              <w:rPr>
                <w:rFonts w:ascii="Times New Roman" w:cs="Times New Roman" w:eastAsia="Times New Roman" w:hAnsi="Times New Roman"/>
                <w:sz w:val="14"/>
                <w:szCs w:val="14"/>
                <w:color w:val="0000FF"/>
                <w:w w:val="92"/>
              </w:rPr>
              <w:t>2002</w:t>
            </w:r>
          </w:p>
        </w:tc>
        <w:tc>
          <w:tcPr>
            <w:tcW w:w="2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00" w:type="dxa"/>
        <w:tblCellMar>
          <w:top w:w="0" w:type="dxa"/>
          <w:left w:w="0" w:type="dxa"/>
          <w:bottom w:w="0" w:type="dxa"/>
          <w:right w:w="0" w:type="dxa"/>
        </w:tblCellMar>
      </w:tblPr>
      <w:tr>
        <w:trPr>
          <w:trHeight w:val="187"/>
        </w:trPr>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360" w:type="dxa"/>
            <w:vAlign w:val="bottom"/>
            <w:gridSpan w:val="5"/>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360" w:type="dxa"/>
            <w:vAlign w:val="bottom"/>
            <w:gridSpan w:val="5"/>
            <w:vMerge w:val="continue"/>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7"/>
        </w:trPr>
        <w:tc>
          <w:tcPr>
            <w:tcW w:w="820" w:type="dxa"/>
            <w:vAlign w:val="bottom"/>
            <w:tcBorders>
              <w:top w:val="single" w:sz="8" w:color="auto"/>
            </w:tcBorders>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920" w:type="dxa"/>
            <w:vAlign w:val="bottom"/>
            <w:tcBorders>
              <w:top w:val="single" w:sz="8" w:color="auto"/>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FF"/>
              </w:rPr>
              <w:t>Certifications of the Chief Executive Officer and Chief Financial Officer pursuant to</w:t>
            </w: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Borders>
              <w:top w:val="single" w:sz="8" w:color="0000FF"/>
            </w:tcBorders>
            <w:gridSpan w:val="4"/>
          </w:tcPr>
          <w:p>
            <w:pPr>
              <w:spacing w:after="0" w:line="114" w:lineRule="exact"/>
              <w:rPr>
                <w:sz w:val="20"/>
                <w:szCs w:val="20"/>
                <w:color w:val="auto"/>
              </w:rPr>
            </w:pPr>
            <w:r>
              <w:rPr>
                <w:rFonts w:ascii="Times New Roman" w:cs="Times New Roman" w:eastAsia="Times New Roman" w:hAnsi="Times New Roman"/>
                <w:sz w:val="13"/>
                <w:szCs w:val="13"/>
                <w:color w:val="0000FF"/>
              </w:rPr>
              <w:t>18 U.S.C. Section 1350, as adopted pursuant to Section 906 of the Sarbanes-Oxley</w:t>
            </w:r>
          </w:p>
        </w:tc>
        <w:tc>
          <w:tcPr>
            <w:tcW w:w="2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0000FF"/>
              <w:bottom w:val="single" w:sz="8" w:color="0000FF"/>
            </w:tcBorders>
          </w:tcPr>
          <w:p>
            <w:pPr>
              <w:spacing w:after="0" w:line="127" w:lineRule="exact"/>
              <w:rPr>
                <w:sz w:val="20"/>
                <w:szCs w:val="20"/>
                <w:color w:val="auto"/>
              </w:rPr>
            </w:pPr>
            <w:r>
              <w:rPr>
                <w:rFonts w:ascii="Times New Roman" w:cs="Times New Roman" w:eastAsia="Times New Roman" w:hAnsi="Times New Roman"/>
                <w:sz w:val="14"/>
                <w:szCs w:val="14"/>
                <w:color w:val="0000FF"/>
                <w:w w:val="98"/>
              </w:rPr>
              <w:t>Act of 2002</w:t>
            </w:r>
          </w:p>
        </w:tc>
        <w:tc>
          <w:tcPr>
            <w:tcW w:w="4020" w:type="dxa"/>
            <w:vAlign w:val="bottom"/>
            <w:tcBorders>
              <w:top w:val="single" w:sz="8" w:color="0000FF"/>
            </w:tcBorders>
            <w:gridSpan w:val="2"/>
          </w:tcPr>
          <w:p>
            <w:pPr>
              <w:spacing w:after="0"/>
              <w:rPr>
                <w:sz w:val="11"/>
                <w:szCs w:val="11"/>
                <w:color w:val="auto"/>
              </w:rPr>
            </w:pPr>
          </w:p>
        </w:tc>
        <w:tc>
          <w:tcPr>
            <w:tcW w:w="340" w:type="dxa"/>
            <w:vAlign w:val="bottom"/>
            <w:gridSpan w:val="3"/>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97.1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Twilio Inc. Compensation Recovery Policy</w:t>
              </w:r>
            </w:hyperlink>
          </w:p>
        </w:tc>
        <w:tc>
          <w:tcPr>
            <w:tcW w:w="2580" w:type="dxa"/>
            <w:vAlign w:val="bottom"/>
            <w:gridSpan w:val="4"/>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001-37806</w:t>
            </w:r>
          </w:p>
        </w:tc>
        <w:tc>
          <w:tcPr>
            <w:tcW w:w="100" w:type="dxa"/>
            <w:vAlign w:val="bottom"/>
          </w:tcPr>
          <w:p>
            <w:pPr>
              <w:spacing w:after="0"/>
              <w:rPr>
                <w:sz w:val="15"/>
                <w:szCs w:val="15"/>
                <w:color w:val="auto"/>
              </w:rPr>
            </w:pPr>
          </w:p>
        </w:tc>
        <w:tc>
          <w:tcPr>
            <w:tcW w:w="10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27, 2024</w:t>
            </w:r>
          </w:p>
        </w:tc>
        <w:tc>
          <w:tcPr>
            <w:tcW w:w="0" w:type="dxa"/>
            <w:vAlign w:val="bottom"/>
          </w:tcPr>
          <w:p>
            <w:pPr>
              <w:spacing w:after="0"/>
              <w:rPr>
                <w:sz w:val="1"/>
                <w:szCs w:val="1"/>
                <w:color w:val="auto"/>
              </w:rPr>
            </w:pPr>
          </w:p>
        </w:tc>
      </w:tr>
      <w:tr>
        <w:trPr>
          <w:trHeight w:val="167"/>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4"/>
                <w:szCs w:val="14"/>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40" w:type="dxa"/>
            <w:vAlign w:val="bottom"/>
            <w:gridSpan w:val="6"/>
          </w:tcPr>
          <w:p>
            <w:pPr>
              <w:spacing w:after="0" w:line="137"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document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7"/>
                <w:szCs w:val="17"/>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0"/>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7"/>
                <w:szCs w:val="17"/>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0"/>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7"/>
                <w:szCs w:val="17"/>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0"/>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7"/>
                <w:szCs w:val="17"/>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0"/>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7"/>
                <w:szCs w:val="17"/>
                <w:color w:val="auto"/>
              </w:rPr>
            </w:pPr>
          </w:p>
        </w:tc>
        <w:tc>
          <w:tcPr>
            <w:tcW w:w="50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060" w:right="5460" w:hanging="653"/>
        <w:spacing w:after="0" w:line="237" w:lineRule="auto"/>
        <w:tabs>
          <w:tab w:leader="none" w:pos="10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with Interactive Data File (formatted as Inline XBRL with applicable taxonomy extension information contained in Exhibits 101).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193" w:lineRule="exact"/>
        <w:rPr>
          <w:sz w:val="20"/>
          <w:szCs w:val="20"/>
          <w:color w:val="auto"/>
        </w:rPr>
      </w:pPr>
    </w:p>
    <w:p>
      <w:pPr>
        <w:ind w:right="1420" w:firstLine="7"/>
        <w:spacing w:after="0" w:line="517" w:lineRule="auto"/>
        <w:tabs>
          <w:tab w:leader="none" w:pos="213"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have been omitted because they are not material, and they are the type of information that the registrant treats as private or confidential. * Indicates a management contract or compensatory plan or arrangement.</w:t>
      </w:r>
    </w:p>
    <w:p>
      <w:pPr>
        <w:ind w:left="640" w:right="260" w:hanging="633"/>
        <w:spacing w:after="0" w:line="293" w:lineRule="auto"/>
        <w:tabs>
          <w:tab w:leader="none" w:pos="281"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4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29" w:lineRule="exact"/>
        <w:rPr>
          <w:sz w:val="20"/>
          <w:szCs w:val="20"/>
          <w:color w:val="auto"/>
        </w:rPr>
      </w:pPr>
    </w:p>
    <w:p>
      <w:pPr>
        <w:ind w:left="420"/>
        <w:spacing w:after="0"/>
        <w:tabs>
          <w:tab w:leader="none" w:pos="544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7"/>
          <w:szCs w:val="17"/>
          <w:u w:val="single" w:color="auto"/>
          <w:color w:val="auto"/>
        </w:rPr>
        <w:t>/s/ KHOZEMA Z. SHIPCHANDLER</w:t>
      </w:r>
    </w:p>
    <w:p>
      <w:pPr>
        <w:spacing w:after="0" w:line="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Khozema Z. Shipchandler</w:t>
      </w:r>
    </w:p>
    <w:p>
      <w:pPr>
        <w:ind w:left="5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firstLine="400"/>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Khozema Z. Shipchandler and Aidan Viggiano,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may lawfully do or cause to be done by virtue thereof.</w:t>
      </w:r>
    </w:p>
    <w:p>
      <w:pPr>
        <w:spacing w:after="0" w:line="187" w:lineRule="exact"/>
        <w:rPr>
          <w:sz w:val="20"/>
          <w:szCs w:val="20"/>
          <w:color w:val="auto"/>
        </w:rPr>
      </w:pPr>
    </w:p>
    <w:p>
      <w:pPr>
        <w:ind w:right="20" w:firstLine="4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8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KHOZEMA Z. SHIPCHANDLER</w:t>
            </w:r>
          </w:p>
        </w:tc>
      </w:tr>
      <w:tr>
        <w:trPr>
          <w:trHeight w:val="193"/>
        </w:trPr>
        <w:tc>
          <w:tcPr>
            <w:tcW w:w="5040" w:type="dxa"/>
            <w:vAlign w:val="bottom"/>
          </w:tcPr>
          <w:p>
            <w:pPr>
              <w:spacing w:after="0"/>
              <w:rPr>
                <w:sz w:val="16"/>
                <w:szCs w:val="16"/>
                <w:color w:val="auto"/>
              </w:rPr>
            </w:pPr>
          </w:p>
        </w:tc>
        <w:tc>
          <w:tcPr>
            <w:tcW w:w="2700" w:type="dxa"/>
            <w:vAlign w:val="bottom"/>
            <w:tcBorders>
              <w:top w:val="single" w:sz="8" w:color="auto"/>
            </w:tcBorders>
            <w:gridSpan w:val="10"/>
          </w:tcPr>
          <w:p>
            <w:pPr>
              <w:spacing w:after="0" w:line="194" w:lineRule="exact"/>
              <w:rPr>
                <w:sz w:val="20"/>
                <w:szCs w:val="20"/>
                <w:color w:val="auto"/>
              </w:rPr>
            </w:pPr>
            <w:r>
              <w:rPr>
                <w:rFonts w:ascii="Times New Roman" w:cs="Times New Roman" w:eastAsia="Times New Roman" w:hAnsi="Times New Roman"/>
                <w:sz w:val="18"/>
                <w:szCs w:val="18"/>
                <w:color w:val="auto"/>
              </w:rPr>
              <w:t>Khozema Z. Shipchandler</w:t>
            </w:r>
          </w:p>
        </w:tc>
        <w:tc>
          <w:tcPr>
            <w:tcW w:w="2200" w:type="dxa"/>
            <w:vAlign w:val="bottom"/>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 and Chief Executive Officer (Principal Executive Officer)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1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7"/>
              </w:rPr>
              <w:t>/s/ AIDAN VIGGIANO</w:t>
            </w:r>
          </w:p>
        </w:tc>
        <w:tc>
          <w:tcPr>
            <w:tcW w:w="3180" w:type="dxa"/>
            <w:vAlign w:val="bottom"/>
            <w:gridSpan w:val="6"/>
          </w:tcPr>
          <w:p>
            <w:pPr>
              <w:spacing w:after="0"/>
              <w:rPr>
                <w:sz w:val="24"/>
                <w:szCs w:val="24"/>
                <w:color w:val="auto"/>
              </w:rPr>
            </w:pPr>
          </w:p>
        </w:tc>
      </w:tr>
      <w:tr>
        <w:trPr>
          <w:trHeight w:val="193"/>
        </w:trPr>
        <w:tc>
          <w:tcPr>
            <w:tcW w:w="5040" w:type="dxa"/>
            <w:vAlign w:val="bottom"/>
          </w:tcPr>
          <w:p>
            <w:pPr>
              <w:spacing w:after="0"/>
              <w:rPr>
                <w:sz w:val="16"/>
                <w:szCs w:val="16"/>
                <w:color w:val="auto"/>
              </w:rPr>
            </w:pPr>
          </w:p>
        </w:tc>
        <w:tc>
          <w:tcPr>
            <w:tcW w:w="49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Aidan Viggiano</w:t>
            </w: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8"/>
              </w:rPr>
              <w:t>Chief Financial Officer (Principal Accounting and Financial Officer)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CHARLIE BELL</w:t>
            </w:r>
          </w:p>
        </w:tc>
      </w:tr>
      <w:tr>
        <w:trPr>
          <w:trHeight w:val="193"/>
        </w:trPr>
        <w:tc>
          <w:tcPr>
            <w:tcW w:w="5040" w:type="dxa"/>
            <w:vAlign w:val="bottom"/>
          </w:tcPr>
          <w:p>
            <w:pPr>
              <w:spacing w:after="0"/>
              <w:rPr>
                <w:sz w:val="16"/>
                <w:szCs w:val="16"/>
                <w:color w:val="auto"/>
              </w:rPr>
            </w:pPr>
          </w:p>
        </w:tc>
        <w:tc>
          <w:tcPr>
            <w:tcW w:w="148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Charlie Bell</w:t>
            </w:r>
          </w:p>
        </w:tc>
        <w:tc>
          <w:tcPr>
            <w:tcW w:w="3420" w:type="dxa"/>
            <w:vAlign w:val="bottom"/>
            <w:gridSpan w:val="9"/>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DONNA L. DUBINSKY</w:t>
            </w:r>
          </w:p>
        </w:tc>
      </w:tr>
      <w:tr>
        <w:trPr>
          <w:trHeight w:val="193"/>
        </w:trPr>
        <w:tc>
          <w:tcPr>
            <w:tcW w:w="5040" w:type="dxa"/>
            <w:vAlign w:val="bottom"/>
          </w:tcPr>
          <w:p>
            <w:pPr>
              <w:spacing w:after="0"/>
              <w:rPr>
                <w:sz w:val="16"/>
                <w:szCs w:val="16"/>
                <w:color w:val="auto"/>
              </w:rPr>
            </w:pPr>
          </w:p>
        </w:tc>
        <w:tc>
          <w:tcPr>
            <w:tcW w:w="2020" w:type="dxa"/>
            <w:vAlign w:val="bottom"/>
            <w:tcBorders>
              <w:top w:val="single" w:sz="8" w:color="auto"/>
            </w:tcBorders>
            <w:gridSpan w:val="9"/>
          </w:tcPr>
          <w:p>
            <w:pPr>
              <w:spacing w:after="0" w:line="194" w:lineRule="exact"/>
              <w:rPr>
                <w:sz w:val="20"/>
                <w:szCs w:val="20"/>
                <w:color w:val="auto"/>
              </w:rPr>
            </w:pPr>
            <w:r>
              <w:rPr>
                <w:rFonts w:ascii="Times New Roman" w:cs="Times New Roman" w:eastAsia="Times New Roman" w:hAnsi="Times New Roman"/>
                <w:sz w:val="18"/>
                <w:szCs w:val="18"/>
                <w:color w:val="auto"/>
              </w:rPr>
              <w:t>Donna L. Dubinsky</w:t>
            </w:r>
          </w:p>
        </w:tc>
        <w:tc>
          <w:tcPr>
            <w:tcW w:w="2880" w:type="dxa"/>
            <w:vAlign w:val="bottom"/>
            <w:gridSpan w:val="2"/>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JEFF EPSTEIN</w:t>
            </w:r>
          </w:p>
        </w:tc>
        <w:tc>
          <w:tcPr>
            <w:tcW w:w="3540" w:type="dxa"/>
            <w:vAlign w:val="bottom"/>
            <w:gridSpan w:val="10"/>
          </w:tcPr>
          <w:p>
            <w:pPr>
              <w:spacing w:after="0"/>
              <w:rPr>
                <w:sz w:val="24"/>
                <w:szCs w:val="24"/>
                <w:color w:val="auto"/>
              </w:rPr>
            </w:pPr>
          </w:p>
        </w:tc>
      </w:tr>
      <w:tr>
        <w:trPr>
          <w:trHeight w:val="193"/>
        </w:trPr>
        <w:tc>
          <w:tcPr>
            <w:tcW w:w="5040" w:type="dxa"/>
            <w:vAlign w:val="bottom"/>
          </w:tcPr>
          <w:p>
            <w:pPr>
              <w:spacing w:after="0"/>
              <w:rPr>
                <w:sz w:val="16"/>
                <w:szCs w:val="16"/>
                <w:color w:val="auto"/>
              </w:rPr>
            </w:pPr>
          </w:p>
        </w:tc>
        <w:tc>
          <w:tcPr>
            <w:tcW w:w="49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Jeff Epstein</w:t>
            </w: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JEFFREY R. IMMELT</w:t>
            </w:r>
          </w:p>
        </w:tc>
      </w:tr>
      <w:tr>
        <w:trPr>
          <w:trHeight w:val="193"/>
        </w:trPr>
        <w:tc>
          <w:tcPr>
            <w:tcW w:w="5040" w:type="dxa"/>
            <w:vAlign w:val="bottom"/>
          </w:tcPr>
          <w:p>
            <w:pPr>
              <w:spacing w:after="0"/>
              <w:rPr>
                <w:sz w:val="16"/>
                <w:szCs w:val="16"/>
                <w:color w:val="auto"/>
              </w:rPr>
            </w:pPr>
          </w:p>
        </w:tc>
        <w:tc>
          <w:tcPr>
            <w:tcW w:w="1880" w:type="dxa"/>
            <w:vAlign w:val="bottom"/>
            <w:tcBorders>
              <w:top w:val="single" w:sz="8" w:color="auto"/>
            </w:tcBorders>
            <w:gridSpan w:val="7"/>
          </w:tcPr>
          <w:p>
            <w:pPr>
              <w:spacing w:after="0" w:line="194" w:lineRule="exact"/>
              <w:rPr>
                <w:sz w:val="20"/>
                <w:szCs w:val="20"/>
                <w:color w:val="auto"/>
              </w:rPr>
            </w:pPr>
            <w:r>
              <w:rPr>
                <w:rFonts w:ascii="Times New Roman" w:cs="Times New Roman" w:eastAsia="Times New Roman" w:hAnsi="Times New Roman"/>
                <w:sz w:val="18"/>
                <w:szCs w:val="18"/>
                <w:color w:val="auto"/>
              </w:rPr>
              <w:t>Jeffrey R. Immelt</w:t>
            </w:r>
          </w:p>
        </w:tc>
        <w:tc>
          <w:tcPr>
            <w:tcW w:w="3020" w:type="dxa"/>
            <w:vAlign w:val="bottom"/>
            <w:gridSpan w:val="4"/>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DEVAL L. PATRICK</w:t>
            </w:r>
          </w:p>
        </w:tc>
      </w:tr>
      <w:tr>
        <w:trPr>
          <w:trHeight w:val="193"/>
        </w:trPr>
        <w:tc>
          <w:tcPr>
            <w:tcW w:w="5040" w:type="dxa"/>
            <w:vAlign w:val="bottom"/>
          </w:tcPr>
          <w:p>
            <w:pPr>
              <w:spacing w:after="0"/>
              <w:rPr>
                <w:sz w:val="16"/>
                <w:szCs w:val="16"/>
                <w:color w:val="auto"/>
              </w:rPr>
            </w:pPr>
          </w:p>
        </w:tc>
        <w:tc>
          <w:tcPr>
            <w:tcW w:w="1760" w:type="dxa"/>
            <w:vAlign w:val="bottom"/>
            <w:tcBorders>
              <w:top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rPr>
              <w:t>Deval L. Patrick</w:t>
            </w:r>
          </w:p>
        </w:tc>
        <w:tc>
          <w:tcPr>
            <w:tcW w:w="3140" w:type="dxa"/>
            <w:vAlign w:val="bottom"/>
            <w:gridSpan w:val="5"/>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ERIKA ROTTENBERG</w:t>
            </w:r>
          </w:p>
        </w:tc>
      </w:tr>
      <w:tr>
        <w:trPr>
          <w:trHeight w:val="193"/>
        </w:trPr>
        <w:tc>
          <w:tcPr>
            <w:tcW w:w="5040" w:type="dxa"/>
            <w:vAlign w:val="bottom"/>
          </w:tcPr>
          <w:p>
            <w:pPr>
              <w:spacing w:after="0"/>
              <w:rPr>
                <w:sz w:val="16"/>
                <w:szCs w:val="16"/>
                <w:color w:val="auto"/>
              </w:rPr>
            </w:pPr>
          </w:p>
        </w:tc>
        <w:tc>
          <w:tcPr>
            <w:tcW w:w="1980" w:type="dxa"/>
            <w:vAlign w:val="bottom"/>
            <w:tcBorders>
              <w:top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Erika Rottenberg</w:t>
            </w:r>
          </w:p>
        </w:tc>
        <w:tc>
          <w:tcPr>
            <w:tcW w:w="2920" w:type="dxa"/>
            <w:vAlign w:val="bottom"/>
            <w:gridSpan w:val="3"/>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ANDY STAFMAN</w:t>
            </w:r>
          </w:p>
        </w:tc>
      </w:tr>
      <w:tr>
        <w:trPr>
          <w:trHeight w:val="193"/>
        </w:trPr>
        <w:tc>
          <w:tcPr>
            <w:tcW w:w="5040" w:type="dxa"/>
            <w:vAlign w:val="bottom"/>
          </w:tcPr>
          <w:p>
            <w:pPr>
              <w:spacing w:after="0"/>
              <w:rPr>
                <w:sz w:val="16"/>
                <w:szCs w:val="16"/>
                <w:color w:val="auto"/>
              </w:rPr>
            </w:pPr>
          </w:p>
        </w:tc>
        <w:tc>
          <w:tcPr>
            <w:tcW w:w="160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Andy Stafman</w:t>
            </w:r>
          </w:p>
        </w:tc>
        <w:tc>
          <w:tcPr>
            <w:tcW w:w="3300" w:type="dxa"/>
            <w:vAlign w:val="bottom"/>
            <w:gridSpan w:val="7"/>
          </w:tcPr>
          <w:p>
            <w:pPr>
              <w:spacing w:after="0"/>
              <w:rPr>
                <w:sz w:val="16"/>
                <w:szCs w:val="16"/>
                <w:color w:val="auto"/>
              </w:rPr>
            </w:pP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/s/ MIYUKI SUZUKI</w:t>
            </w:r>
          </w:p>
        </w:tc>
        <w:tc>
          <w:tcPr>
            <w:tcW w:w="3320" w:type="dxa"/>
            <w:vAlign w:val="bottom"/>
            <w:gridSpan w:val="8"/>
          </w:tcPr>
          <w:p>
            <w:pPr>
              <w:spacing w:after="0"/>
              <w:rPr>
                <w:sz w:val="24"/>
                <w:szCs w:val="24"/>
                <w:color w:val="auto"/>
              </w:rPr>
            </w:pPr>
          </w:p>
        </w:tc>
      </w:tr>
      <w:tr>
        <w:trPr>
          <w:trHeight w:val="193"/>
        </w:trPr>
        <w:tc>
          <w:tcPr>
            <w:tcW w:w="5040" w:type="dxa"/>
            <w:vAlign w:val="bottom"/>
          </w:tcPr>
          <w:p>
            <w:pPr>
              <w:spacing w:after="0"/>
              <w:rPr>
                <w:sz w:val="16"/>
                <w:szCs w:val="16"/>
                <w:color w:val="auto"/>
              </w:rPr>
            </w:pPr>
          </w:p>
        </w:tc>
        <w:tc>
          <w:tcPr>
            <w:tcW w:w="49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Miyuki Suzuki</w:t>
            </w:r>
          </w:p>
        </w:tc>
      </w:tr>
      <w:tr>
        <w:trPr>
          <w:trHeight w:val="232"/>
        </w:trPr>
        <w:tc>
          <w:tcPr>
            <w:tcW w:w="504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862"/>
        </w:trPr>
        <w:tc>
          <w:tcPr>
            <w:tcW w:w="504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314" w:lineRule="exact"/>
        <w:rPr>
          <w:sz w:val="20"/>
          <w:szCs w:val="20"/>
          <w:color w:val="auto"/>
        </w:rPr>
      </w:pPr>
    </w:p>
    <w:p>
      <w:pPr>
        <w:ind w:left="4560" w:right="440" w:hanging="3624"/>
        <w:spacing w:after="0" w:line="281"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184" w:lineRule="exact"/>
        <w:rPr>
          <w:sz w:val="20"/>
          <w:szCs w:val="20"/>
          <w:color w:val="auto"/>
        </w:rPr>
      </w:pPr>
    </w:p>
    <w:p>
      <w:pPr>
        <w:ind w:right="20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As of December 31, 2024, Twilio Inc. (“Twilio,” the “Company,” “we,” “us,” and “our”) had one class of securities registered under Section 12 of the Securities Exchange Act of 1934, as amended (the "Exchange Act"): our Class A common stock, par value $0.001 per share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1"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The following description summarizes certain important terms of the capital stock of Twilio, as they are currently in effect. Because it is only a summary, it does not contain all the information that may be important to you. For a complete description of the matters set forth in this section titled "Description of Capital Stock," you should refer to Twilio's amended and restated certificate of incorporation and amended and restated bylaws and to the applicable provisions of Delaware law. As of December 31, 2024, Twilio's authorized capital stock consists of 1,103,170,181 shares of capital stock, $0.001 par value per share, of which:</w:t>
      </w:r>
    </w:p>
    <w:p>
      <w:pPr>
        <w:spacing w:after="0" w:line="212" w:lineRule="exact"/>
        <w:rPr>
          <w:sz w:val="20"/>
          <w:szCs w:val="20"/>
          <w:color w:val="auto"/>
        </w:rPr>
      </w:pPr>
    </w:p>
    <w:p>
      <w:pPr>
        <w:ind w:left="320" w:hanging="313"/>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as Class A common stock;</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3,170,181 shares are designated as Class B common stock; and</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preferred stock.</w:t>
      </w:r>
    </w:p>
    <w:p>
      <w:pPr>
        <w:spacing w:after="0" w:line="228"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On June 28, 2023, all of the then outstanding shares of our Class B common stock automatically converted into the same number of shares of our Class A common stock pursuant to the terms of our amended and restated certificate of incorporation, which date we refer to as the “Final Conversion Date”. Our amended and restated certificate of incorporation prohibits the reissuance of such shares of converted Class B common stock. On June 28, 2023, we filed a certificate of retirement with the Secretary of State of the State of Delaware effecting the retirement of 96,829,819 shares of our Class B common stock that had converted into shares of our Class A common stock. This certificate of retirement had the additional effect of amending our amended and restated certificate of incorporation so as to (i) reduce the total number of authorized shares of our capital stock by 96,829,819, thereby reducing the total number of authorized shares of our capital stock to 1,103,170,181, and (ii) reduce the number of authorized shares of our Class B common stock by 96,829,819, thereby reducing the number of authorized shares of our Class B common stock to 3,170,181.</w:t>
      </w:r>
    </w:p>
    <w:p>
      <w:pPr>
        <w:spacing w:after="0" w:line="216"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The Twilio board of directors (“Board”) is authorized, without stockholder approval except as required by the listing standards of the New York Stock Exchange, to issue additional shares of our Class A common stock and, subject to limitations prescribed by Delaware law, to issue shares of our preferred stock. Following the Final Conversion Date, we are prohibited by our amended and restated certificate of incorporation from issuing additional shares of our Class B common stock.</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Class A common stock is listed on the New York Stock Exchange under the symbol “TWLO.”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outstanding shares of Twilio’s common stock are fully paid and non-assessable.</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51" w:lineRule="exact"/>
        <w:rPr>
          <w:sz w:val="20"/>
          <w:szCs w:val="20"/>
          <w:color w:val="auto"/>
        </w:rPr>
      </w:pPr>
    </w:p>
    <w:p>
      <w:pPr>
        <w:ind w:right="160" w:firstLine="480"/>
        <w:spacing w:after="0" w:line="262"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Twilio Class A and Class B common stock are entitled to receive dividends equally, identically and ratably out of funds legally available if the Twilio Board, in its discretion, determines to issue dividends and then only at the times and in the amounts that the Twilio Board may determine.</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51" w:lineRule="exact"/>
        <w:rPr>
          <w:sz w:val="20"/>
          <w:szCs w:val="20"/>
          <w:color w:val="auto"/>
        </w:rPr>
      </w:pPr>
    </w:p>
    <w:p>
      <w:pPr>
        <w:ind w:right="100" w:firstLine="480"/>
        <w:spacing w:after="0" w:line="262" w:lineRule="auto"/>
        <w:rPr>
          <w:sz w:val="20"/>
          <w:szCs w:val="20"/>
          <w:color w:val="auto"/>
        </w:rPr>
      </w:pPr>
      <w:r>
        <w:rPr>
          <w:rFonts w:ascii="Times New Roman" w:cs="Times New Roman" w:eastAsia="Times New Roman" w:hAnsi="Times New Roman"/>
          <w:sz w:val="18"/>
          <w:szCs w:val="18"/>
          <w:color w:val="auto"/>
        </w:rPr>
        <w:t>Holders of Twilio Class A common stock are entitled to one vote for each share of Twilio Class A common stock held on all matters submitted to a vote of stockholders and holders of Twilio Class B common stock are entitled to 10 votes for each share of Twilio Class B common stock held on all matters submitted to a vote of</w:t>
      </w:r>
    </w:p>
    <w:p>
      <w:pPr>
        <w:sectPr>
          <w:pgSz w:w="11900" w:h="16838" w:orient="portrait"/>
          <w:cols w:equalWidth="0" w:num="1">
            <w:col w:w="11240"/>
          </w:cols>
          <w:pgMar w:left="320" w:top="117" w:right="339" w:bottom="1440" w:gutter="0" w:footer="0" w:header="0"/>
        </w:sectPr>
      </w:pPr>
    </w:p>
    <w:bookmarkStart w:id="117" w:name="page118"/>
    <w:bookmarkEnd w:id="117"/>
    <w:p>
      <w:pPr>
        <w:ind w:right="40"/>
        <w:spacing w:after="0" w:line="257" w:lineRule="auto"/>
        <w:rPr>
          <w:sz w:val="20"/>
          <w:szCs w:val="20"/>
          <w:color w:val="auto"/>
        </w:rPr>
      </w:pPr>
      <w:r>
        <w:rPr>
          <w:rFonts w:ascii="Times New Roman" w:cs="Times New Roman" w:eastAsia="Times New Roman" w:hAnsi="Times New Roman"/>
          <w:sz w:val="18"/>
          <w:szCs w:val="18"/>
          <w:color w:val="auto"/>
        </w:rPr>
        <w:t>stockholders. Holders of shares of Twilio Class A common stock and Twilio Class B common stock vote together as a single class on all matters (including the election of directors) submitted to a vote of stockholders, unless otherwise required by law. Twilio has not provided for cumulative voting for the election of directors in its amended and restated certificate of incorporation. Twilio’s amended and restated certificate of incorporation provides for a classified board of directors consisting of three classes as nearly equal in size as is practicable, each serving staggered three-year terms.</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51" w:lineRule="exact"/>
        <w:rPr>
          <w:sz w:val="20"/>
          <w:szCs w:val="20"/>
          <w:color w:val="auto"/>
        </w:rPr>
      </w:pPr>
    </w:p>
    <w:p>
      <w:pPr>
        <w:ind w:right="660" w:firstLine="480"/>
        <w:spacing w:after="0" w:line="277" w:lineRule="auto"/>
        <w:rPr>
          <w:sz w:val="20"/>
          <w:szCs w:val="20"/>
          <w:color w:val="auto"/>
        </w:rPr>
      </w:pPr>
      <w:r>
        <w:rPr>
          <w:rFonts w:ascii="Times New Roman" w:cs="Times New Roman" w:eastAsia="Times New Roman" w:hAnsi="Times New Roman"/>
          <w:sz w:val="18"/>
          <w:szCs w:val="18"/>
          <w:color w:val="auto"/>
        </w:rPr>
        <w:t>Twilio Class A and Class B common stock are not entitled to preemptive rights, and are not subject to conversion, redemption or sinking fund provisions, except for the conversion provisions with respect to the Class B common stock described below.</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51" w:lineRule="exact"/>
        <w:rPr>
          <w:sz w:val="20"/>
          <w:szCs w:val="20"/>
          <w:color w:val="auto"/>
        </w:rPr>
      </w:pPr>
    </w:p>
    <w:p>
      <w:pPr>
        <w:ind w:right="440" w:firstLine="480"/>
        <w:spacing w:after="0" w:line="257" w:lineRule="auto"/>
        <w:rPr>
          <w:sz w:val="20"/>
          <w:szCs w:val="20"/>
          <w:color w:val="auto"/>
        </w:rPr>
      </w:pPr>
      <w:r>
        <w:rPr>
          <w:rFonts w:ascii="Times New Roman" w:cs="Times New Roman" w:eastAsia="Times New Roman" w:hAnsi="Times New Roman"/>
          <w:sz w:val="18"/>
          <w:szCs w:val="18"/>
          <w:color w:val="auto"/>
        </w:rPr>
        <w:t>If Twilio becomes subject to a liquidation, dissolution or winding-up, the assets legally available for distribution to Twilio stockholders would be distributable equally, identically and ratably among the holders of Twilio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51"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Each outstanding share of Twilio Class B common stock is convertible at any time at the option of the holder into one share of Twilio Class A common stock. In addition, each share of Twilio Class B common stock will convert automatically into one share of Twilio Class A common stock upon any transfer, whether or not for value, except for certain permitted transfers described in Twilio's amended and restated certificate of incorporation, including transfers to family members, certain trusts solely for the benefit of the stockholder or other persons, and partnerships, corporations, and other entities exclusively controlled by the stockholder or their family members. Once converted or transferred and converted into Twilio Class A common stock, the Twilio Class B common stock will not be reissued.</w:t>
      </w:r>
    </w:p>
    <w:p>
      <w:pPr>
        <w:spacing w:after="0" w:line="212" w:lineRule="exact"/>
        <w:rPr>
          <w:sz w:val="20"/>
          <w:szCs w:val="20"/>
          <w:color w:val="auto"/>
        </w:rPr>
      </w:pPr>
    </w:p>
    <w:p>
      <w:pPr>
        <w:ind w:right="200" w:firstLine="480"/>
        <w:spacing w:after="0" w:line="257" w:lineRule="auto"/>
        <w:rPr>
          <w:sz w:val="20"/>
          <w:szCs w:val="20"/>
          <w:color w:val="auto"/>
        </w:rPr>
      </w:pPr>
      <w:r>
        <w:rPr>
          <w:rFonts w:ascii="Times New Roman" w:cs="Times New Roman" w:eastAsia="Times New Roman" w:hAnsi="Times New Roman"/>
          <w:sz w:val="18"/>
          <w:szCs w:val="18"/>
          <w:color w:val="auto"/>
        </w:rPr>
        <w:t>On June 28, 2023, the Final Conversion Date, all of the then outstanding shares of our Class B common stock automatically converted into the same number of shares of our Class A common stock pursuant to the terms of our amended and restated certificate of incorporation. Our amended and restated certificate of incorporation prohibits the reissuance of such shares of converted Class B common stock. Following the Final Conversion Date, we are prohibited by our amended and restated certificate of incorporation from issuing additional shares of our Class B common stock.</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 Limitations on Rights of Holders of Common Stock</w:t>
      </w:r>
    </w:p>
    <w:p>
      <w:pPr>
        <w:spacing w:after="0" w:line="251"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Twilio Board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Twilio stockholders. The Twilio Board can also increase or decrease the number of shares of any such series of preferred stock, but not below the number of shares of that series then outstanding, without any further vote or action by Twilio stockholders. The Twilio Board may authorize the issuance of preferred stock with voting or conversion rights that could adversely affect the voting power or other rights of the holders of Twilio Class A or Class B common stock.</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Listing Agent</w:t>
      </w: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transfer agent and registrar for Twilio Class A common stock is Computershare Trust Company, N.A.</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51"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The provisions of Delaware law, Twilio's amended and restated certificate of incorporation and Twilio's amended and restated bylaws, which are summarized below, may have the effect of delaying, deferring or discouraging another person from acquiring control of the company. They are also designed, in part, to encourage</w:t>
      </w:r>
    </w:p>
    <w:p>
      <w:pPr>
        <w:sectPr>
          <w:pgSz w:w="11900" w:h="16838" w:orient="portrait"/>
          <w:cols w:equalWidth="0" w:num="1">
            <w:col w:w="11240"/>
          </w:cols>
          <w:pgMar w:left="320" w:top="842" w:right="339" w:bottom="1440" w:gutter="0" w:footer="0" w:header="0"/>
        </w:sectPr>
      </w:pPr>
    </w:p>
    <w:bookmarkStart w:id="118" w:name="page119"/>
    <w:bookmarkEnd w:id="118"/>
    <w:p>
      <w:pPr>
        <w:ind w:right="160"/>
        <w:spacing w:after="0" w:line="262" w:lineRule="auto"/>
        <w:rPr>
          <w:sz w:val="20"/>
          <w:szCs w:val="20"/>
          <w:color w:val="auto"/>
        </w:rPr>
      </w:pPr>
      <w:r>
        <w:rPr>
          <w:rFonts w:ascii="Times New Roman" w:cs="Times New Roman" w:eastAsia="Times New Roman" w:hAnsi="Times New Roman"/>
          <w:sz w:val="18"/>
          <w:szCs w:val="18"/>
          <w:color w:val="auto"/>
        </w:rPr>
        <w:t>persons seeking to acquire control of Twilio to negotiate first with the Twilio Board. Twilio believes that the benefits of increased protection of its potential ability to negotiate with an unfriendly or unsolicited acquiror outweigh the disadvantages of discouraging a proposal to acquire it because negotiation of these proposals could result in an improvement of their terms.</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51" w:lineRule="exact"/>
        <w:rPr>
          <w:sz w:val="20"/>
          <w:szCs w:val="20"/>
          <w:color w:val="auto"/>
        </w:rPr>
      </w:pPr>
    </w:p>
    <w:p>
      <w:pPr>
        <w:ind w:right="140" w:firstLine="480"/>
        <w:spacing w:after="0" w:line="262" w:lineRule="auto"/>
        <w:rPr>
          <w:sz w:val="20"/>
          <w:szCs w:val="20"/>
          <w:color w:val="auto"/>
        </w:rPr>
      </w:pPr>
      <w:r>
        <w:rPr>
          <w:rFonts w:ascii="Times New Roman" w:cs="Times New Roman" w:eastAsia="Times New Roman" w:hAnsi="Times New Roman"/>
          <w:sz w:val="18"/>
          <w:szCs w:val="18"/>
          <w:color w:val="auto"/>
        </w:rPr>
        <w:t>Twilio is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203" w:lineRule="exact"/>
        <w:rPr>
          <w:sz w:val="20"/>
          <w:szCs w:val="20"/>
          <w:color w:val="auto"/>
        </w:rPr>
      </w:pPr>
    </w:p>
    <w:p>
      <w:pPr>
        <w:ind w:left="320" w:right="60" w:hanging="313"/>
        <w:spacing w:after="0" w:line="258" w:lineRule="auto"/>
        <w:tabs>
          <w:tab w:leader="none" w:pos="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ind w:left="320" w:hanging="313"/>
        <w:spacing w:after="0" w:line="247" w:lineRule="auto"/>
        <w:tabs>
          <w:tab w:leader="none" w:pos="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of the corporation outstanding (but not the outstanding voting stock owned by the interested stockholder)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2" w:lineRule="exact"/>
        <w:rPr>
          <w:rFonts w:ascii="Times New Roman" w:cs="Times New Roman" w:eastAsia="Times New Roman" w:hAnsi="Times New Roman"/>
          <w:sz w:val="18"/>
          <w:szCs w:val="18"/>
          <w:color w:val="auto"/>
        </w:rPr>
      </w:pPr>
    </w:p>
    <w:p>
      <w:pPr>
        <w:ind w:left="320" w:right="400" w:hanging="313"/>
        <w:spacing w:after="0" w:line="251" w:lineRule="auto"/>
        <w:tabs>
          <w:tab w:leader="none" w:pos="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212"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Twilio.</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 Provisions</w:t>
      </w:r>
    </w:p>
    <w:p>
      <w:pPr>
        <w:spacing w:after="0" w:line="251" w:lineRule="exact"/>
        <w:rPr>
          <w:sz w:val="20"/>
          <w:szCs w:val="20"/>
          <w:color w:val="auto"/>
        </w:rPr>
      </w:pPr>
    </w:p>
    <w:p>
      <w:pPr>
        <w:ind w:right="280" w:firstLine="480"/>
        <w:spacing w:after="0" w:line="307" w:lineRule="auto"/>
        <w:rPr>
          <w:sz w:val="20"/>
          <w:szCs w:val="20"/>
          <w:color w:val="auto"/>
        </w:rPr>
      </w:pPr>
      <w:r>
        <w:rPr>
          <w:rFonts w:ascii="Times New Roman" w:cs="Times New Roman" w:eastAsia="Times New Roman" w:hAnsi="Times New Roman"/>
          <w:sz w:val="17"/>
          <w:szCs w:val="17"/>
          <w:color w:val="auto"/>
        </w:rPr>
        <w:t>Twilio's amended and restated certificate of incorporation and amended and restated bylaws include a number of provisions that could deter hostile takeovers or delay or prevent changes in control of the company, as well as changes in the Twilio Board or management team, including the following:</w:t>
      </w:r>
    </w:p>
    <w:p>
      <w:pPr>
        <w:spacing w:after="0" w:line="165"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Twilio's amended and restated certificate of incorporation and amended and restated bylaws authorize only the Twilio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to fill vacant directorships, including newly created seats resulting from an increase in the authorized number of directors. In addition, subject to the rights of holders of any series of our preferred stock with respect to the election of directors, the number of directors constituting the Twilio Board is permitted to be set only by a resolution adopted by the Twilio Board. These provisions prevent a stockholder from increasing the size of the Twilio Board and then gaining control of the Twilio Board by filling the resulting vacancies with its own nominees. This makes it more difficult to change the composition of the Twilio Board and will promote continuity of management.</w:t>
      </w:r>
    </w:p>
    <w:p>
      <w:pPr>
        <w:spacing w:after="0" w:line="212"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Dual Class Common Stock. </w:t>
      </w:r>
      <w:r>
        <w:rPr>
          <w:rFonts w:ascii="Times New Roman" w:cs="Times New Roman" w:eastAsia="Times New Roman" w:hAnsi="Times New Roman"/>
          <w:sz w:val="18"/>
          <w:szCs w:val="18"/>
          <w:color w:val="auto"/>
        </w:rPr>
        <w:t>As described above in the section titled "-Common Stock-Voting Rights," Twilio's amended and restated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provides for a dual class common stock structure. On June 28, 2023, the Final Conversion Date, all of the then outstanding shares of our Class B common stock automatically converted into the same number of shares of our Class A common stock pursuant to the terms of our amended and restated certificate of incorporation. Our amended and restated certificate of incorporation prohibits the reissuance of such shares of converted Class B common stock. On June 28, 2023, we filed a certificate of retirement with the Secretary of State of the State of Delaware effecting the retirement of 96,829,819 shares of our Class B common stock that had converted into shares of our Class A common stock. Following such conversion and as a result of such retirement, 3,170,181 shares of our Class B common stock remain authorized but unissued. However, following the Final Conversion Date, we are prohibited by our amended and restated certificate of incorporation from issuing additional shares of our Class B common stock.</w:t>
      </w:r>
    </w:p>
    <w:p>
      <w:pPr>
        <w:sectPr>
          <w:pgSz w:w="11900" w:h="16838" w:orient="portrait"/>
          <w:cols w:equalWidth="0" w:num="1">
            <w:col w:w="11220"/>
          </w:cols>
          <w:pgMar w:left="320" w:top="842" w:right="359" w:bottom="1440" w:gutter="0" w:footer="0" w:header="0"/>
        </w:sectPr>
      </w:pPr>
    </w:p>
    <w:bookmarkStart w:id="119" w:name="page120"/>
    <w:bookmarkEnd w:id="119"/>
    <w:p>
      <w:pPr>
        <w:ind w:right="60" w:firstLine="4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Twilio's amended and restated certificate of incorporation provides that the Twilio Board be classified into three classes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which hold office for a three-year term. In addition, subject to the rights of the holders of any series of our preferred stock, directors may only be removed from the Twilio Board for cause. The existence of a classified board could delay a potential acquiror from obtaining majority control of the Twilio Board, and the prospect of that delay might deter a potential acquiror.</w:t>
      </w:r>
    </w:p>
    <w:p>
      <w:pPr>
        <w:spacing w:after="0" w:line="204" w:lineRule="exact"/>
        <w:rPr>
          <w:sz w:val="20"/>
          <w:szCs w:val="20"/>
          <w:color w:val="auto"/>
        </w:rPr>
      </w:pPr>
    </w:p>
    <w:p>
      <w:pPr>
        <w:ind w:firstLine="48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Stockholder Action; Special Meeting of Stockholders. </w:t>
      </w:r>
      <w:r>
        <w:rPr>
          <w:rFonts w:ascii="Times New Roman" w:cs="Times New Roman" w:eastAsia="Times New Roman" w:hAnsi="Times New Roman"/>
          <w:sz w:val="17"/>
          <w:szCs w:val="17"/>
          <w:color w:val="auto"/>
        </w:rPr>
        <w:t>Twilio's amended and restated certificate of incorporation and amended and restated bylaws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 that, subject to the rights of the holders of any series of our preferred stock, our stockholders may not take action by written consent, but may only take action at annual or special meetings of stockholders. As a result, a holder controlling a majority of Twilio's capital stock would not be able to amend Twilio's amended and restated bylaws or remove directors without holding a meeting of stockholders called in accordance with Twilio's amended and restated bylaws. Twilio's amended and restated certificate of incorporation and amended and restated bylaws further provide that special meetings of stockholders may be called only by a majority of the Twilio Board, the chairman of the Twilio Board, Twilio's Chief Executive Officer or its President (in the absence of a Chief Executive Officer), thus prohibiting a stockholder from calling a special meeting. These provisions might delay the ability of Twilio stockholders to force consideration of a proposal or for stockholders controlling a majority of Twilio's capital stock to take any action, including the removal of directors.</w:t>
      </w:r>
    </w:p>
    <w:p>
      <w:pPr>
        <w:spacing w:after="0" w:line="202"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Twilio's amended and restated bylaws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its annual meeting of stockholders or to nominate candidates for election as directors at its annual meeting of stockholders or any special meeting of stockholders at which directors are to be elected. Twilio's amended and restated bylaws also specify certain requirements regarding the form and content of a stockholder's notice. These provisions might preclude Twilio stockholders from bringing matters before its annual meeting of stockholders or from making nominations for directors at a meeting of stockholders if the proper procedures are not followed. These provisions may also discourage or deter a potential acquiror from conducting a solicitation of proxies to elect the acquiror's own slate of directors or otherwise attempting to obtain control of Twilio.</w:t>
      </w:r>
    </w:p>
    <w:p>
      <w:pPr>
        <w:spacing w:after="0" w:line="213" w:lineRule="exact"/>
        <w:rPr>
          <w:sz w:val="20"/>
          <w:szCs w:val="20"/>
          <w:color w:val="auto"/>
        </w:rPr>
      </w:pPr>
    </w:p>
    <w:p>
      <w:pPr>
        <w:ind w:right="2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Delaware General Corporation Law provides that stockholders are not entitled to cumulate votes in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unless a corporation's certificate of incorporation provides otherwise. Twilio's amended and restated certificate of incorporation does not provide for cumulative voting.</w:t>
      </w:r>
    </w:p>
    <w:p>
      <w:pPr>
        <w:spacing w:after="0" w:line="200" w:lineRule="exact"/>
        <w:rPr>
          <w:sz w:val="20"/>
          <w:szCs w:val="20"/>
          <w:color w:val="auto"/>
        </w:rPr>
      </w:pPr>
    </w:p>
    <w:p>
      <w:pPr>
        <w:ind w:right="10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Twilio's amended and restated certificate of incorporation provides that, subject to the rights of the holders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our preferred stock, stockholders may remove directors only for cause.</w:t>
      </w:r>
    </w:p>
    <w:p>
      <w:pPr>
        <w:spacing w:after="0" w:line="186" w:lineRule="exact"/>
        <w:rPr>
          <w:sz w:val="20"/>
          <w:szCs w:val="20"/>
          <w:color w:val="auto"/>
        </w:rPr>
      </w:pPr>
    </w:p>
    <w:p>
      <w:pPr>
        <w:ind w:right="60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Any amendment of certain provisions in Twilio's amended and restated certificate of incorporation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by holders of at least two-thirds of the voting power of the then-outstanding capital stock.</w:t>
      </w:r>
    </w:p>
    <w:p>
      <w:pPr>
        <w:spacing w:after="0" w:line="186" w:lineRule="exact"/>
        <w:rPr>
          <w:sz w:val="20"/>
          <w:szCs w:val="20"/>
          <w:color w:val="auto"/>
        </w:rPr>
      </w:pPr>
    </w:p>
    <w:p>
      <w:pPr>
        <w:jc w:val="both"/>
        <w:ind w:right="8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Amendment of Bylaws. </w:t>
      </w:r>
      <w:r>
        <w:rPr>
          <w:rFonts w:ascii="Times New Roman" w:cs="Times New Roman" w:eastAsia="Times New Roman" w:hAnsi="Times New Roman"/>
          <w:sz w:val="18"/>
          <w:szCs w:val="18"/>
          <w:color w:val="auto"/>
        </w:rPr>
        <w:t>Our amended and restated bylaws may be adopted, amended or repealed by a majority of the total voting power of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securities of the corporation entitled to vote thereon, voting together as a single class. The Twilio Board also has the power to adopt, amend or repeal the amended and restated bylaws.</w:t>
      </w:r>
    </w:p>
    <w:p>
      <w:pPr>
        <w:spacing w:after="0" w:line="200" w:lineRule="exact"/>
        <w:rPr>
          <w:sz w:val="20"/>
          <w:szCs w:val="20"/>
          <w:color w:val="auto"/>
        </w:rPr>
      </w:pPr>
    </w:p>
    <w:p>
      <w:pPr>
        <w:ind w:right="80" w:firstLine="4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The Twilio Board has the authority, without further action by the Twilio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100,000,000 shares of undesignated preferred stock with rights, powers and preferences, including voting rights, designated from time to time by the Twilio Board. The existence of authorized but unissued shares of preferred stock would enable the Twilio Board to render more difficult or to discourage an attempt to obtain control of Twilio by means of a merger, tender offer, proxy contest or other means.</w:t>
      </w:r>
    </w:p>
    <w:p>
      <w:pPr>
        <w:spacing w:after="0" w:line="204"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Our amended and restated bylaws provide that the Court of Chancery of the State of Delaware is the sole and exclusive forum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bring any state law claims for: (i) any derivative action or proceeding brought on our behalf; (ii) any action asserting a breach of fiduciary duty owed by our directors, officers, employees or stockholders; (iii) any action asserting a claim against us, or our directors, officers, employees or stockholders, arising under the DGCL, our amended and restated certificate of incorporation or our amended and restated bylaws; or (iv) any action asserting a claim against us, or our directors, officers, employees or stockholders, that is governed by the internal affairs doctrine. This provision would not apply to suits brought to enforce a duty or liability created by the Exchange Act or any other claim for which the U.S. federal courts have exclusive jurisdiction.</w:t>
      </w:r>
    </w:p>
    <w:p>
      <w:pPr>
        <w:sectPr>
          <w:pgSz w:w="11900" w:h="16838" w:orient="portrait"/>
          <w:cols w:equalWidth="0" w:num="1">
            <w:col w:w="11240"/>
          </w:cols>
          <w:pgMar w:left="320" w:top="839" w:right="339" w:bottom="1440" w:gutter="0" w:footer="0" w:header="0"/>
        </w:sectPr>
      </w:pPr>
    </w:p>
    <w:bookmarkStart w:id="120" w:name="page121"/>
    <w:bookmarkEnd w:id="120"/>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Our amended and restated bylaws further provide that the United States District Court for the Northern District of California is the sole and exclusive forum for resolving any complaint asserting a cause of action arising under the Securities Act of 1933, as amended.</w:t>
      </w:r>
    </w:p>
    <w:p>
      <w:pPr>
        <w:spacing w:after="0" w:line="189"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8"/>
          <w:szCs w:val="18"/>
          <w:color w:val="auto"/>
        </w:rPr>
        <w:t>Our amended and restated bylaws provide that any person or entity purchasing or otherwise acquiring any interest in shares of our capital stock will be deemed to have notice of and consented to the foregoing choice of forum provisions of our bylaws.</w:t>
      </w:r>
    </w:p>
    <w:p>
      <w:pPr>
        <w:sectPr>
          <w:pgSz w:w="11900" w:h="16838" w:orient="portrait"/>
          <w:cols w:equalWidth="0" w:num="1">
            <w:col w:w="11220"/>
          </w:cols>
          <w:pgMar w:left="320" w:top="842" w:right="35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3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TWILIO INC.</w:t>
      </w:r>
    </w:p>
    <w:p>
      <w:pPr>
        <w:spacing w:after="0" w:line="26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AMENDED AND RESTATED POLICY ON INSIDER TRADING AND DISCLOSURE</w:t>
      </w:r>
    </w:p>
    <w:p>
      <w:pPr>
        <w:spacing w:after="0" w:line="270" w:lineRule="exact"/>
        <w:rPr>
          <w:sz w:val="20"/>
          <w:szCs w:val="20"/>
          <w:color w:val="auto"/>
        </w:rPr>
      </w:pPr>
    </w:p>
    <w:p>
      <w:pPr>
        <w:jc w:val="both"/>
        <w:ind w:right="200" w:firstLine="640"/>
        <w:spacing w:after="0" w:line="264" w:lineRule="auto"/>
        <w:rPr>
          <w:sz w:val="20"/>
          <w:szCs w:val="20"/>
          <w:color w:val="auto"/>
        </w:rPr>
      </w:pPr>
      <w:r>
        <w:rPr>
          <w:rFonts w:ascii="Times New Roman" w:cs="Times New Roman" w:eastAsia="Times New Roman" w:hAnsi="Times New Roman"/>
          <w:sz w:val="21"/>
          <w:szCs w:val="21"/>
          <w:color w:val="auto"/>
        </w:rPr>
        <w:t>As a public company, the Common Stock (and potentially other securities) issued by or relating to Twilio Inc. (together with its subsidiaries,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can be purchased or sold on a national exchange. With that opportunity comes the responsibility to comply with federal and state securities laws that prohibit insider trading. Violation of these laws carries severe consequences. The Company also has the responsibility to take reasonable steps to prevent insider trading by its employees and others that may have access to material nonpublic information.</w:t>
      </w:r>
    </w:p>
    <w:p>
      <w:pPr>
        <w:spacing w:after="0" w:line="189" w:lineRule="exact"/>
        <w:rPr>
          <w:sz w:val="20"/>
          <w:szCs w:val="20"/>
          <w:color w:val="auto"/>
        </w:rPr>
      </w:pPr>
    </w:p>
    <w:p>
      <w:pPr>
        <w:jc w:val="both"/>
        <w:ind w:right="200" w:firstLine="640"/>
        <w:spacing w:after="0" w:line="265" w:lineRule="auto"/>
        <w:rPr>
          <w:sz w:val="20"/>
          <w:szCs w:val="20"/>
          <w:color w:val="auto"/>
        </w:rPr>
      </w:pPr>
      <w:r>
        <w:rPr>
          <w:rFonts w:ascii="Times New Roman" w:cs="Times New Roman" w:eastAsia="Times New Roman" w:hAnsi="Times New Roman"/>
          <w:sz w:val="21"/>
          <w:szCs w:val="21"/>
          <w:color w:val="auto"/>
        </w:rPr>
        <w:t>This amended and restated policy (the “</w:t>
      </w:r>
      <w:r>
        <w:rPr>
          <w:rFonts w:ascii="Times New Roman" w:cs="Times New Roman" w:eastAsia="Times New Roman" w:hAnsi="Times New Roman"/>
          <w:sz w:val="21"/>
          <w:szCs w:val="21"/>
          <w:b w:val="1"/>
          <w:bCs w:val="1"/>
          <w:color w:val="auto"/>
        </w:rPr>
        <w:t>Insider Trading Policy</w:t>
      </w:r>
      <w:r>
        <w:rPr>
          <w:rFonts w:ascii="Times New Roman" w:cs="Times New Roman" w:eastAsia="Times New Roman" w:hAnsi="Times New Roman"/>
          <w:sz w:val="21"/>
          <w:szCs w:val="21"/>
          <w:color w:val="auto"/>
        </w:rPr>
        <w:t>”) is intended to provide a set of guidelines and rules for all of us to comply with insider trading laws and avoid the appearance of impropriety in connection with trading in the Company’s securities or disclosure of information concerning the Company. It is your obligation to understand and comply with this Insider Trading Policy.</w:t>
      </w:r>
    </w:p>
    <w:p>
      <w:pPr>
        <w:spacing w:after="0" w:line="205" w:lineRule="exact"/>
        <w:rPr>
          <w:sz w:val="20"/>
          <w:szCs w:val="20"/>
          <w:color w:val="auto"/>
        </w:rPr>
      </w:pPr>
    </w:p>
    <w:p>
      <w:pPr>
        <w:jc w:val="both"/>
        <w:ind w:right="200" w:firstLine="640"/>
        <w:spacing w:after="0" w:line="264" w:lineRule="auto"/>
        <w:rPr>
          <w:sz w:val="20"/>
          <w:szCs w:val="20"/>
          <w:color w:val="auto"/>
        </w:rPr>
      </w:pPr>
      <w:r>
        <w:rPr>
          <w:rFonts w:ascii="Times New Roman" w:cs="Times New Roman" w:eastAsia="Times New Roman" w:hAnsi="Times New Roman"/>
          <w:sz w:val="21"/>
          <w:szCs w:val="21"/>
          <w:color w:val="auto"/>
        </w:rPr>
        <w:t>The Company has designated its Chief Legal Officer, its VP of Ethics, Corporate Compliance and Risk Management, and its VP of Legal, Corporate, as its insider trading compliance officers (the “</w:t>
      </w:r>
      <w:r>
        <w:rPr>
          <w:rFonts w:ascii="Times New Roman" w:cs="Times New Roman" w:eastAsia="Times New Roman" w:hAnsi="Times New Roman"/>
          <w:sz w:val="21"/>
          <w:szCs w:val="21"/>
          <w:b w:val="1"/>
          <w:bCs w:val="1"/>
          <w:color w:val="auto"/>
        </w:rPr>
        <w:t>Compliance Officers</w:t>
      </w:r>
      <w:r>
        <w:rPr>
          <w:rFonts w:ascii="Times New Roman" w:cs="Times New Roman" w:eastAsia="Times New Roman" w:hAnsi="Times New Roman"/>
          <w:sz w:val="21"/>
          <w:szCs w:val="21"/>
          <w:color w:val="auto"/>
        </w:rPr>
        <w:t>”). Please contact any of these individuals, c/o Twilio Inc., 101 Spear Street, Fifth Floor, San Francisco, CA 94105 or at insidertrading@twilio.com if you have any questions regarding this Insider Trading Policy.</w:t>
      </w:r>
    </w:p>
    <w:p>
      <w:pPr>
        <w:spacing w:after="0" w:line="199" w:lineRule="exact"/>
        <w:rPr>
          <w:sz w:val="20"/>
          <w:szCs w:val="20"/>
          <w:color w:val="auto"/>
        </w:rPr>
      </w:pPr>
    </w:p>
    <w:p>
      <w:pPr>
        <w:ind w:left="640" w:hanging="639"/>
        <w:spacing w:after="0"/>
        <w:tabs>
          <w:tab w:leader="none" w:pos="640"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Who is Covered by this Insider Trading Policy</w:t>
      </w:r>
      <w:r>
        <w:rPr>
          <w:rFonts w:ascii="Times New Roman" w:cs="Times New Roman" w:eastAsia="Times New Roman" w:hAnsi="Times New Roman"/>
          <w:sz w:val="21"/>
          <w:szCs w:val="21"/>
          <w:b w:val="1"/>
          <w:bCs w:val="1"/>
          <w:i w:val="1"/>
          <w:iCs w:val="1"/>
          <w:color w:val="auto"/>
        </w:rPr>
        <w:t>?</w:t>
      </w:r>
    </w:p>
    <w:p>
      <w:pPr>
        <w:spacing w:after="0" w:line="258" w:lineRule="exact"/>
        <w:rPr>
          <w:sz w:val="20"/>
          <w:szCs w:val="20"/>
          <w:color w:val="auto"/>
        </w:rPr>
      </w:pPr>
    </w:p>
    <w:p>
      <w:pPr>
        <w:jc w:val="both"/>
        <w:ind w:right="200" w:firstLine="640"/>
        <w:spacing w:after="0" w:line="257" w:lineRule="auto"/>
        <w:rPr>
          <w:sz w:val="20"/>
          <w:szCs w:val="20"/>
          <w:color w:val="auto"/>
        </w:rPr>
      </w:pPr>
      <w:r>
        <w:rPr>
          <w:rFonts w:ascii="Times New Roman" w:cs="Times New Roman" w:eastAsia="Times New Roman" w:hAnsi="Times New Roman"/>
          <w:sz w:val="21"/>
          <w:szCs w:val="21"/>
          <w:color w:val="auto"/>
        </w:rPr>
        <w:t>This Insider Trading Policy applies to all of the Company’s directors, officers, employees, and certain designated consultants and contractors who potentially have access to material nonpublic (“material” and “nonpublic” are each defined below) information in the course of their service to the Company (each such director, officer, employee, or designated consultant or contractor, a “</w:t>
      </w:r>
      <w:r>
        <w:rPr>
          <w:rFonts w:ascii="Times New Roman" w:cs="Times New Roman" w:eastAsia="Times New Roman" w:hAnsi="Times New Roman"/>
          <w:sz w:val="21"/>
          <w:szCs w:val="21"/>
          <w:b w:val="1"/>
          <w:bCs w:val="1"/>
          <w:color w:val="auto"/>
        </w:rPr>
        <w:t>Twilio Covered Person</w:t>
      </w:r>
      <w:r>
        <w:rPr>
          <w:rFonts w:ascii="Times New Roman" w:cs="Times New Roman" w:eastAsia="Times New Roman" w:hAnsi="Times New Roman"/>
          <w:sz w:val="21"/>
          <w:szCs w:val="21"/>
          <w:color w:val="auto"/>
        </w:rPr>
        <w:t>”). The same restrictions that apply to a Twilio Covered Person also apply to (1) their spouse, significant other, children, parents or other family members, in each case, living in the same household, (2) all trusts, family partnerships and other types of entities formed for the benefit of the Twilio Covered Person or the Twilio Covered Person’s family members over which the Twilio Covered Person has the ability to influence or direct investment decisions concerning securities, (3) all persons who execute trades on behalf of the Twilio Covered Person, and (4) any investment funds, trusts, retirement plans, partnerships, corporations or other entities over which the Twilio Covered Person has the ability to direct investment decisions concerning securities (each a “</w:t>
      </w:r>
      <w:r>
        <w:rPr>
          <w:rFonts w:ascii="Times New Roman" w:cs="Times New Roman" w:eastAsia="Times New Roman" w:hAnsi="Times New Roman"/>
          <w:sz w:val="21"/>
          <w:szCs w:val="21"/>
          <w:b w:val="1"/>
          <w:bCs w:val="1"/>
          <w:color w:val="auto"/>
        </w:rPr>
        <w:t>Covered Affiliate</w:t>
      </w:r>
      <w:r>
        <w:rPr>
          <w:rFonts w:ascii="Times New Roman" w:cs="Times New Roman" w:eastAsia="Times New Roman" w:hAnsi="Times New Roman"/>
          <w:sz w:val="21"/>
          <w:szCs w:val="21"/>
          <w:color w:val="auto"/>
        </w:rPr>
        <w:t>”). Twilio Covered Persons are responsible for ensuring compliance with this Insider Trading Policy by all of their Covered Affiliates. Unless the context otherwise requires, references to “Twilio Covered Person” in this Insider Trading Policy refer collectively to a Twilio Covered Person and the Covered Affiliates of such Twilio Covered Person.</w:t>
      </w:r>
    </w:p>
    <w:p>
      <w:pPr>
        <w:spacing w:after="0" w:line="214" w:lineRule="exact"/>
        <w:rPr>
          <w:sz w:val="20"/>
          <w:szCs w:val="20"/>
          <w:color w:val="auto"/>
        </w:rPr>
      </w:pPr>
    </w:p>
    <w:p>
      <w:pPr>
        <w:jc w:val="both"/>
        <w:ind w:left="40" w:right="200" w:firstLine="641"/>
        <w:spacing w:after="0" w:line="259" w:lineRule="auto"/>
        <w:rPr>
          <w:sz w:val="20"/>
          <w:szCs w:val="20"/>
          <w:color w:val="auto"/>
        </w:rPr>
      </w:pPr>
      <w:r>
        <w:rPr>
          <w:rFonts w:ascii="Times New Roman" w:cs="Times New Roman" w:eastAsia="Times New Roman" w:hAnsi="Times New Roman"/>
          <w:sz w:val="21"/>
          <w:szCs w:val="21"/>
          <w:color w:val="auto"/>
        </w:rPr>
        <w:t>This Insider Trading Policy continues to apply following the termination of a Twilio Covered Person’s service to or employment with the Company until the later of (1) any material nonpublic information possessed by such individual becoming public or no longer material, and</w:t>
      </w:r>
    </w:p>
    <w:p>
      <w:pPr>
        <w:spacing w:after="0" w:line="3" w:lineRule="exact"/>
        <w:rPr>
          <w:sz w:val="20"/>
          <w:szCs w:val="20"/>
          <w:color w:val="auto"/>
        </w:rPr>
      </w:pPr>
    </w:p>
    <w:p>
      <w:pPr>
        <w:ind w:right="200" w:firstLine="1"/>
        <w:spacing w:after="0" w:line="264" w:lineRule="auto"/>
        <w:tabs>
          <w:tab w:leader="none" w:pos="33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next open trading window (if the Company is not in an open trading window at the time that a Twilio Covered Person ceases to be a service provider or employee of the Company).</w:t>
      </w:r>
    </w:p>
    <w:p>
      <w:pPr>
        <w:sectPr>
          <w:pgSz w:w="11900" w:h="16838" w:orient="portrait"/>
          <w:cols w:equalWidth="0" w:num="1">
            <w:col w:w="11120"/>
          </w:cols>
          <w:pgMar w:left="440" w:top="114" w:right="339" w:bottom="1440" w:gutter="0" w:footer="0" w:header="0"/>
        </w:sectPr>
      </w:pPr>
    </w:p>
    <w:bookmarkStart w:id="122" w:name="page123"/>
    <w:bookmarkEnd w:id="122"/>
    <w:p>
      <w:pPr>
        <w:jc w:val="both"/>
        <w:ind w:left="20" w:firstLine="640"/>
        <w:spacing w:after="0" w:line="256" w:lineRule="auto"/>
        <w:rPr>
          <w:sz w:val="20"/>
          <w:szCs w:val="20"/>
          <w:color w:val="auto"/>
        </w:rPr>
      </w:pPr>
      <w:r>
        <w:rPr>
          <w:rFonts w:ascii="Times New Roman" w:cs="Times New Roman" w:eastAsia="Times New Roman" w:hAnsi="Times New Roman"/>
          <w:sz w:val="21"/>
          <w:szCs w:val="21"/>
          <w:color w:val="auto"/>
        </w:rPr>
        <w:t>In addition, this Insider Trading Policy applies regardless of whether a Twilio Covered Person or Covered Affiliate is resident within the United States. In addition to this Insider Trading Policy, all directors, officers and certain designated employees, consultants and contractors of the Company are also subject to, and are required to comply with, the Company’s Special Trading Procedures for Designated Persons (the “</w:t>
      </w:r>
      <w:r>
        <w:rPr>
          <w:rFonts w:ascii="Times New Roman" w:cs="Times New Roman" w:eastAsia="Times New Roman" w:hAnsi="Times New Roman"/>
          <w:sz w:val="21"/>
          <w:szCs w:val="21"/>
          <w:b w:val="1"/>
          <w:bCs w:val="1"/>
          <w:color w:val="auto"/>
        </w:rPr>
        <w:t>Trading Procedures</w:t>
      </w:r>
      <w:r>
        <w:rPr>
          <w:rFonts w:ascii="Times New Roman" w:cs="Times New Roman" w:eastAsia="Times New Roman" w:hAnsi="Times New Roman"/>
          <w:sz w:val="21"/>
          <w:szCs w:val="21"/>
          <w:color w:val="auto"/>
        </w:rPr>
        <w:t>”), which supplement and shall be deemed a part of this Insider Trading Policy, including the requirement to pre-clear all transactions in the Company’s securities by such persons with a Compliance Officer.</w:t>
      </w:r>
    </w:p>
    <w:p>
      <w:pPr>
        <w:spacing w:after="0" w:line="305" w:lineRule="exact"/>
        <w:rPr>
          <w:sz w:val="20"/>
          <w:szCs w:val="20"/>
          <w:color w:val="auto"/>
        </w:rPr>
      </w:pPr>
    </w:p>
    <w:p>
      <w:pPr>
        <w:ind w:left="540" w:hanging="519"/>
        <w:spacing w:after="0"/>
        <w:tabs>
          <w:tab w:leader="none" w:pos="540"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What is Prohibited by this Insider Trading Policy? No Trading Except During</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Trading Windows</w:t>
      </w:r>
    </w:p>
    <w:p>
      <w:pPr>
        <w:spacing w:after="0" w:line="136" w:lineRule="exact"/>
        <w:rPr>
          <w:sz w:val="20"/>
          <w:szCs w:val="20"/>
          <w:color w:val="auto"/>
        </w:rPr>
      </w:pPr>
    </w:p>
    <w:p>
      <w:pPr>
        <w:jc w:val="both"/>
        <w:ind w:left="20" w:firstLine="640"/>
        <w:spacing w:after="0" w:line="261" w:lineRule="auto"/>
        <w:rPr>
          <w:sz w:val="20"/>
          <w:szCs w:val="20"/>
          <w:color w:val="auto"/>
        </w:rPr>
      </w:pPr>
      <w:r>
        <w:rPr>
          <w:rFonts w:ascii="Times New Roman" w:cs="Times New Roman" w:eastAsia="Times New Roman" w:hAnsi="Times New Roman"/>
          <w:sz w:val="21"/>
          <w:szCs w:val="21"/>
          <w:color w:val="auto"/>
        </w:rPr>
        <w:t>The announcement of the Company’s quarterly financial results has the potential to have a material effect on the market for the Company’s securities. Although a Twilio Covered Person may not know the financial results prior to public announcement, if such Twilio Covered Person engages in a trade before the financial results are disclosed to the public, such trades may give an appearance of impropriety that could subject such Twilio Covered Person and the Company to a charge of insider trading. Therefore, subject to limited exceptions set forth herein, Twilio Covered Persons may trade in Company securities only during open trading windows.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What are the Trading Windows?</w:t>
      </w:r>
    </w:p>
    <w:p>
      <w:pPr>
        <w:spacing w:after="0" w:line="258" w:lineRule="exact"/>
        <w:rPr>
          <w:sz w:val="20"/>
          <w:szCs w:val="20"/>
          <w:color w:val="auto"/>
        </w:rPr>
      </w:pPr>
    </w:p>
    <w:p>
      <w:pPr>
        <w:jc w:val="both"/>
        <w:ind w:left="20" w:firstLine="640"/>
        <w:spacing w:after="0" w:line="259" w:lineRule="auto"/>
        <w:rPr>
          <w:sz w:val="20"/>
          <w:szCs w:val="20"/>
          <w:color w:val="auto"/>
        </w:rPr>
      </w:pPr>
      <w:r>
        <w:rPr>
          <w:rFonts w:ascii="Times New Roman" w:cs="Times New Roman" w:eastAsia="Times New Roman" w:hAnsi="Times New Roman"/>
          <w:sz w:val="21"/>
          <w:szCs w:val="21"/>
          <w:color w:val="auto"/>
        </w:rPr>
        <w:t>Unless otherwise advised, the trading windows consist of the periods that begin when the market opens on the second full trading day following the Company’s issuance of a press release (or other method of broad public dissemination) announcing its quarterly or annual earnings and end at the close of business on the tenth day of the last month of the then-current quarter. For the purposes of this Insider Trading Policy, a “trading day” shall mean a day on which the New York Stock Exchange is open for trading. For example, if the Company issues a press release (or other method of broad public dissemination) announcing its quarterly or annual earnings after trading closes on a Tuesday, the first time a Twilio Covered Person can buy or sell Company securities is the opening of the market on Thursday. The example above assumes that Wednesday and Thursday are trading days.</w:t>
      </w:r>
    </w:p>
    <w:p>
      <w:pPr>
        <w:spacing w:after="0" w:line="200" w:lineRule="exact"/>
        <w:rPr>
          <w:sz w:val="20"/>
          <w:szCs w:val="20"/>
          <w:color w:val="auto"/>
        </w:rPr>
      </w:pPr>
    </w:p>
    <w:p>
      <w:pPr>
        <w:spacing w:after="0" w:line="257" w:lineRule="exact"/>
        <w:rPr>
          <w:sz w:val="20"/>
          <w:szCs w:val="20"/>
          <w:color w:val="auto"/>
        </w:rPr>
      </w:pPr>
    </w:p>
    <w:p>
      <w:pPr>
        <w:jc w:val="both"/>
        <w:ind w:left="20" w:firstLine="640"/>
        <w:spacing w:after="0" w:line="261" w:lineRule="auto"/>
        <w:rPr>
          <w:sz w:val="20"/>
          <w:szCs w:val="20"/>
          <w:color w:val="auto"/>
        </w:rPr>
      </w:pPr>
      <w:r>
        <w:rPr>
          <w:rFonts w:ascii="Times New Roman" w:cs="Times New Roman" w:eastAsia="Times New Roman" w:hAnsi="Times New Roman"/>
          <w:sz w:val="21"/>
          <w:szCs w:val="21"/>
          <w:color w:val="auto"/>
        </w:rPr>
        <w:t>From time to time, the Company may also close the trading window prior to its typical end date for one or more Twilio Covered Person(s) when, in the judgment of a Compliance Officer, such a closure is warranted. The Company may impose this type of special trading window closure on a Twilio Covered Person if, for example, such Twilio Covered Person is aware (or may become aware) of material developments that have not yet been disclosed to the public. Any Twilio Covered Person affected by a special closure of the trading window will be notified in writing (the fact of such notice and its content should be kept strictly confidential) and may not trade in Company securities until approved by a Compliance Officer.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When Can I Trade Outside of an Open Trading Window?</w:t>
      </w:r>
    </w:p>
    <w:p>
      <w:pPr>
        <w:spacing w:after="0" w:line="272" w:lineRule="exact"/>
        <w:rPr>
          <w:sz w:val="20"/>
          <w:szCs w:val="20"/>
          <w:color w:val="auto"/>
        </w:rPr>
      </w:pPr>
    </w:p>
    <w:p>
      <w:pPr>
        <w:jc w:val="both"/>
        <w:ind w:left="20" w:right="20" w:firstLine="640"/>
        <w:spacing w:after="0" w:line="288" w:lineRule="auto"/>
        <w:rPr>
          <w:sz w:val="20"/>
          <w:szCs w:val="20"/>
          <w:color w:val="auto"/>
        </w:rPr>
      </w:pPr>
      <w:r>
        <w:rPr>
          <w:rFonts w:ascii="Times New Roman" w:cs="Times New Roman" w:eastAsia="Times New Roman" w:hAnsi="Times New Roman"/>
          <w:sz w:val="21"/>
          <w:szCs w:val="21"/>
          <w:color w:val="auto"/>
        </w:rPr>
        <w:t>Twilio Covered Persons are allowed to trade outside of an open trading window only pursuant to transactions in accordance with one of the exemptions outlined in the section below titled “Are There Any Exceptions?”</w:t>
      </w:r>
    </w:p>
    <w:p>
      <w:pPr>
        <w:spacing w:after="0" w:line="190" w:lineRule="exact"/>
        <w:rPr>
          <w:sz w:val="20"/>
          <w:szCs w:val="20"/>
          <w:color w:val="auto"/>
        </w:rPr>
      </w:pPr>
    </w:p>
    <w:p>
      <w:pPr>
        <w:ind w:right="720"/>
        <w:spacing w:after="0" w:line="332" w:lineRule="auto"/>
        <w:rPr>
          <w:sz w:val="20"/>
          <w:szCs w:val="20"/>
          <w:color w:val="auto"/>
        </w:rPr>
      </w:pPr>
      <w:r>
        <w:rPr>
          <w:rFonts w:ascii="Times New Roman" w:cs="Times New Roman" w:eastAsia="Times New Roman" w:hAnsi="Times New Roman"/>
          <w:sz w:val="21"/>
          <w:szCs w:val="21"/>
          <w:b w:val="1"/>
          <w:bCs w:val="1"/>
          <w:color w:val="auto"/>
        </w:rPr>
        <w:t>No Short Sales; No Purchases or Sales of Derivative Securities or Hedging Transactions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No Company Securities Subject to Margin Calls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No Pledges</w:t>
      </w:r>
    </w:p>
    <w:p>
      <w:pPr>
        <w:sectPr>
          <w:pgSz w:w="11900" w:h="16838" w:orient="portrait"/>
          <w:cols w:equalWidth="0" w:num="1">
            <w:col w:w="10940"/>
          </w:cols>
          <w:pgMar w:left="420" w:top="659" w:right="539" w:bottom="1440" w:gutter="0" w:footer="0" w:header="0"/>
        </w:sectPr>
      </w:pPr>
    </w:p>
    <w:bookmarkStart w:id="123" w:name="page124"/>
    <w:bookmarkEnd w:id="123"/>
    <w:p>
      <w:pPr>
        <w:jc w:val="both"/>
        <w:ind w:left="120" w:right="200" w:firstLine="640"/>
        <w:spacing w:after="0" w:line="288" w:lineRule="auto"/>
        <w:rPr>
          <w:sz w:val="20"/>
          <w:szCs w:val="20"/>
          <w:color w:val="auto"/>
        </w:rPr>
      </w:pPr>
      <w:r>
        <w:rPr>
          <w:rFonts w:ascii="Times New Roman" w:cs="Times New Roman" w:eastAsia="Times New Roman" w:hAnsi="Times New Roman"/>
          <w:sz w:val="21"/>
          <w:szCs w:val="21"/>
          <w:color w:val="auto"/>
        </w:rPr>
        <w:t>No Twilio Covered Person may at any time sell any securities of the Company that are not owned by such Twilio Covered Persons at the time of the sale (a “</w:t>
      </w:r>
      <w:r>
        <w:rPr>
          <w:rFonts w:ascii="Times New Roman" w:cs="Times New Roman" w:eastAsia="Times New Roman" w:hAnsi="Times New Roman"/>
          <w:sz w:val="21"/>
          <w:szCs w:val="21"/>
          <w:b w:val="1"/>
          <w:bCs w:val="1"/>
          <w:color w:val="auto"/>
        </w:rPr>
        <w:t>short sale</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left="120" w:right="200" w:firstLine="640"/>
        <w:spacing w:after="0" w:line="268" w:lineRule="auto"/>
        <w:rPr>
          <w:sz w:val="20"/>
          <w:szCs w:val="20"/>
          <w:color w:val="auto"/>
        </w:rPr>
      </w:pPr>
      <w:r>
        <w:rPr>
          <w:rFonts w:ascii="Times New Roman" w:cs="Times New Roman" w:eastAsia="Times New Roman" w:hAnsi="Times New Roman"/>
          <w:sz w:val="21"/>
          <w:szCs w:val="21"/>
          <w:color w:val="auto"/>
        </w:rPr>
        <w:t>No Twilio Covered Person may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No Twilio Covered Person may use the Company’s securities as collateral in a margin account.</w:t>
      </w:r>
    </w:p>
    <w:p>
      <w:pPr>
        <w:spacing w:after="0" w:line="239" w:lineRule="exact"/>
        <w:rPr>
          <w:sz w:val="20"/>
          <w:szCs w:val="20"/>
          <w:color w:val="auto"/>
        </w:rPr>
      </w:pPr>
    </w:p>
    <w:p>
      <w:pPr>
        <w:ind w:left="100" w:right="740" w:firstLine="641"/>
        <w:spacing w:after="0" w:line="288" w:lineRule="auto"/>
        <w:rPr>
          <w:sz w:val="20"/>
          <w:szCs w:val="20"/>
          <w:color w:val="auto"/>
        </w:rPr>
      </w:pPr>
      <w:r>
        <w:rPr>
          <w:rFonts w:ascii="Times New Roman" w:cs="Times New Roman" w:eastAsia="Times New Roman" w:hAnsi="Times New Roman"/>
          <w:sz w:val="21"/>
          <w:szCs w:val="21"/>
          <w:color w:val="auto"/>
        </w:rPr>
        <w:t>No Twilio Covered Person may pledge Company securities as collateral for a loan or as part of any other pledging transaction.</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No Trading Based on Material Nonpublic Information</w:t>
      </w:r>
    </w:p>
    <w:p>
      <w:pPr>
        <w:spacing w:after="0" w:line="256" w:lineRule="exact"/>
        <w:rPr>
          <w:sz w:val="20"/>
          <w:szCs w:val="20"/>
          <w:color w:val="auto"/>
        </w:rPr>
      </w:pPr>
    </w:p>
    <w:p>
      <w:pPr>
        <w:jc w:val="both"/>
        <w:ind w:left="120" w:right="200" w:firstLine="640"/>
        <w:spacing w:after="0" w:line="262" w:lineRule="auto"/>
        <w:rPr>
          <w:sz w:val="20"/>
          <w:szCs w:val="20"/>
          <w:color w:val="auto"/>
        </w:rPr>
      </w:pPr>
      <w:r>
        <w:rPr>
          <w:rFonts w:ascii="Times New Roman" w:cs="Times New Roman" w:eastAsia="Times New Roman" w:hAnsi="Times New Roman"/>
          <w:sz w:val="21"/>
          <w:szCs w:val="21"/>
          <w:color w:val="auto"/>
        </w:rPr>
        <w:t>Even during an open trading window, it is generally illegal (and also a violation of the Company’s Insider Trading Policy) for a Twilio Covered Person to trade in the securities of the Company while in the possession of material nonpublic information about the Company. Note that for purposes of this Insider Trading Policy, “securities”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Other Prohibited Activities</w:t>
      </w:r>
    </w:p>
    <w:p>
      <w:pPr>
        <w:spacing w:after="0" w:line="256" w:lineRule="exact"/>
        <w:rPr>
          <w:sz w:val="20"/>
          <w:szCs w:val="20"/>
          <w:color w:val="auto"/>
        </w:rPr>
      </w:pPr>
    </w:p>
    <w:p>
      <w:pPr>
        <w:ind w:left="120" w:right="140" w:firstLine="640"/>
        <w:spacing w:after="0" w:line="275" w:lineRule="auto"/>
        <w:rPr>
          <w:sz w:val="20"/>
          <w:szCs w:val="20"/>
          <w:color w:val="auto"/>
        </w:rPr>
      </w:pPr>
      <w:r>
        <w:rPr>
          <w:rFonts w:ascii="Times New Roman" w:cs="Times New Roman" w:eastAsia="Times New Roman" w:hAnsi="Times New Roman"/>
          <w:sz w:val="21"/>
          <w:szCs w:val="21"/>
          <w:color w:val="auto"/>
        </w:rPr>
        <w:t>In addition to restrictions on trading, Twilio Covered Persons are generally prohibited from the following activities when they know or are in possession of material nonpublic information:</w:t>
      </w:r>
    </w:p>
    <w:p>
      <w:pPr>
        <w:spacing w:after="0" w:line="194" w:lineRule="exact"/>
        <w:rPr>
          <w:sz w:val="20"/>
          <w:szCs w:val="20"/>
          <w:color w:val="auto"/>
        </w:rPr>
      </w:pPr>
    </w:p>
    <w:p>
      <w:pPr>
        <w:ind w:left="1060" w:hanging="299"/>
        <w:spacing w:after="0"/>
        <w:tabs>
          <w:tab w:leader="none" w:pos="10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having others trade in the Company’s securities for them;</w:t>
      </w:r>
    </w:p>
    <w:p>
      <w:pPr>
        <w:spacing w:after="0" w:line="118" w:lineRule="exact"/>
        <w:rPr>
          <w:rFonts w:ascii="Times New Roman" w:cs="Times New Roman" w:eastAsia="Times New Roman" w:hAnsi="Times New Roman"/>
          <w:sz w:val="18"/>
          <w:szCs w:val="18"/>
          <w:color w:val="auto"/>
        </w:rPr>
      </w:pPr>
    </w:p>
    <w:p>
      <w:pPr>
        <w:ind w:left="1080" w:right="200" w:hanging="319"/>
        <w:spacing w:after="0" w:line="275" w:lineRule="auto"/>
        <w:tabs>
          <w:tab w:leader="none" w:pos="112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giving trading advice of any kind about the Company except that a Twilio Covered Person should, when appropriate, advise others not to trade if doing so might violate the law or this Insider Trading Policy; and</w:t>
      </w:r>
    </w:p>
    <w:p>
      <w:pPr>
        <w:spacing w:after="0" w:line="60" w:lineRule="exact"/>
        <w:rPr>
          <w:rFonts w:ascii="Times New Roman" w:cs="Times New Roman" w:eastAsia="Times New Roman" w:hAnsi="Times New Roman"/>
          <w:sz w:val="18"/>
          <w:szCs w:val="18"/>
          <w:color w:val="auto"/>
        </w:rPr>
      </w:pPr>
    </w:p>
    <w:p>
      <w:pPr>
        <w:jc w:val="both"/>
        <w:ind w:left="1080" w:right="200" w:hanging="319"/>
        <w:spacing w:after="0" w:line="270" w:lineRule="auto"/>
        <w:tabs>
          <w:tab w:leader="none" w:pos="112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disclosing any material nonpublic information about the Company to anyone else who might then trade, or recommending to anyone that they purchase or sell the Company’s securities when such Twilio Covered Person is aware of material nonpublic information (these practices are known as “tipping”).</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As noted above, these prohibitions also apply to Covered Affiliates.</w:t>
      </w:r>
    </w:p>
    <w:p>
      <w:pPr>
        <w:spacing w:after="0" w:line="239"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color w:val="auto"/>
        </w:rPr>
        <w:t>In addition, it is the Company’s policy that no Twilio Covered Person who, in the course of providing services to the Company, learns of any material nonpublic information that could be expected to affect the trading price of the securities of another company (for example, a customer, supplier or other party with which the Company is negotiating a major transaction, such as an acquisition, investment or sale), may (a) use that information to trade, directly or indirectly through others, in that company’s securities until the information becomes public or is no longer material, or (b) provide that information to another person in order to trade in that company’s securities until the information becomes public or is no longer material.</w:t>
      </w:r>
    </w:p>
    <w:p>
      <w:pPr>
        <w:sectPr>
          <w:pgSz w:w="11900" w:h="16838" w:orient="portrait"/>
          <w:cols w:equalWidth="0" w:num="1">
            <w:col w:w="11240"/>
          </w:cols>
          <w:pgMar w:left="320" w:top="659" w:right="339" w:bottom="1440" w:gutter="0" w:footer="0" w:header="0"/>
        </w:sectPr>
      </w:pPr>
    </w:p>
    <w:bookmarkStart w:id="124" w:name="page125"/>
    <w:bookmarkEnd w:id="124"/>
    <w:p>
      <w:pPr>
        <w:jc w:val="both"/>
        <w:ind w:right="100" w:firstLine="640"/>
        <w:spacing w:after="0" w:line="276" w:lineRule="auto"/>
        <w:rPr>
          <w:sz w:val="20"/>
          <w:szCs w:val="20"/>
          <w:color w:val="auto"/>
        </w:rPr>
      </w:pPr>
      <w:r>
        <w:rPr>
          <w:rFonts w:ascii="Times New Roman" w:cs="Times New Roman" w:eastAsia="Times New Roman" w:hAnsi="Times New Roman"/>
          <w:sz w:val="21"/>
          <w:szCs w:val="21"/>
          <w:color w:val="auto"/>
        </w:rPr>
        <w:t>Twilio Covered Persons should remain aware that this Insider Trading Policy applies to any sale of stock as part of a broker-assisted cashless exercise of an option and any other market sale for the purpose of generating the cash needed to pay the exercise price of an option.</w:t>
      </w:r>
    </w:p>
    <w:p>
      <w:pPr>
        <w:spacing w:after="0" w:line="181" w:lineRule="exact"/>
        <w:rPr>
          <w:sz w:val="20"/>
          <w:szCs w:val="20"/>
          <w:color w:val="auto"/>
        </w:rPr>
      </w:pPr>
    </w:p>
    <w:p>
      <w:pPr>
        <w:jc w:val="both"/>
        <w:ind w:right="100" w:firstLine="640"/>
        <w:spacing w:after="0" w:line="268" w:lineRule="auto"/>
        <w:rPr>
          <w:sz w:val="20"/>
          <w:szCs w:val="20"/>
          <w:color w:val="auto"/>
        </w:rPr>
      </w:pPr>
      <w:r>
        <w:rPr>
          <w:rFonts w:ascii="Times New Roman" w:cs="Times New Roman" w:eastAsia="Times New Roman" w:hAnsi="Times New Roman"/>
          <w:sz w:val="21"/>
          <w:szCs w:val="21"/>
          <w:color w:val="auto"/>
        </w:rPr>
        <w:t>These prohibitions continue whenever and for as long as a Twilio Covered Person knows or is in possession of material nonpublic information. Remember, anyone scrutinizing a Twilio Covered Person’s transactions will be doing so after the fact, with the benefit of hindsight. As a practical matter, before engaging in any transaction, every Twilio Covered Person should carefully consider how enforcement authorities and others might view the transaction in hindsight.</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Definition of Material Nonpublic Information</w:t>
      </w:r>
    </w:p>
    <w:p>
      <w:pPr>
        <w:spacing w:after="0" w:line="256" w:lineRule="exact"/>
        <w:rPr>
          <w:sz w:val="20"/>
          <w:szCs w:val="20"/>
          <w:color w:val="auto"/>
        </w:rPr>
      </w:pPr>
    </w:p>
    <w:p>
      <w:pPr>
        <w:jc w:val="both"/>
        <w:ind w:right="100" w:firstLine="640"/>
        <w:spacing w:after="0" w:line="288" w:lineRule="auto"/>
        <w:rPr>
          <w:sz w:val="20"/>
          <w:szCs w:val="20"/>
          <w:color w:val="auto"/>
        </w:rPr>
      </w:pPr>
      <w:r>
        <w:rPr>
          <w:rFonts w:ascii="Times New Roman" w:cs="Times New Roman" w:eastAsia="Times New Roman" w:hAnsi="Times New Roman"/>
          <w:sz w:val="21"/>
          <w:szCs w:val="21"/>
          <w:color w:val="auto"/>
        </w:rPr>
        <w:t>This Insider Trading Policy prohibits Twilio Covered Persons from trading in the Company’s securities if they are in possession of information about the Company that is both “material” and “nonpublic.”</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i w:val="1"/>
          <w:iCs w:val="1"/>
          <w:color w:val="auto"/>
        </w:rPr>
        <w:t>What is “Material” Information?</w:t>
      </w:r>
    </w:p>
    <w:p>
      <w:pPr>
        <w:spacing w:after="0" w:line="258" w:lineRule="exact"/>
        <w:rPr>
          <w:sz w:val="20"/>
          <w:szCs w:val="20"/>
          <w:color w:val="auto"/>
        </w:rPr>
      </w:pPr>
    </w:p>
    <w:p>
      <w:pPr>
        <w:jc w:val="both"/>
        <w:ind w:right="100" w:firstLine="640"/>
        <w:spacing w:after="0" w:line="261" w:lineRule="auto"/>
        <w:rPr>
          <w:sz w:val="20"/>
          <w:szCs w:val="20"/>
          <w:color w:val="auto"/>
        </w:rPr>
      </w:pPr>
      <w:r>
        <w:rPr>
          <w:rFonts w:ascii="Times New Roman" w:cs="Times New Roman" w:eastAsia="Times New Roman" w:hAnsi="Times New Roman"/>
          <w:sz w:val="21"/>
          <w:szCs w:val="21"/>
          <w:color w:val="auto"/>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86" w:lineRule="exact"/>
        <w:rPr>
          <w:sz w:val="20"/>
          <w:szCs w:val="20"/>
          <w:color w:val="auto"/>
        </w:rPr>
      </w:pPr>
    </w:p>
    <w:p>
      <w:pPr>
        <w:ind w:left="1280" w:hanging="639"/>
        <w:spacing w:after="0" w:line="288" w:lineRule="auto"/>
        <w:tabs>
          <w:tab w:leader="none" w:pos="12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earnings guidance or projections of future financial performance that the Company expects to announce publicly in the near-term;</w:t>
      </w:r>
    </w:p>
    <w:p>
      <w:pPr>
        <w:spacing w:after="0" w:line="74" w:lineRule="exact"/>
        <w:rPr>
          <w:rFonts w:ascii="Times New Roman" w:cs="Times New Roman" w:eastAsia="Times New Roman" w:hAnsi="Times New Roman"/>
          <w:sz w:val="18"/>
          <w:szCs w:val="18"/>
          <w:color w:val="auto"/>
        </w:rPr>
      </w:pPr>
    </w:p>
    <w:p>
      <w:pPr>
        <w:ind w:left="1280" w:right="100" w:hanging="639"/>
        <w:spacing w:after="0" w:line="314" w:lineRule="auto"/>
        <w:tabs>
          <w:tab w:leader="none" w:pos="128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Company’s financial results for a completed (or nearly completed) quarter or fiscal year that have not yet been disclosed publicly (for example, the Company’s quarterly revenue);</w:t>
      </w:r>
    </w:p>
    <w:p>
      <w:pPr>
        <w:spacing w:after="0" w:line="61" w:lineRule="exact"/>
        <w:rPr>
          <w:rFonts w:ascii="Times New Roman" w:cs="Times New Roman" w:eastAsia="Times New Roman" w:hAnsi="Times New Roman"/>
          <w:sz w:val="18"/>
          <w:szCs w:val="18"/>
          <w:color w:val="auto"/>
        </w:rPr>
      </w:pPr>
    </w:p>
    <w:p>
      <w:pPr>
        <w:ind w:left="1280" w:right="100" w:hanging="639"/>
        <w:spacing w:after="0" w:line="298" w:lineRule="auto"/>
        <w:tabs>
          <w:tab w:leader="none" w:pos="12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potential restatements of the Company’s financial statements, changes in auditors or auditor notification that the Company may no longer rely on an auditor’s audit report;</w:t>
      </w:r>
    </w:p>
    <w:p>
      <w:pPr>
        <w:ind w:left="1280" w:right="100" w:hanging="639"/>
        <w:spacing w:after="0" w:line="314" w:lineRule="auto"/>
        <w:tabs>
          <w:tab w:leader="none" w:pos="133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pending or proposed mergers, acquisitions, investments, tender offers, joint ventures or dispositions of significant assets;</w:t>
      </w:r>
    </w:p>
    <w:p>
      <w:pPr>
        <w:spacing w:after="0" w:line="21" w:lineRule="exact"/>
        <w:rPr>
          <w:rFonts w:ascii="Times New Roman" w:cs="Times New Roman" w:eastAsia="Times New Roman" w:hAnsi="Times New Roman"/>
          <w:sz w:val="18"/>
          <w:szCs w:val="18"/>
          <w:color w:val="auto"/>
        </w:rPr>
      </w:pPr>
    </w:p>
    <w:p>
      <w:pPr>
        <w:ind w:left="1260" w:hanging="619"/>
        <w:spacing w:after="0"/>
        <w:tabs>
          <w:tab w:leader="none" w:pos="1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major personnel changes, such as changes in senior management or the Board of Directors;</w:t>
      </w:r>
    </w:p>
    <w:p>
      <w:pPr>
        <w:spacing w:after="0" w:line="172" w:lineRule="exact"/>
        <w:rPr>
          <w:rFonts w:ascii="Times New Roman" w:cs="Times New Roman" w:eastAsia="Times New Roman" w:hAnsi="Times New Roman"/>
          <w:sz w:val="18"/>
          <w:szCs w:val="18"/>
          <w:color w:val="auto"/>
        </w:rPr>
      </w:pPr>
    </w:p>
    <w:p>
      <w:pPr>
        <w:ind w:left="1260" w:hanging="619"/>
        <w:spacing w:after="0"/>
        <w:tabs>
          <w:tab w:leader="none" w:pos="1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actual or threatened significant litigation or governmental investigations or major developments in such matters;</w:t>
      </w:r>
    </w:p>
    <w:p>
      <w:pPr>
        <w:spacing w:after="0" w:line="158" w:lineRule="exact"/>
        <w:rPr>
          <w:rFonts w:ascii="Times New Roman" w:cs="Times New Roman" w:eastAsia="Times New Roman" w:hAnsi="Times New Roman"/>
          <w:sz w:val="18"/>
          <w:szCs w:val="18"/>
          <w:color w:val="auto"/>
        </w:rPr>
      </w:pPr>
    </w:p>
    <w:p>
      <w:pPr>
        <w:ind w:left="1280" w:right="100" w:hanging="639"/>
        <w:spacing w:after="0" w:line="314" w:lineRule="auto"/>
        <w:tabs>
          <w:tab w:leader="none" w:pos="128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loss of a significant customer, contract or supplier that would be expected to have a meaningful negative impact on the Company’s financial results and/or business prospects;</w:t>
      </w:r>
    </w:p>
    <w:p>
      <w:pPr>
        <w:spacing w:after="0" w:line="48" w:lineRule="exact"/>
        <w:rPr>
          <w:rFonts w:ascii="Times New Roman" w:cs="Times New Roman" w:eastAsia="Times New Roman" w:hAnsi="Times New Roman"/>
          <w:sz w:val="18"/>
          <w:szCs w:val="18"/>
          <w:color w:val="auto"/>
        </w:rPr>
      </w:pPr>
    </w:p>
    <w:p>
      <w:pPr>
        <w:ind w:left="1260" w:hanging="619"/>
        <w:spacing w:after="0"/>
        <w:tabs>
          <w:tab w:leader="none" w:pos="1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major product launches or significant changes to the Company’s products;</w:t>
      </w:r>
    </w:p>
    <w:p>
      <w:pPr>
        <w:spacing w:after="0" w:line="172" w:lineRule="exact"/>
        <w:rPr>
          <w:rFonts w:ascii="Times New Roman" w:cs="Times New Roman" w:eastAsia="Times New Roman" w:hAnsi="Times New Roman"/>
          <w:sz w:val="18"/>
          <w:szCs w:val="18"/>
          <w:color w:val="auto"/>
        </w:rPr>
      </w:pPr>
    </w:p>
    <w:p>
      <w:pPr>
        <w:ind w:left="1260" w:hanging="619"/>
        <w:spacing w:after="0"/>
        <w:tabs>
          <w:tab w:leader="none" w:pos="1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potential equity or debt financing transactions by the Company;</w:t>
      </w:r>
    </w:p>
    <w:p>
      <w:pPr>
        <w:sectPr>
          <w:pgSz w:w="11900" w:h="16838" w:orient="portrait"/>
          <w:cols w:equalWidth="0" w:num="1">
            <w:col w:w="11020"/>
          </w:cols>
          <w:pgMar w:left="440" w:top="672" w:right="439" w:bottom="1440" w:gutter="0" w:footer="0" w:header="0"/>
        </w:sectPr>
      </w:pPr>
    </w:p>
    <w:bookmarkStart w:id="125" w:name="page126"/>
    <w:bookmarkEnd w:id="125"/>
    <w:p>
      <w:pPr>
        <w:ind w:left="1260" w:hanging="619"/>
        <w:spacing w:after="0"/>
        <w:tabs>
          <w:tab w:leader="none" w:pos="1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changes in dividend policy, declarations of stock splits, or public or private sales of additional securities;</w:t>
      </w:r>
    </w:p>
    <w:p>
      <w:pPr>
        <w:spacing w:after="0" w:line="158" w:lineRule="exact"/>
        <w:rPr>
          <w:rFonts w:ascii="Times New Roman" w:cs="Times New Roman" w:eastAsia="Times New Roman" w:hAnsi="Times New Roman"/>
          <w:sz w:val="18"/>
          <w:szCs w:val="18"/>
          <w:color w:val="auto"/>
        </w:rPr>
      </w:pPr>
    </w:p>
    <w:p>
      <w:pPr>
        <w:ind w:left="1260" w:hanging="619"/>
        <w:spacing w:after="0"/>
        <w:tabs>
          <w:tab w:leader="none" w:pos="1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significant data breaches or other cybersecurity events;</w:t>
      </w:r>
    </w:p>
    <w:p>
      <w:pPr>
        <w:spacing w:after="0" w:line="198" w:lineRule="exact"/>
        <w:rPr>
          <w:rFonts w:ascii="Times New Roman" w:cs="Times New Roman" w:eastAsia="Times New Roman" w:hAnsi="Times New Roman"/>
          <w:sz w:val="18"/>
          <w:szCs w:val="18"/>
          <w:color w:val="auto"/>
        </w:rPr>
      </w:pPr>
    </w:p>
    <w:p>
      <w:pPr>
        <w:ind w:left="1280" w:hanging="639"/>
        <w:spacing w:after="0" w:line="314" w:lineRule="auto"/>
        <w:tabs>
          <w:tab w:leader="none" w:pos="128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potential defaults under the Company’s credit agreements or indentures, or the existence of material liquidity deficiencies; and</w:t>
      </w:r>
    </w:p>
    <w:p>
      <w:pPr>
        <w:spacing w:after="0" w:line="21" w:lineRule="exact"/>
        <w:rPr>
          <w:rFonts w:ascii="Times New Roman" w:cs="Times New Roman" w:eastAsia="Times New Roman" w:hAnsi="Times New Roman"/>
          <w:sz w:val="18"/>
          <w:szCs w:val="18"/>
          <w:color w:val="auto"/>
        </w:rPr>
      </w:pPr>
    </w:p>
    <w:p>
      <w:pPr>
        <w:ind w:left="1260" w:hanging="619"/>
        <w:spacing w:after="0"/>
        <w:tabs>
          <w:tab w:leader="none" w:pos="1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bankruptcies or receiverships.</w:t>
      </w:r>
    </w:p>
    <w:p>
      <w:pPr>
        <w:spacing w:after="0" w:line="248"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21"/>
          <w:szCs w:val="21"/>
          <w:color w:val="auto"/>
        </w:rPr>
        <w:t>The Securities and Exchange Commission (the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i w:val="1"/>
          <w:iCs w:val="1"/>
          <w:color w:val="auto"/>
        </w:rPr>
        <w:t>What is “Nonpublic” Information?</w:t>
      </w:r>
    </w:p>
    <w:p>
      <w:pPr>
        <w:spacing w:after="0" w:line="258"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21"/>
          <w:szCs w:val="21"/>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Insider Trading Policy, information will be considered public when the market opens on the second full trading day following the Company’s public release of the information.</w:t>
      </w:r>
    </w:p>
    <w:p>
      <w:pPr>
        <w:spacing w:after="0" w:line="197" w:lineRule="exact"/>
        <w:rPr>
          <w:sz w:val="20"/>
          <w:szCs w:val="20"/>
          <w:color w:val="auto"/>
        </w:rPr>
      </w:pPr>
    </w:p>
    <w:p>
      <w:pPr>
        <w:jc w:val="both"/>
        <w:ind w:firstLine="641"/>
        <w:spacing w:after="0" w:line="276" w:lineRule="auto"/>
        <w:rPr>
          <w:sz w:val="20"/>
          <w:szCs w:val="20"/>
          <w:color w:val="auto"/>
        </w:rPr>
      </w:pPr>
      <w:r>
        <w:rPr>
          <w:rFonts w:ascii="Times New Roman" w:cs="Times New Roman" w:eastAsia="Times New Roman" w:hAnsi="Times New Roman"/>
          <w:sz w:val="21"/>
          <w:szCs w:val="21"/>
          <w:color w:val="auto"/>
        </w:rPr>
        <w:t>For example, if the Company announces material information that a Twilio Covered Person is or is deemed to be aware of after trading closes on a Tuesday, the first time that Twilio Covered Person can buy or sell Company securities is the opening of the market on Thursday. The example above assumes that Wednesday and Thursday are trading days.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Are There Any Exceptions?</w:t>
      </w:r>
    </w:p>
    <w:p>
      <w:pPr>
        <w:spacing w:after="0" w:line="230" w:lineRule="exact"/>
        <w:rPr>
          <w:sz w:val="20"/>
          <w:szCs w:val="20"/>
          <w:color w:val="auto"/>
        </w:rPr>
      </w:pPr>
    </w:p>
    <w:p>
      <w:pPr>
        <w:jc w:val="both"/>
        <w:ind w:right="20" w:firstLine="640"/>
        <w:spacing w:after="0" w:line="275" w:lineRule="auto"/>
        <w:rPr>
          <w:sz w:val="20"/>
          <w:szCs w:val="20"/>
          <w:color w:val="auto"/>
        </w:rPr>
      </w:pPr>
      <w:r>
        <w:rPr>
          <w:rFonts w:ascii="Times New Roman" w:cs="Times New Roman" w:eastAsia="Times New Roman" w:hAnsi="Times New Roman"/>
          <w:sz w:val="21"/>
          <w:szCs w:val="21"/>
          <w:color w:val="auto"/>
        </w:rPr>
        <w:t>Except as set forth below, there are no exceptions to this Insider Trading Policy. Gifts are not an exception and are subject to the terms of this Insider Trading Policy.</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i w:val="1"/>
          <w:iCs w:val="1"/>
          <w:color w:val="auto"/>
        </w:rPr>
        <w:t>Pre-Approved Rule 10b5-1 Plans</w:t>
      </w:r>
    </w:p>
    <w:p>
      <w:pPr>
        <w:spacing w:after="0" w:line="245"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1"/>
          <w:szCs w:val="21"/>
          <w:color w:val="auto"/>
        </w:rPr>
        <w:t>Transactions effected pursuant to a Rule 10b5-1 plan pre-approved by a Compliance Offer will not be subject to the Company’s trading windows. Rule 10b5-1 of the Exchange Act provides an affirmative defense from insider trading liability under the federal securities laws for trading plans that meet certain requirements. If a Twilio Covered Person intends to trade pursuant to a trading plan, arrangement or instruction that meets the requirements of Rule 10b5-1, such plan must meet the requirements established by the Company, which a Twilio Covered Person can obtain from a Compliance Officer.</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i w:val="1"/>
          <w:iCs w:val="1"/>
          <w:color w:val="auto"/>
        </w:rPr>
        <w:t>Certain Transactions Related to Employee Benefit Plans</w:t>
      </w:r>
    </w:p>
    <w:p>
      <w:pPr>
        <w:spacing w:after="0" w:line="258"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21"/>
          <w:szCs w:val="21"/>
          <w:u w:val="single" w:color="auto"/>
          <w:color w:val="auto"/>
        </w:rPr>
        <w:t>Exercise of Stock Options</w:t>
      </w:r>
      <w:r>
        <w:rPr>
          <w:rFonts w:ascii="Times New Roman" w:cs="Times New Roman" w:eastAsia="Times New Roman" w:hAnsi="Times New Roman"/>
          <w:sz w:val="21"/>
          <w:szCs w:val="21"/>
          <w:color w:val="auto"/>
        </w:rPr>
        <w:t>. The trading prohibitions and restrictions set forth in this Insider Trading Policy do not apply to the exercise of an option to purchase securities of the Company when payment of the exercise price is made in cash. However, the securities acquired</w:t>
      </w:r>
    </w:p>
    <w:p>
      <w:pPr>
        <w:sectPr>
          <w:pgSz w:w="11900" w:h="16838" w:orient="portrait"/>
          <w:cols w:equalWidth="0" w:num="1">
            <w:col w:w="10920"/>
          </w:cols>
          <w:pgMar w:left="440" w:top="846" w:right="539" w:bottom="1440" w:gutter="0" w:footer="0" w:header="0"/>
        </w:sectPr>
      </w:pPr>
    </w:p>
    <w:bookmarkStart w:id="126" w:name="page127"/>
    <w:bookmarkEnd w:id="126"/>
    <w:p>
      <w:pPr>
        <w:jc w:val="both"/>
        <w:spacing w:after="0" w:line="264" w:lineRule="auto"/>
        <w:rPr>
          <w:sz w:val="20"/>
          <w:szCs w:val="20"/>
          <w:color w:val="auto"/>
        </w:rPr>
      </w:pPr>
      <w:r>
        <w:rPr>
          <w:rFonts w:ascii="Times New Roman" w:cs="Times New Roman" w:eastAsia="Times New Roman" w:hAnsi="Times New Roman"/>
          <w:sz w:val="21"/>
          <w:szCs w:val="21"/>
          <w:color w:val="auto"/>
        </w:rPr>
        <w:t>upon the exercise of an option to purchase Company securities are subject to all of the requirements of this Insider Trading Policy. In addition, this Insider Trading Policy applies to the sale of outstanding Company securities to constitute part or all of the exercise price of an option, any exercise of a stock appreciation right, any sale of stock as part of a broker-assisted cashless exercise of an option, or any other market sale for the purpose of generating the cash needed to pay the exercise price of an option.</w:t>
      </w:r>
    </w:p>
    <w:p>
      <w:pPr>
        <w:spacing w:after="0" w:line="19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1"/>
          <w:szCs w:val="21"/>
          <w:u w:val="single" w:color="auto"/>
          <w:color w:val="auto"/>
        </w:rPr>
        <w:t>Tax Withholding on Restricted Stock/Units</w:t>
      </w:r>
      <w:r>
        <w:rPr>
          <w:rFonts w:ascii="Times New Roman" w:cs="Times New Roman" w:eastAsia="Times New Roman" w:hAnsi="Times New Roman"/>
          <w:sz w:val="21"/>
          <w:szCs w:val="21"/>
          <w:color w:val="auto"/>
        </w:rPr>
        <w:t>. The trading prohibitions and restrictions set forth in this Insider Trading Policy do not apply to the withholding by the Company of shares of stock, or the required sale of shares of stock, in either case, upon vesting of restricted stock or upon settlement of restricted stock units to satisfy applicable tax withholding requirements if: (a) such withholding or sale is required by the applicable plan or award agreement; (b) the election to withhold shares or require the sale of shares was made by the Company in its sole discretion; or (c) the election to have shares withheld or sell shares was made by the Twilio Covered Person in compliance with this Insider Trading Policy.</w:t>
      </w:r>
    </w:p>
    <w:p>
      <w:pPr>
        <w:spacing w:after="0" w:line="206"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u w:val="single" w:color="auto"/>
          <w:color w:val="auto"/>
        </w:rPr>
        <w:t>Employee Stock Purchase Plan</w:t>
      </w:r>
      <w:r>
        <w:rPr>
          <w:rFonts w:ascii="Times New Roman" w:cs="Times New Roman" w:eastAsia="Times New Roman" w:hAnsi="Times New Roman"/>
          <w:sz w:val="21"/>
          <w:szCs w:val="21"/>
          <w:color w:val="auto"/>
        </w:rPr>
        <w:t xml:space="preserve">. The trading prohibitions and restrictions set forth in this Insider Trading Policy do not apply to (a) periodic wage withholding contributions by the Company or employees of the Company that are used to purchase the Company’s securities pursuant to the employees’ advance instructions under any employee stock purchase plan of the Company, or (b) </w:t>
      </w:r>
      <w:r>
        <w:rPr>
          <w:rFonts w:ascii="Times New Roman" w:cs="Times New Roman" w:eastAsia="Times New Roman" w:hAnsi="Times New Roman"/>
          <w:sz w:val="21"/>
          <w:szCs w:val="21"/>
          <w:color w:val="222222"/>
        </w:rPr>
        <w:t>elections with respect to participation in any employee stock purchase plan of the Company or to purchases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22222"/>
        </w:rPr>
        <w:t xml:space="preserve">securities under such plan. However, </w:t>
      </w:r>
      <w:r>
        <w:rPr>
          <w:rFonts w:ascii="Times New Roman" w:cs="Times New Roman" w:eastAsia="Times New Roman" w:hAnsi="Times New Roman"/>
          <w:sz w:val="21"/>
          <w:szCs w:val="21"/>
          <w:color w:val="000000"/>
        </w:rPr>
        <w:t>any sale of securities acquired under such plan is subject to the prohibitions and</w:t>
      </w:r>
      <w:r>
        <w:rPr>
          <w:rFonts w:ascii="Times New Roman" w:cs="Times New Roman" w:eastAsia="Times New Roman" w:hAnsi="Times New Roman"/>
          <w:sz w:val="21"/>
          <w:szCs w:val="21"/>
          <w:color w:val="222222"/>
        </w:rPr>
        <w:t xml:space="preserve"> </w:t>
      </w:r>
      <w:r>
        <w:rPr>
          <w:rFonts w:ascii="Times New Roman" w:cs="Times New Roman" w:eastAsia="Times New Roman" w:hAnsi="Times New Roman"/>
          <w:sz w:val="21"/>
          <w:szCs w:val="21"/>
          <w:color w:val="000000"/>
        </w:rPr>
        <w:t>restrictions of this Insider Trading Policy.</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i w:val="1"/>
          <w:iCs w:val="1"/>
          <w:color w:val="auto"/>
        </w:rPr>
        <w:t>Laws of Descent or Change in Form of Ownership</w:t>
      </w:r>
    </w:p>
    <w:p>
      <w:pPr>
        <w:spacing w:after="0" w:line="258"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21"/>
          <w:szCs w:val="21"/>
          <w:color w:val="auto"/>
        </w:rPr>
        <w:t>The trading prohibitions and restrictions set forth in this Insider Trading Policy do not apply to transfers by will or the laws of descent or distribution and, provided that prior written notice is provided to a Compliance Officer, distributions or transfers (such as certain tax planning or estate planning transfers) that effect only a change in the form of Twilio Covered Person’s beneficial interest without changing such Twilio Covered Person’s pecuniary interest in the Company’s securities.</w:t>
      </w:r>
    </w:p>
    <w:p>
      <w:pPr>
        <w:spacing w:after="0" w:line="200" w:lineRule="exact"/>
        <w:rPr>
          <w:sz w:val="20"/>
          <w:szCs w:val="20"/>
          <w:color w:val="auto"/>
        </w:rPr>
      </w:pPr>
    </w:p>
    <w:p>
      <w:pPr>
        <w:spacing w:after="0" w:line="264" w:lineRule="exact"/>
        <w:rPr>
          <w:sz w:val="20"/>
          <w:szCs w:val="20"/>
          <w:color w:val="auto"/>
        </w:rPr>
      </w:pPr>
    </w:p>
    <w:p>
      <w:pPr>
        <w:ind w:left="640" w:hanging="639"/>
        <w:spacing w:after="0"/>
        <w:tabs>
          <w:tab w:leader="none" w:pos="640"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Are there any Restrictions on the Use of Social Media, Internet Chat Rooms or Websites?</w:t>
      </w:r>
    </w:p>
    <w:p>
      <w:pPr>
        <w:spacing w:after="0" w:line="283"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21"/>
          <w:szCs w:val="21"/>
          <w:color w:val="auto"/>
        </w:rPr>
        <w:t>While the Company encourages its stockholders and potential investors to obtain as much information as possible about the Company, the Company believes that information should come from its publicly-filed SEC reports, press releases and external website or from a designated Company spokesperson, rather than from speculation or unauthorized disclosures by others. For this reason, the Company has designated certain members of management to respond to inquiries regarding the Company’s business and prospects. This centralization of communication is designed to ensure that the information the Company discloses is accurate and considered in light of previous disclosures. Formal announcements are generally reviewed by management and legal counsel before they are made public. Any communications that do not go through this review process create an increased risk to the Company, as well as to the individual responsible for the communication, of civil and criminal liability.</w:t>
      </w:r>
    </w:p>
    <w:p>
      <w:pPr>
        <w:spacing w:after="0" w:line="199" w:lineRule="exact"/>
        <w:rPr>
          <w:sz w:val="20"/>
          <w:szCs w:val="20"/>
          <w:color w:val="auto"/>
        </w:rPr>
      </w:pPr>
    </w:p>
    <w:p>
      <w:pPr>
        <w:jc w:val="both"/>
        <w:ind w:firstLine="640"/>
        <w:spacing w:after="0" w:line="301" w:lineRule="auto"/>
        <w:rPr>
          <w:sz w:val="20"/>
          <w:szCs w:val="20"/>
          <w:color w:val="auto"/>
        </w:rPr>
      </w:pPr>
      <w:r>
        <w:rPr>
          <w:rFonts w:ascii="Times New Roman" w:cs="Times New Roman" w:eastAsia="Times New Roman" w:hAnsi="Times New Roman"/>
          <w:sz w:val="21"/>
          <w:szCs w:val="21"/>
          <w:color w:val="auto"/>
        </w:rPr>
        <w:t>In addition, with the advent of the Internet, and the emergence of social media and chat rooms, electronic discussions about companies and their business prospects have become</w:t>
      </w:r>
    </w:p>
    <w:p>
      <w:pPr>
        <w:sectPr>
          <w:pgSz w:w="11900" w:h="16838" w:orient="portrait"/>
          <w:cols w:equalWidth="0" w:num="1">
            <w:col w:w="10920"/>
          </w:cols>
          <w:pgMar w:left="440" w:top="672" w:right="539" w:bottom="1440" w:gutter="0" w:footer="0" w:header="0"/>
        </w:sectPr>
      </w:pPr>
    </w:p>
    <w:bookmarkStart w:id="127" w:name="page128"/>
    <w:bookmarkEnd w:id="127"/>
    <w:p>
      <w:pPr>
        <w:jc w:val="both"/>
        <w:spacing w:after="0" w:line="260" w:lineRule="auto"/>
        <w:rPr>
          <w:sz w:val="20"/>
          <w:szCs w:val="20"/>
          <w:color w:val="auto"/>
        </w:rPr>
      </w:pPr>
      <w:r>
        <w:rPr>
          <w:rFonts w:ascii="Times New Roman" w:cs="Times New Roman" w:eastAsia="Times New Roman" w:hAnsi="Times New Roman"/>
          <w:sz w:val="21"/>
          <w:szCs w:val="21"/>
          <w:color w:val="auto"/>
        </w:rPr>
        <w:t>common. Inappropriate communications disseminated on the Internet may pose an inherently greater risk due to the size of the audience they can reach. These forums have the potential to move a stock price significantly, and very rapidly – even though the information disseminated through social media and chat rooms often is unreliable, and in some cases, may be deliberately false. The SEC has investigated and prosecuted a number of fraudulent schemes involving social media and chat rooms. You may encounter information about the Company on the Internet that you believe is harmful or inaccurate, or other information that you believe is true or beneficial for the Company. Although you may have a natural tendency to deny or confirm such information on social media or in a chat room, any sort of response, even if it presents accurate information, could be considered improper disclosure and could result in legal liability to you and/or to the Company.</w:t>
      </w:r>
    </w:p>
    <w:p>
      <w:pPr>
        <w:spacing w:after="0" w:line="20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21"/>
          <w:szCs w:val="21"/>
          <w:color w:val="auto"/>
        </w:rPr>
        <w:t>The Company is committed to preventing inadvertent disclosures of material nonpublic information, preventing unwitting participation in Internet-based securities fraud, and avoiding the appearance of impropriety by persons associated with the Company. Accordingly, this Insider Trading Policy prohibits Twilio Covered Persons from discussing material nonpublic information about the Company with anyone, including other Twilio Covered Persons, except as required in the performance of your duties. No Twilio Covered Person should, under any circumstances, provide information or discuss matters involving the Company with the news media, any broker- dealer, analyst, investment banker, investment advisor, institutional investment manager, investment company or stockholder, even if they are contacted directly by such persons, without express prior authorization. This restriction applies whether or not a Twilio Covered Person identifies himself or herself as associated with the Company. All such contact or inquiries should be referred to Twilio Inc., 101 Spear Street, Fifth Floor, San Francisco, CA 94105, Attn: Investor Relations or IR@twilio.com.</w:t>
      </w:r>
    </w:p>
    <w:p>
      <w:pPr>
        <w:sectPr>
          <w:pgSz w:w="11900" w:h="16838" w:orient="portrait"/>
          <w:cols w:equalWidth="0" w:num="1">
            <w:col w:w="10920"/>
          </w:cols>
          <w:pgMar w:left="440" w:top="673" w:right="539" w:bottom="1440" w:gutter="0" w:footer="0" w:header="0"/>
        </w:sectPr>
      </w:pPr>
    </w:p>
    <w:bookmarkStart w:id="128" w:name="page129"/>
    <w:bookmarkEnd w:id="128"/>
    <w:p>
      <w:pPr>
        <w:jc w:val="both"/>
        <w:ind w:firstLine="640"/>
        <w:spacing w:after="0" w:line="262" w:lineRule="auto"/>
        <w:rPr>
          <w:sz w:val="20"/>
          <w:szCs w:val="20"/>
          <w:color w:val="auto"/>
        </w:rPr>
      </w:pPr>
      <w:r>
        <w:rPr>
          <w:rFonts w:ascii="Times New Roman" w:cs="Times New Roman" w:eastAsia="Times New Roman" w:hAnsi="Times New Roman"/>
          <w:sz w:val="21"/>
          <w:szCs w:val="21"/>
          <w:color w:val="auto"/>
        </w:rPr>
        <w:t>This Insider Trading Policy also prohibits Twilio Covered Persons from making any comments or postings about material nonpublic information about the Company on any social media, chat rooms or websites, or responding to comments or postings about the Company’s business made by others. This restriction applies whether or not the Twilio Covered Person identifies himself or herself as associated with the Company. Sharing or posting links to or “re- tweeting” Company news announcements about material nonpublic information about the Company is permitted so long as the news announcement has already been posted to the Company’s public website (or has otherwise been publicly disclosed by the Company) or otherwise approved by a Compliance Officer and is not accompanied by commentary prohibited by this Insider Trading Policy.</w:t>
      </w:r>
    </w:p>
    <w:p>
      <w:pPr>
        <w:spacing w:after="0" w:line="17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What are the Penalties for Insider Trading and Noncompliance with this Insider Trading Policy?</w:t>
      </w:r>
    </w:p>
    <w:p>
      <w:pPr>
        <w:spacing w:after="0" w:line="27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1"/>
          <w:szCs w:val="21"/>
          <w:color w:val="auto"/>
        </w:rPr>
        <w:t>Both the SEC and the national securities exchanges, through the Financial Industry Regulatory Authority (FINRA), investigate and are very effective at detecting insider trading. The SEC, together with the U.S. Attorney’s Office, pursue insider trading violations vigorously. For instance, cases have been successfully prosecuted against trading by employees in foreign accounts, trading by family members and friends, and trading involving only a small number of shares.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penalties for violating insider trading or tipping rules can be severe and include:</w:t>
      </w:r>
    </w:p>
    <w:p>
      <w:pPr>
        <w:spacing w:after="0" w:line="266" w:lineRule="exact"/>
        <w:rPr>
          <w:sz w:val="20"/>
          <w:szCs w:val="20"/>
          <w:color w:val="auto"/>
        </w:rPr>
      </w:pPr>
    </w:p>
    <w:p>
      <w:pPr>
        <w:ind w:left="940" w:hanging="299"/>
        <w:spacing w:after="0"/>
        <w:tabs>
          <w:tab w:leader="none" w:pos="9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disgorgement of the profit gained or loss avoided by the trading;</w:t>
      </w:r>
    </w:p>
    <w:p>
      <w:pPr>
        <w:spacing w:after="0" w:line="118" w:lineRule="exact"/>
        <w:rPr>
          <w:rFonts w:ascii="Times New Roman" w:cs="Times New Roman" w:eastAsia="Times New Roman" w:hAnsi="Times New Roman"/>
          <w:sz w:val="18"/>
          <w:szCs w:val="18"/>
          <w:color w:val="auto"/>
        </w:rPr>
      </w:pPr>
    </w:p>
    <w:p>
      <w:pPr>
        <w:ind w:left="960" w:right="120" w:hanging="322"/>
        <w:spacing w:after="0" w:line="288" w:lineRule="auto"/>
        <w:tabs>
          <w:tab w:leader="none" w:pos="9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payment of the loss suffered by the persons who, contemporaneously with the purchase or sale of securities that are subject of such violation, have purchased or sold, as applicable, securities of the same class;</w:t>
      </w:r>
    </w:p>
    <w:p>
      <w:pPr>
        <w:spacing w:after="0" w:line="34"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payment of criminal penalties of up to $5,000,000;</w:t>
      </w:r>
    </w:p>
    <w:p>
      <w:pPr>
        <w:spacing w:after="0" w:line="11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payment of civil penalties of up to three times the profit made or loss avoided; and</w:t>
      </w:r>
    </w:p>
    <w:p>
      <w:pPr>
        <w:spacing w:after="0" w:line="132"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imprisonment for up to 20 years.</w:t>
      </w:r>
    </w:p>
    <w:p>
      <w:pPr>
        <w:spacing w:after="0" w:line="252"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The Company and/or the supervisors of the person engaged in insider trading may also be required to pay civil penalties as well as criminal penalties, and could under certain circumstances be subject to private lawsuits.</w:t>
      </w:r>
    </w:p>
    <w:p>
      <w:pPr>
        <w:spacing w:after="0" w:line="181"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color w:val="auto"/>
        </w:rPr>
        <w:t>Violation of this Insider Trading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ectPr>
          <w:pgSz w:w="11900" w:h="16838" w:orient="portrait"/>
          <w:cols w:equalWidth="0" w:num="1">
            <w:col w:w="10920"/>
          </w:cols>
          <w:pgMar w:left="440" w:top="726" w:right="539" w:bottom="1440" w:gutter="0" w:footer="0" w:header="0"/>
        </w:sectPr>
      </w:pPr>
    </w:p>
    <w:bookmarkStart w:id="129" w:name="page130"/>
    <w:bookmarkEnd w:id="129"/>
    <w:p>
      <w:pPr>
        <w:ind w:left="600" w:hanging="599"/>
        <w:spacing w:after="0"/>
        <w:tabs>
          <w:tab w:leader="none" w:pos="60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Does the Company have any Other Policies Regarding Confidential Information?</w:t>
      </w:r>
    </w:p>
    <w:p>
      <w:pPr>
        <w:spacing w:after="0" w:line="270"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The Company also has strict policies relating to safeguarding the confidentiality of its internal, proprietary information. These policies include procedures regarding identifying, marking and safeguarding confidential information and employee confidentiality agreements. You should comply with these policies at all times.</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w:t>
        <w:tab/>
        <w:t>How Do You Report a Violation of this Insider Trading Policy?</w:t>
      </w:r>
    </w:p>
    <w:p>
      <w:pPr>
        <w:spacing w:after="0" w:line="270"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color w:val="auto"/>
        </w:rPr>
        <w:t>If you violate this Insider Trading Policy or any federal or state laws governing insider trading, or know of any such violation by any other Twilio Covered Person, you must report the violation immediately to the Compliance Officers. However, if the conduct in question involves a Compliance Officer, if you have reported such conduct to a Compliance Officer and do not believe that they dealt with it properly, or if you do not feel that you can discuss the matter with one of the Compliance Officers, you may raise the matter with the Company’s Chief Financial Officer, c/o Twilio Inc. 101 Spear Street, Fifth Floor, San Francisco, CA 94105 or via email.</w:t>
      </w:r>
    </w:p>
    <w:p>
      <w:pPr>
        <w:spacing w:after="0" w:line="20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VII.</w:t>
        <w:tab/>
        <w:t>Is This Insider Trading Policy Subject to Modification?</w:t>
      </w:r>
    </w:p>
    <w:p>
      <w:pPr>
        <w:spacing w:after="0" w:line="256"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color w:val="auto"/>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delivered to you by regular or electronic mail (or other delivery option) by the Company. You will be deemed to have received, agreed to and become bound by revisions of this Insider Trading Policy when such revisions have been delivered to you, unless you object to any revision in a written statement received by the Compliance Officers, within two business days of such delivery.</w:t>
      </w:r>
    </w:p>
    <w:p>
      <w:pPr>
        <w:spacing w:after="0" w:line="208"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VIII.</w:t>
        <w:tab/>
        <w:t>Waivers</w:t>
      </w:r>
    </w:p>
    <w:p>
      <w:pPr>
        <w:spacing w:after="0" w:line="256" w:lineRule="exact"/>
        <w:rPr>
          <w:sz w:val="20"/>
          <w:szCs w:val="20"/>
          <w:color w:val="auto"/>
        </w:rPr>
      </w:pPr>
    </w:p>
    <w:p>
      <w:pPr>
        <w:jc w:val="both"/>
        <w:ind w:left="20" w:firstLine="641"/>
        <w:spacing w:after="0" w:line="270" w:lineRule="auto"/>
        <w:rPr>
          <w:sz w:val="20"/>
          <w:szCs w:val="20"/>
          <w:color w:val="auto"/>
        </w:rPr>
      </w:pPr>
      <w:r>
        <w:rPr>
          <w:rFonts w:ascii="Times New Roman" w:cs="Times New Roman" w:eastAsia="Times New Roman" w:hAnsi="Times New Roman"/>
          <w:sz w:val="21"/>
          <w:szCs w:val="21"/>
          <w:color w:val="auto"/>
        </w:rPr>
        <w:t>A waiver of any provision of this Insider Trading Policy in a specific instance may be authorized in writing by one of the Compliance Officers, the designee of a Compliance Officer or the Chair of the Audit Committee of the Board of Directors, and any such waiver shall be reported to the Company’s Board of Directors.</w:t>
      </w:r>
    </w:p>
    <w:p>
      <w:pPr>
        <w:spacing w:after="0" w:line="195"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IX.</w:t>
      </w:r>
      <w:r>
        <w:rPr>
          <w:sz w:val="20"/>
          <w:szCs w:val="20"/>
          <w:color w:val="auto"/>
        </w:rPr>
        <w:tab/>
      </w:r>
      <w:r>
        <w:rPr>
          <w:rFonts w:ascii="Times New Roman" w:cs="Times New Roman" w:eastAsia="Times New Roman" w:hAnsi="Times New Roman"/>
          <w:sz w:val="21"/>
          <w:szCs w:val="21"/>
          <w:b w:val="1"/>
          <w:bCs w:val="1"/>
          <w:color w:val="auto"/>
        </w:rPr>
        <w:t>Acknowledgment</w:t>
      </w:r>
    </w:p>
    <w:p>
      <w:pPr>
        <w:spacing w:after="0" w:line="256" w:lineRule="exact"/>
        <w:rPr>
          <w:sz w:val="20"/>
          <w:szCs w:val="20"/>
          <w:color w:val="auto"/>
        </w:rPr>
      </w:pPr>
    </w:p>
    <w:p>
      <w:pPr>
        <w:jc w:val="both"/>
        <w:ind w:left="20" w:firstLine="641"/>
        <w:spacing w:after="0" w:line="261" w:lineRule="auto"/>
        <w:rPr>
          <w:sz w:val="20"/>
          <w:szCs w:val="20"/>
          <w:color w:val="auto"/>
        </w:rPr>
      </w:pPr>
      <w:r>
        <w:rPr>
          <w:rFonts w:ascii="Times New Roman" w:cs="Times New Roman" w:eastAsia="Times New Roman" w:hAnsi="Times New Roman"/>
          <w:sz w:val="21"/>
          <w:szCs w:val="21"/>
          <w:color w:val="auto"/>
        </w:rPr>
        <w:t>This Insider Trading Policy will be delivered to all current Twilio Covered Persons and to all new Twilio Covered Persons at the start of their employment or relationship with the Company. Upon first receiving a copy of this Insider Trading Policy, each Twilio Covered Person must acknowledge that such Covered Person has received a copy and agrees to comply with the terms of this Insider Trading Policy. The acknowledgment should be returned in the manner provided for in the notice accompanying the delivery of this Insider Trading Policy or, alternatively, by delivering the acknowledgement attached to this Insider Trading Policy within ten days of receipt to:</w:t>
      </w:r>
    </w:p>
    <w:p>
      <w:pPr>
        <w:spacing w:after="0" w:line="2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1"/>
          <w:szCs w:val="21"/>
          <w:color w:val="auto"/>
        </w:rPr>
        <w:t>Twilio Inc.</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1"/>
          <w:szCs w:val="21"/>
          <w:color w:val="auto"/>
        </w:rPr>
        <w:t>101 Spear Street</w:t>
      </w:r>
    </w:p>
    <w:p>
      <w:pPr>
        <w:sectPr>
          <w:pgSz w:w="11900" w:h="16838" w:orient="portrait"/>
          <w:cols w:equalWidth="0" w:num="1">
            <w:col w:w="10920"/>
          </w:cols>
          <w:pgMar w:left="440" w:top="722" w:right="539" w:bottom="1440" w:gutter="0" w:footer="0" w:header="0"/>
        </w:sectPr>
      </w:pPr>
    </w:p>
    <w:bookmarkStart w:id="130" w:name="page131"/>
    <w:bookmarkEnd w:id="130"/>
    <w:p>
      <w:pPr>
        <w:ind w:left="1340"/>
        <w:spacing w:after="0"/>
        <w:rPr>
          <w:sz w:val="20"/>
          <w:szCs w:val="20"/>
          <w:color w:val="auto"/>
        </w:rPr>
      </w:pPr>
      <w:r>
        <w:rPr>
          <w:rFonts w:ascii="Times New Roman" w:cs="Times New Roman" w:eastAsia="Times New Roman" w:hAnsi="Times New Roman"/>
          <w:sz w:val="21"/>
          <w:szCs w:val="21"/>
          <w:color w:val="auto"/>
        </w:rPr>
        <w:t>Fifth Floor</w:t>
      </w:r>
    </w:p>
    <w:p>
      <w:pPr>
        <w:ind w:left="1340"/>
        <w:spacing w:after="0" w:line="221" w:lineRule="auto"/>
        <w:rPr>
          <w:sz w:val="20"/>
          <w:szCs w:val="20"/>
          <w:color w:val="auto"/>
        </w:rPr>
      </w:pPr>
      <w:r>
        <w:rPr>
          <w:rFonts w:ascii="Times New Roman" w:cs="Times New Roman" w:eastAsia="Times New Roman" w:hAnsi="Times New Roman"/>
          <w:sz w:val="21"/>
          <w:szCs w:val="21"/>
          <w:color w:val="auto"/>
        </w:rPr>
        <w:t>San Francisco, CA 94105</w:t>
      </w:r>
    </w:p>
    <w:p>
      <w:pPr>
        <w:ind w:left="1340"/>
        <w:spacing w:after="0" w:line="212" w:lineRule="auto"/>
        <w:rPr>
          <w:sz w:val="20"/>
          <w:szCs w:val="20"/>
          <w:color w:val="auto"/>
        </w:rPr>
      </w:pPr>
      <w:r>
        <w:rPr>
          <w:rFonts w:ascii="Times New Roman" w:cs="Times New Roman" w:eastAsia="Times New Roman" w:hAnsi="Times New Roman"/>
          <w:sz w:val="21"/>
          <w:szCs w:val="21"/>
          <w:color w:val="auto"/>
        </w:rPr>
        <w:t>insidertrading@twilio.com</w:t>
      </w:r>
    </w:p>
    <w:p>
      <w:pPr>
        <w:ind w:left="1340"/>
        <w:spacing w:after="0" w:line="212" w:lineRule="auto"/>
        <w:rPr>
          <w:sz w:val="20"/>
          <w:szCs w:val="20"/>
          <w:color w:val="auto"/>
        </w:rPr>
      </w:pPr>
      <w:r>
        <w:rPr>
          <w:rFonts w:ascii="Times New Roman" w:cs="Times New Roman" w:eastAsia="Times New Roman" w:hAnsi="Times New Roman"/>
          <w:sz w:val="21"/>
          <w:szCs w:val="21"/>
          <w:color w:val="auto"/>
        </w:rPr>
        <w:t>Attn: Chief Legal Officer</w:t>
      </w:r>
    </w:p>
    <w:p>
      <w:pPr>
        <w:ind w:left="1840"/>
        <w:spacing w:after="0" w:line="212" w:lineRule="auto"/>
        <w:rPr>
          <w:sz w:val="20"/>
          <w:szCs w:val="20"/>
          <w:color w:val="auto"/>
        </w:rPr>
      </w:pPr>
      <w:r>
        <w:rPr>
          <w:rFonts w:ascii="Times New Roman" w:cs="Times New Roman" w:eastAsia="Times New Roman" w:hAnsi="Times New Roman"/>
          <w:sz w:val="21"/>
          <w:szCs w:val="21"/>
          <w:color w:val="auto"/>
        </w:rPr>
        <w:t>VP of Ethics, Corporate Compliance and Risk Management</w:t>
      </w:r>
    </w:p>
    <w:p>
      <w:pPr>
        <w:spacing w:after="0" w:line="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1"/>
          <w:szCs w:val="21"/>
          <w:color w:val="auto"/>
        </w:rPr>
        <w:t>VP of Legal, Corporate</w:t>
      </w:r>
    </w:p>
    <w:p>
      <w:pPr>
        <w:spacing w:after="0" w:line="215" w:lineRule="exact"/>
        <w:rPr>
          <w:sz w:val="20"/>
          <w:szCs w:val="20"/>
          <w:color w:val="auto"/>
        </w:rPr>
      </w:pPr>
    </w:p>
    <w:p>
      <w:pPr>
        <w:jc w:val="both"/>
        <w:ind w:left="20" w:right="20" w:firstLine="641"/>
        <w:spacing w:after="0" w:line="288" w:lineRule="auto"/>
        <w:rPr>
          <w:sz w:val="20"/>
          <w:szCs w:val="20"/>
          <w:color w:val="auto"/>
        </w:rPr>
      </w:pPr>
      <w:r>
        <w:rPr>
          <w:rFonts w:ascii="Times New Roman" w:cs="Times New Roman" w:eastAsia="Times New Roman" w:hAnsi="Times New Roman"/>
          <w:sz w:val="21"/>
          <w:szCs w:val="21"/>
          <w:color w:val="auto"/>
        </w:rPr>
        <w:t>The acknowledgment will constitute consent for the Company to impose sanctions for violation of this Insider Trading Policy, and to issue any necessary stop-transfer orders to the Company’s transfer agent to ensure compliance.</w:t>
      </w:r>
    </w:p>
    <w:p>
      <w:pPr>
        <w:spacing w:after="0" w:line="168" w:lineRule="exact"/>
        <w:rPr>
          <w:sz w:val="20"/>
          <w:szCs w:val="20"/>
          <w:color w:val="auto"/>
        </w:rPr>
      </w:pPr>
    </w:p>
    <w:p>
      <w:pPr>
        <w:jc w:val="both"/>
        <w:ind w:left="20" w:firstLine="641"/>
        <w:spacing w:after="0" w:line="261" w:lineRule="auto"/>
        <w:rPr>
          <w:sz w:val="20"/>
          <w:szCs w:val="20"/>
          <w:color w:val="auto"/>
        </w:rPr>
      </w:pPr>
      <w:r>
        <w:rPr>
          <w:rFonts w:ascii="Times New Roman" w:cs="Times New Roman" w:eastAsia="Times New Roman" w:hAnsi="Times New Roman"/>
          <w:sz w:val="21"/>
          <w:szCs w:val="21"/>
          <w:color w:val="auto"/>
        </w:rPr>
        <w:t>Twilio Covered Persons will be required upon the Company’s request to re-acknowledge and agree to comply with this Insider Trading Policy (including any amendments or modifications). For this purpose, a Twilio Covered Person will be deemed to have acknowledged and agreed to comply with this Insider Trading Policy when copies of such items have been delivered to the Twilio Covered Person by regular or electronic mail (or other delivery option used by the Company) by the Compliance Officers or their designee, unless the Twilio Covered Person objects in a written statement received by one of the Compliance Officers within two business days of such delivery.</w:t>
      </w:r>
    </w:p>
    <w:p>
      <w:pPr>
        <w:spacing w:after="0" w:line="248" w:lineRule="exact"/>
        <w:rPr>
          <w:sz w:val="20"/>
          <w:szCs w:val="20"/>
          <w:color w:val="auto"/>
        </w:rPr>
      </w:pPr>
    </w:p>
    <w:p>
      <w:pPr>
        <w:ind w:left="20" w:right="420" w:firstLine="641"/>
        <w:spacing w:after="0" w:line="265" w:lineRule="auto"/>
        <w:rPr>
          <w:sz w:val="20"/>
          <w:szCs w:val="20"/>
          <w:color w:val="auto"/>
        </w:rPr>
      </w:pPr>
      <w:r>
        <w:rPr>
          <w:rFonts w:ascii="Times New Roman" w:cs="Times New Roman" w:eastAsia="Times New Roman" w:hAnsi="Times New Roman"/>
          <w:sz w:val="21"/>
          <w:szCs w:val="21"/>
          <w:b w:val="1"/>
          <w:bCs w:val="1"/>
          <w:color w:val="auto"/>
        </w:rPr>
        <w:t>Failure to observe this Insider Trading Policy could lead to significant legal problems, including fines and/or imprisonment, and could have other serious consequences, including the termination of employment or service relationship with the Company.</w:t>
      </w:r>
    </w:p>
    <w:p>
      <w:pPr>
        <w:spacing w:after="0" w:line="205" w:lineRule="exact"/>
        <w:rPr>
          <w:sz w:val="20"/>
          <w:szCs w:val="20"/>
          <w:color w:val="auto"/>
        </w:rPr>
      </w:pPr>
    </w:p>
    <w:p>
      <w:pPr>
        <w:ind w:right="2860"/>
        <w:spacing w:after="0" w:line="288" w:lineRule="auto"/>
        <w:rPr>
          <w:sz w:val="20"/>
          <w:szCs w:val="20"/>
          <w:color w:val="auto"/>
        </w:rPr>
      </w:pPr>
      <w:r>
        <w:rPr>
          <w:rFonts w:ascii="Times New Roman" w:cs="Times New Roman" w:eastAsia="Times New Roman" w:hAnsi="Times New Roman"/>
          <w:sz w:val="21"/>
          <w:szCs w:val="21"/>
          <w:color w:val="auto"/>
        </w:rPr>
        <w:t>ADOPTED: January 25, 2016, as amended June 12, 2017, June 14, 2018, December 15, 2021, March 28, 2023, and December 18, 2024.</w:t>
      </w:r>
    </w:p>
    <w:p>
      <w:pPr>
        <w:sectPr>
          <w:pgSz w:w="11900" w:h="16838" w:orient="portrait"/>
          <w:cols w:equalWidth="0" w:num="1">
            <w:col w:w="10920"/>
          </w:cols>
          <w:pgMar w:left="440" w:top="1420" w:right="5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TWILIO INC.</w:t>
      </w: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SPECIAL TRADING PROCEDURES FOR DESIGNATED PERSONS</w:t>
      </w:r>
    </w:p>
    <w:p>
      <w:pPr>
        <w:spacing w:after="0" w:line="226" w:lineRule="exact"/>
        <w:rPr>
          <w:sz w:val="20"/>
          <w:szCs w:val="20"/>
          <w:color w:val="auto"/>
        </w:rPr>
      </w:pPr>
    </w:p>
    <w:p>
      <w:pPr>
        <w:jc w:val="both"/>
        <w:ind w:right="200" w:firstLine="640"/>
        <w:spacing w:after="0" w:line="265" w:lineRule="auto"/>
        <w:rPr>
          <w:sz w:val="20"/>
          <w:szCs w:val="20"/>
          <w:color w:val="auto"/>
        </w:rPr>
      </w:pPr>
      <w:r>
        <w:rPr>
          <w:rFonts w:ascii="Times New Roman" w:cs="Times New Roman" w:eastAsia="Times New Roman" w:hAnsi="Times New Roman"/>
          <w:sz w:val="21"/>
          <w:szCs w:val="21"/>
          <w:color w:val="auto"/>
        </w:rPr>
        <w:t>To comply with federal and state securities laws governing insider trading, Twilio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adopted these Special Trading Procedures for Designated Persons (“</w:t>
      </w:r>
      <w:r>
        <w:rPr>
          <w:rFonts w:ascii="Times New Roman" w:cs="Times New Roman" w:eastAsia="Times New Roman" w:hAnsi="Times New Roman"/>
          <w:sz w:val="21"/>
          <w:szCs w:val="21"/>
          <w:b w:val="1"/>
          <w:bCs w:val="1"/>
          <w:color w:val="auto"/>
        </w:rPr>
        <w:t>Trading Procedures</w:t>
      </w:r>
      <w:r>
        <w:rPr>
          <w:rFonts w:ascii="Times New Roman" w:cs="Times New Roman" w:eastAsia="Times New Roman" w:hAnsi="Times New Roman"/>
          <w:sz w:val="21"/>
          <w:szCs w:val="21"/>
          <w:color w:val="auto"/>
        </w:rPr>
        <w:t>”) as an addendum to the Company’s Amended and Restated Policy on Insider Trading and Disclosure (the “</w:t>
      </w:r>
      <w:r>
        <w:rPr>
          <w:rFonts w:ascii="Times New Roman" w:cs="Times New Roman" w:eastAsia="Times New Roman" w:hAnsi="Times New Roman"/>
          <w:sz w:val="21"/>
          <w:szCs w:val="21"/>
          <w:b w:val="1"/>
          <w:bCs w:val="1"/>
          <w:color w:val="auto"/>
        </w:rPr>
        <w:t>Insider Trading Policy</w:t>
      </w:r>
      <w:r>
        <w:rPr>
          <w:rFonts w:ascii="Times New Roman" w:cs="Times New Roman" w:eastAsia="Times New Roman" w:hAnsi="Times New Roman"/>
          <w:sz w:val="21"/>
          <w:szCs w:val="21"/>
          <w:color w:val="auto"/>
        </w:rPr>
        <w:t>”). These Trading Procedures are in addition to and supplement the Insider Trading Policy. Capitalized terms used in these Trading Procedures and not defined herein have the meaning set forth in the Insider Trading Policy.</w:t>
      </w:r>
    </w:p>
    <w:p>
      <w:pPr>
        <w:spacing w:after="0" w:line="161" w:lineRule="exact"/>
        <w:rPr>
          <w:sz w:val="20"/>
          <w:szCs w:val="20"/>
          <w:color w:val="auto"/>
        </w:rPr>
      </w:pPr>
    </w:p>
    <w:p>
      <w:pPr>
        <w:ind w:left="640" w:hanging="635"/>
        <w:spacing w:after="0"/>
        <w:tabs>
          <w:tab w:leader="none" w:pos="64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SCOPE</w:t>
      </w:r>
    </w:p>
    <w:p>
      <w:pPr>
        <w:spacing w:after="0" w:line="230" w:lineRule="exact"/>
        <w:rPr>
          <w:sz w:val="20"/>
          <w:szCs w:val="20"/>
          <w:color w:val="auto"/>
        </w:rPr>
      </w:pPr>
    </w:p>
    <w:p>
      <w:pPr>
        <w:jc w:val="both"/>
        <w:ind w:right="200" w:firstLine="640"/>
        <w:spacing w:after="0" w:line="258" w:lineRule="auto"/>
        <w:rPr>
          <w:sz w:val="20"/>
          <w:szCs w:val="20"/>
          <w:color w:val="auto"/>
        </w:rPr>
      </w:pPr>
      <w:r>
        <w:rPr>
          <w:rFonts w:ascii="Times New Roman" w:cs="Times New Roman" w:eastAsia="Times New Roman" w:hAnsi="Times New Roman"/>
          <w:sz w:val="21"/>
          <w:szCs w:val="21"/>
          <w:color w:val="auto"/>
        </w:rPr>
        <w:t>These Trading Procedures regulate securities trades by all directors and executive officers of the Company and certain designated employees, consultants, and contractors of the Company who in the ordinary course of the performance of their duties have access to material, nonpublic information regarding the Company (collectively, these persons are referred to as “</w:t>
      </w:r>
      <w:r>
        <w:rPr>
          <w:rFonts w:ascii="Times New Roman" w:cs="Times New Roman" w:eastAsia="Times New Roman" w:hAnsi="Times New Roman"/>
          <w:sz w:val="21"/>
          <w:szCs w:val="21"/>
          <w:b w:val="1"/>
          <w:bCs w:val="1"/>
          <w:color w:val="auto"/>
        </w:rPr>
        <w:t>Designated Persons</w:t>
      </w:r>
      <w:r>
        <w:rPr>
          <w:rFonts w:ascii="Times New Roman" w:cs="Times New Roman" w:eastAsia="Times New Roman" w:hAnsi="Times New Roman"/>
          <w:sz w:val="21"/>
          <w:szCs w:val="21"/>
          <w:color w:val="auto"/>
        </w:rPr>
        <w:t xml:space="preserve">”). Designated Persons subject to special trading restrictions will be informed by a Compliance Officer that they are listed on the covered persons list maintained by the Compliance Officers. These Trading Procedures also apply to all Covered Affiliates (as that term is defined in the Insider Trading Policy) of Designated Persons;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these Trading Procedures shall not apply to a Covered Affiliate that is an entity that engages in the investment of securities in the ordinary course of its business (e.g., an investment fund or partnership) if such entity has established its own insider trading controls and procedures in compliance with applicable securities laws.</w:t>
      </w:r>
    </w:p>
    <w:p>
      <w:pPr>
        <w:spacing w:after="0" w:line="172" w:lineRule="exact"/>
        <w:rPr>
          <w:sz w:val="20"/>
          <w:szCs w:val="20"/>
          <w:color w:val="auto"/>
        </w:rPr>
      </w:pPr>
    </w:p>
    <w:p>
      <w:pPr>
        <w:jc w:val="both"/>
        <w:ind w:right="200" w:firstLine="640"/>
        <w:spacing w:after="0" w:line="270" w:lineRule="auto"/>
        <w:rPr>
          <w:sz w:val="20"/>
          <w:szCs w:val="20"/>
          <w:color w:val="auto"/>
        </w:rPr>
      </w:pPr>
      <w:r>
        <w:rPr>
          <w:rFonts w:ascii="Times New Roman" w:cs="Times New Roman" w:eastAsia="Times New Roman" w:hAnsi="Times New Roman"/>
          <w:sz w:val="21"/>
          <w:szCs w:val="21"/>
          <w:color w:val="auto"/>
        </w:rPr>
        <w:t>Designated Persons are responsible for ensuring compliance with these Trading Procedures and the Insider Trading Policy by all of their Covered Affiliates. Unless the context otherwise requires, references to “Designated Persons” in these Trading Procedures refer collectively to Designated Persons and their Covered Affiliates.</w:t>
      </w:r>
    </w:p>
    <w:p>
      <w:pPr>
        <w:spacing w:after="0" w:line="159" w:lineRule="exact"/>
        <w:rPr>
          <w:sz w:val="20"/>
          <w:szCs w:val="20"/>
          <w:color w:val="auto"/>
        </w:rPr>
      </w:pPr>
    </w:p>
    <w:p>
      <w:pPr>
        <w:jc w:val="both"/>
        <w:ind w:right="200" w:firstLine="640"/>
        <w:spacing w:after="0" w:line="264" w:lineRule="auto"/>
        <w:rPr>
          <w:sz w:val="20"/>
          <w:szCs w:val="20"/>
          <w:color w:val="auto"/>
        </w:rPr>
      </w:pPr>
      <w:r>
        <w:rPr>
          <w:rFonts w:ascii="Times New Roman" w:cs="Times New Roman" w:eastAsia="Times New Roman" w:hAnsi="Times New Roman"/>
          <w:sz w:val="21"/>
          <w:szCs w:val="21"/>
          <w:color w:val="auto"/>
        </w:rPr>
        <w:t>These Trading Procedures apply to any and all transactions in the Company’s securities, including its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93" w:lineRule="exact"/>
        <w:rPr>
          <w:sz w:val="20"/>
          <w:szCs w:val="20"/>
          <w:color w:val="auto"/>
        </w:rPr>
      </w:pPr>
    </w:p>
    <w:p>
      <w:pPr>
        <w:jc w:val="both"/>
        <w:ind w:right="200" w:firstLine="640"/>
        <w:spacing w:after="0" w:line="261" w:lineRule="auto"/>
        <w:rPr>
          <w:sz w:val="20"/>
          <w:szCs w:val="20"/>
          <w:color w:val="auto"/>
        </w:rPr>
      </w:pPr>
      <w:r>
        <w:rPr>
          <w:rFonts w:ascii="Times New Roman" w:cs="Times New Roman" w:eastAsia="Times New Roman" w:hAnsi="Times New Roman"/>
          <w:sz w:val="21"/>
          <w:szCs w:val="21"/>
          <w:color w:val="auto"/>
        </w:rPr>
        <w:t>The special trading restrictions set forth in these Trading Procedures continue to apply to Designated Persons following the termination of any such Designated Person’s service to or employment with the Company until any material, nonpublic information possessed by such Designated Person has become public or is no longer material. In addition, if the Company is not in an open trading window at the time that a Designated Person ceases to be a service provider or employee of the Company, such Designated Person is expected to abide by the special trading restrictions in these Trading Procedures until at least the next open trading window.</w:t>
      </w:r>
    </w:p>
    <w:p>
      <w:pPr>
        <w:sectPr>
          <w:pgSz w:w="11900" w:h="16838" w:orient="portrait"/>
          <w:cols w:equalWidth="0" w:num="1">
            <w:col w:w="11140"/>
          </w:cols>
          <w:pgMar w:left="420" w:top="114" w:right="339" w:bottom="1440" w:gutter="0" w:footer="0" w:header="0"/>
        </w:sectPr>
      </w:pPr>
    </w:p>
    <w:bookmarkStart w:id="132" w:name="page133"/>
    <w:bookmarkEnd w:id="132"/>
    <w:p>
      <w:pPr>
        <w:ind w:left="640" w:hanging="635"/>
        <w:spacing w:after="0"/>
        <w:tabs>
          <w:tab w:leader="none" w:pos="640"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SPECIAL TRADING RESTRICTIONS</w:t>
      </w:r>
    </w:p>
    <w:p>
      <w:pPr>
        <w:spacing w:after="0" w:line="256"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21"/>
          <w:szCs w:val="21"/>
          <w:color w:val="auto"/>
        </w:rPr>
        <w:t>Please see the Insider Trading Policy for a description of prohibited activities applicable to all Twilio Covered Persons. In particular, subject to certain exceptions set forth in the Insider Trading Policy, Designated Persons may only conduct transactions in the Company’s securities in an open trading window. Additionally, a Designated Person may not trade in any type of securities of the Company if such Designated Person is in possession of material, nonpublic information about the Company, unless the trade has been effected in compliance with a Rule 10b5-1 plan pre- approved by a Compliance Officer. This prohibition applies even if such Designated Person receives pre-clearance in accordance with these Trading Procedures and the transaction would occur during an open trading window.</w:t>
      </w:r>
    </w:p>
    <w:p>
      <w:pPr>
        <w:spacing w:after="0" w:line="196"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Designated Persons and their Covered Affiliates are strongly encouraged to trade in securities of the Company in compliance with a Rule 10b5-1 plan pre-approved by a Compliance Officer.</w:t>
      </w:r>
    </w:p>
    <w:p>
      <w:pPr>
        <w:spacing w:after="0" w:line="168"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21"/>
          <w:szCs w:val="21"/>
          <w:color w:val="auto"/>
        </w:rPr>
        <w:t>Please see the Insider Trading Policy for a discussion of what constitutes “material” and “nonpublic” information. Any Designated Persons who are unsure whether the information that they possess is material or nonpublic should consult a Compliance Officer for guidance.</w:t>
      </w:r>
    </w:p>
    <w:p>
      <w:pPr>
        <w:spacing w:after="0" w:line="181"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In addition to the restrictions on trading in Company securities set forth in the Insider Trading Policy, Designated Persons are subject to the following special trading restrictions:</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All Trades Must be Pre-Cleared by a Compliance Officer</w:t>
      </w:r>
      <w:r>
        <w:rPr>
          <w:rFonts w:ascii="Times New Roman" w:cs="Times New Roman" w:eastAsia="Times New Roman" w:hAnsi="Times New Roman"/>
          <w:sz w:val="21"/>
          <w:szCs w:val="21"/>
          <w:color w:val="auto"/>
        </w:rPr>
        <w:t>.</w:t>
      </w:r>
    </w:p>
    <w:p>
      <w:pPr>
        <w:spacing w:after="0" w:line="230"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21"/>
          <w:szCs w:val="21"/>
          <w:color w:val="auto"/>
        </w:rPr>
        <w:t>No Designated Person may trade in Company securities unless the trade has been approved by one of the Compliance Officers designated in the Insider Trading Policy in accordance with the procedures set forth below. A Compliance Officer will review and either approve or prohibit all proposed trades by Designated Persons in accordance with the procedures set forth in Section C below. A Compliance Officer may consult with the Company’s other officers and/or outside legal counsel and will receive approval for his or her own trades from the Chief Financial Officer. If you are unable to contact the Compliance Officer, or if you do not feel you can discuss the matter with one of the Compliance Officers, you may contact the Chief Financial Officer.</w:t>
      </w:r>
    </w:p>
    <w:p>
      <w:pPr>
        <w:spacing w:after="0" w:line="200" w:lineRule="exact"/>
        <w:rPr>
          <w:sz w:val="20"/>
          <w:szCs w:val="20"/>
          <w:color w:val="auto"/>
        </w:rPr>
      </w:pPr>
    </w:p>
    <w:p>
      <w:pPr>
        <w:spacing w:after="0" w:line="228" w:lineRule="exact"/>
        <w:rPr>
          <w:sz w:val="20"/>
          <w:szCs w:val="20"/>
          <w:color w:val="auto"/>
        </w:rPr>
      </w:pPr>
    </w:p>
    <w:p>
      <w:pPr>
        <w:ind w:left="640" w:hanging="635"/>
        <w:spacing w:after="0"/>
        <w:tabs>
          <w:tab w:leader="none" w:pos="640"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PRE-CLEARANCE PROCEDURES</w:t>
      </w:r>
    </w:p>
    <w:p>
      <w:pPr>
        <w:spacing w:after="0" w:line="265" w:lineRule="exact"/>
        <w:rPr>
          <w:rFonts w:ascii="Times New Roman" w:cs="Times New Roman" w:eastAsia="Times New Roman" w:hAnsi="Times New Roman"/>
          <w:sz w:val="21"/>
          <w:szCs w:val="21"/>
          <w:b w:val="1"/>
          <w:bCs w:val="1"/>
          <w:color w:val="auto"/>
        </w:rPr>
      </w:pPr>
    </w:p>
    <w:p>
      <w:pPr>
        <w:ind w:left="6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Procedures</w:t>
      </w:r>
      <w:r>
        <w:rPr>
          <w:rFonts w:ascii="Times New Roman" w:cs="Times New Roman" w:eastAsia="Times New Roman" w:hAnsi="Times New Roman"/>
          <w:sz w:val="21"/>
          <w:szCs w:val="21"/>
          <w:color w:val="auto"/>
        </w:rPr>
        <w:t>. No Designated Person may trade in Company securities until:</w:t>
      </w:r>
    </w:p>
    <w:p>
      <w:pPr>
        <w:spacing w:after="0" w:line="256" w:lineRule="exact"/>
        <w:rPr>
          <w:rFonts w:ascii="Times New Roman" w:cs="Times New Roman" w:eastAsia="Times New Roman" w:hAnsi="Times New Roman"/>
          <w:sz w:val="21"/>
          <w:szCs w:val="21"/>
          <w:b w:val="1"/>
          <w:bCs w:val="1"/>
          <w:color w:val="auto"/>
        </w:rPr>
      </w:pPr>
    </w:p>
    <w:p>
      <w:pPr>
        <w:jc w:val="both"/>
        <w:ind w:left="960" w:hanging="315"/>
        <w:spacing w:after="0" w:line="264" w:lineRule="auto"/>
        <w:tabs>
          <w:tab w:leader="none" w:pos="97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Designated Person has notified one of the Compliance Officers of the amount and nature of the proposed trade(s) using the Stock Transaction Request form made available by a Compliance Officer from time to time. In order to provide adequate time for the preparation of any required reports under Section 16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 Stock Transaction Request or similar form should, if practicable, be received by a Compliance Officer at least two business days prior to the intended trade date;</w:t>
      </w:r>
    </w:p>
    <w:p>
      <w:pPr>
        <w:spacing w:after="0" w:line="139" w:lineRule="exact"/>
        <w:rPr>
          <w:rFonts w:ascii="Times New Roman" w:cs="Times New Roman" w:eastAsia="Times New Roman" w:hAnsi="Times New Roman"/>
          <w:sz w:val="18"/>
          <w:szCs w:val="18"/>
          <w:color w:val="auto"/>
        </w:rPr>
      </w:pPr>
    </w:p>
    <w:p>
      <w:pPr>
        <w:ind w:left="960" w:hanging="315"/>
        <w:spacing w:after="0" w:line="301" w:lineRule="auto"/>
        <w:tabs>
          <w:tab w:leader="none" w:pos="97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Designated Person has certified to a Compliance Officer in writing prior to the proposed trade(s) that the Designated Person is not in possession of material, nonpublic information concerning the Company;</w:t>
      </w:r>
    </w:p>
    <w:p>
      <w:pPr>
        <w:sectPr>
          <w:pgSz w:w="11900" w:h="16838" w:orient="portrait"/>
          <w:cols w:equalWidth="0" w:num="1">
            <w:col w:w="10940"/>
          </w:cols>
          <w:pgMar w:left="420" w:top="802" w:right="539" w:bottom="1440" w:gutter="0" w:footer="0" w:header="0"/>
        </w:sectPr>
      </w:pPr>
    </w:p>
    <w:bookmarkStart w:id="133" w:name="page134"/>
    <w:bookmarkEnd w:id="133"/>
    <w:p>
      <w:pPr>
        <w:jc w:val="both"/>
        <w:ind w:left="960" w:hanging="315"/>
        <w:spacing w:after="0" w:line="261" w:lineRule="auto"/>
        <w:tabs>
          <w:tab w:leader="none" w:pos="94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Designated Person has informed a Compliance Officer whether, to the Designated Person’s best knowledge, (a) the Designated Person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w:t>
      </w:r>
      <w:r>
        <w:rPr>
          <w:rFonts w:ascii="Times New Roman" w:cs="Times New Roman" w:eastAsia="Times New Roman" w:hAnsi="Times New Roman"/>
          <w:sz w:val="21"/>
          <w:szCs w:val="21"/>
          <w:b w:val="1"/>
          <w:bCs w:val="1"/>
          <w:color w:val="auto"/>
        </w:rPr>
        <w:t>Rule 144</w:t>
      </w:r>
      <w:r>
        <w:rPr>
          <w:rFonts w:ascii="Times New Roman" w:cs="Times New Roman" w:eastAsia="Times New Roman" w:hAnsi="Times New Roman"/>
          <w:sz w:val="21"/>
          <w:szCs w:val="21"/>
          <w:color w:val="auto"/>
        </w:rPr>
        <w:t>”)), whether the transaction meets all of the applicable conditions of Rule 144; and</w:t>
      </w:r>
    </w:p>
    <w:p>
      <w:pPr>
        <w:spacing w:after="0" w:line="198" w:lineRule="exact"/>
        <w:rPr>
          <w:rFonts w:ascii="Times New Roman" w:cs="Times New Roman" w:eastAsia="Times New Roman" w:hAnsi="Times New Roman"/>
          <w:sz w:val="18"/>
          <w:szCs w:val="18"/>
          <w:color w:val="auto"/>
        </w:rPr>
      </w:pPr>
    </w:p>
    <w:p>
      <w:pPr>
        <w:ind w:left="960" w:hanging="315"/>
        <w:spacing w:after="0" w:line="301" w:lineRule="auto"/>
        <w:tabs>
          <w:tab w:leader="none" w:pos="94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Compliance Officer or his or her designee has approved the trade(s) and has certified such approval in writing. Such certification may be made via digitally-signed electronic mail.</w:t>
      </w:r>
    </w:p>
    <w:p>
      <w:pPr>
        <w:spacing w:after="0" w:line="128"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The Compliance Officer does not assume the responsibility for, and approval from a Compliance Officer does not protect the Designated Person from, the consequences of prohibited insider trading.</w:t>
      </w:r>
    </w:p>
    <w:p>
      <w:pPr>
        <w:spacing w:after="0" w:line="137" w:lineRule="exact"/>
        <w:rPr>
          <w:sz w:val="20"/>
          <w:szCs w:val="20"/>
          <w:color w:val="auto"/>
        </w:rPr>
      </w:pPr>
    </w:p>
    <w:p>
      <w:pPr>
        <w:jc w:val="both"/>
        <w:ind w:firstLine="640"/>
        <w:spacing w:after="0" w:line="272" w:lineRule="auto"/>
        <w:rPr>
          <w:sz w:val="20"/>
          <w:szCs w:val="20"/>
          <w:color w:val="auto"/>
        </w:rPr>
      </w:pPr>
      <w:r>
        <w:rPr>
          <w:rFonts w:ascii="Times New Roman" w:cs="Times New Roman" w:eastAsia="Times New Roman" w:hAnsi="Times New Roman"/>
          <w:sz w:val="21"/>
          <w:szCs w:val="21"/>
          <w:b w:val="1"/>
          <w:bCs w:val="1"/>
          <w:color w:val="auto"/>
        </w:rPr>
        <w:t>Additional Information</w:t>
      </w:r>
      <w:r>
        <w:rPr>
          <w:rFonts w:ascii="Times New Roman" w:cs="Times New Roman" w:eastAsia="Times New Roman" w:hAnsi="Times New Roman"/>
          <w:sz w:val="21"/>
          <w:szCs w:val="21"/>
          <w:color w:val="auto"/>
        </w:rPr>
        <w:t>. Designated Persons shall provide to a Compliance Officer any documentation reasonably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requested by him or her in furtherance of the foregoing procedures. Any failure to provide such requested information will be grounds for denial of approval by the Compliance Officer.</w:t>
      </w:r>
    </w:p>
    <w:p>
      <w:pPr>
        <w:spacing w:after="0" w:line="166"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21"/>
          <w:szCs w:val="21"/>
          <w:b w:val="1"/>
          <w:bCs w:val="1"/>
          <w:color w:val="auto"/>
        </w:rPr>
        <w:t>No Obligation to Approve Trades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existence of the foregoing approval procedures does not in any way obligate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Compliance Officer to approve any trade requested by a Designated Person. The Compliance Officers are under no obligation to approve a transaction submitted for approval, and may determine not to permit the transaction. The Compliance Officers may reject any trading request at his or her sole and reasonable discretion. From time to time, an event may occur that is material to the Company and is known by only a few directors or executives. So long as the event remains material and nonpublic, the Compliance Officers may determine not to approve any transactions in the Company’s securities. If a Designated Person requests clearance to trade in the Company’s securities during the pendency of such an event, the Compliance Officers may reject the trading request without disclosing the reason.</w:t>
      </w:r>
    </w:p>
    <w:p>
      <w:pPr>
        <w:spacing w:after="0" w:line="157" w:lineRule="exact"/>
        <w:rPr>
          <w:sz w:val="20"/>
          <w:szCs w:val="20"/>
          <w:color w:val="auto"/>
        </w:rPr>
      </w:pPr>
    </w:p>
    <w:p>
      <w:pPr>
        <w:jc w:val="both"/>
        <w:ind w:firstLine="640"/>
        <w:spacing w:after="0" w:line="305" w:lineRule="auto"/>
        <w:rPr>
          <w:sz w:val="20"/>
          <w:szCs w:val="20"/>
          <w:color w:val="auto"/>
        </w:rPr>
      </w:pPr>
      <w:r>
        <w:rPr>
          <w:rFonts w:ascii="Times New Roman" w:cs="Times New Roman" w:eastAsia="Times New Roman" w:hAnsi="Times New Roman"/>
          <w:sz w:val="21"/>
          <w:szCs w:val="21"/>
          <w:b w:val="1"/>
          <w:bCs w:val="1"/>
          <w:color w:val="auto"/>
        </w:rPr>
        <w:t>Completion of Trades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After receiving written clearance to engage in a trade signed by the Compliance Officer,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Designated Person must complete the proposed trade within two business days or make a new trading request.</w:t>
      </w:r>
    </w:p>
    <w:p>
      <w:pPr>
        <w:spacing w:after="0" w:line="147"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b w:val="1"/>
          <w:bCs w:val="1"/>
          <w:color w:val="auto"/>
        </w:rPr>
        <w:t>Personal Responsibility</w:t>
      </w:r>
      <w:r>
        <w:rPr>
          <w:rFonts w:ascii="Times New Roman" w:cs="Times New Roman" w:eastAsia="Times New Roman" w:hAnsi="Times New Roman"/>
          <w:sz w:val="21"/>
          <w:szCs w:val="21"/>
          <w:color w:val="auto"/>
        </w:rPr>
        <w:t>. Section 16 of the Exchange Act requires that directors and executive officers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generally must report changes in ownership of Company securities within two business days. The sanctions for noncompliance with this reporting deadline include mandatory disclosure in the Company’s proxy statement for the next annual meeting of stockholders, as well as possible civil or criminal sanctions for chronic or egregious violators. The obligation to report changes in ownership under the requirements of Section 16 of the Exchange Act, and to otherwise comply with Section 16 of the Exchange Act, is personal. The Company is not responsible for failure to comply with the requirements of Section 16 of the Exchange Act.</w:t>
      </w:r>
    </w:p>
    <w:p>
      <w:pPr>
        <w:sectPr>
          <w:pgSz w:w="11900" w:h="16838" w:orient="portrait"/>
          <w:cols w:equalWidth="0" w:num="1">
            <w:col w:w="10940"/>
          </w:cols>
          <w:pgMar w:left="420" w:top="979" w:right="539" w:bottom="1440" w:gutter="0" w:footer="0" w:header="0"/>
        </w:sectPr>
      </w:pPr>
    </w:p>
    <w:bookmarkStart w:id="134" w:name="page135"/>
    <w:bookmarkEnd w:id="134"/>
    <w:p>
      <w:pPr>
        <w:ind w:left="640" w:hanging="635"/>
        <w:spacing w:after="0"/>
        <w:tabs>
          <w:tab w:leader="none" w:pos="640"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EXEMPTIONS</w:t>
      </w:r>
    </w:p>
    <w:p>
      <w:pPr>
        <w:spacing w:after="0" w:line="243"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The limited exceptions to the pre-clearance procedures herein are set forth under the heading “Are There Any Exceptions?” in the Insider Trading Policy. Note that gifts are not an exception and are subject to the terms of these Trading Procedures.</w:t>
      </w:r>
    </w:p>
    <w:p>
      <w:pPr>
        <w:spacing w:after="0" w:line="200" w:lineRule="exact"/>
        <w:rPr>
          <w:sz w:val="20"/>
          <w:szCs w:val="20"/>
          <w:color w:val="auto"/>
        </w:rPr>
      </w:pPr>
    </w:p>
    <w:p>
      <w:pPr>
        <w:spacing w:after="0" w:line="224" w:lineRule="exact"/>
        <w:rPr>
          <w:sz w:val="20"/>
          <w:szCs w:val="20"/>
          <w:color w:val="auto"/>
        </w:rPr>
      </w:pPr>
    </w:p>
    <w:p>
      <w:pPr>
        <w:jc w:val="both"/>
        <w:ind w:right="200" w:firstLine="640"/>
        <w:spacing w:after="0" w:line="261" w:lineRule="auto"/>
        <w:rPr>
          <w:sz w:val="20"/>
          <w:szCs w:val="20"/>
          <w:color w:val="auto"/>
        </w:rPr>
      </w:pPr>
      <w:r>
        <w:rPr>
          <w:rFonts w:ascii="Times New Roman" w:cs="Times New Roman" w:eastAsia="Times New Roman" w:hAnsi="Times New Roman"/>
          <w:sz w:val="21"/>
          <w:szCs w:val="21"/>
          <w:color w:val="auto"/>
        </w:rPr>
        <w:t>In addition, Designated Persons subject to the requirements of Section 16 of the Exchange Act should note that various employee benefit plan and other transactions (e.g., stock option exercises and sell to cover transactions) that are exempted from the pre-clearance procedures herein must be reported under Section 16 of the Exchange Act within two business days. Accordingly, Designated Persons are encouraged to consult with a Compliance Officer prior to engaging in any transaction involving the Company’s securities.</w:t>
      </w:r>
    </w:p>
    <w:p>
      <w:pPr>
        <w:spacing w:after="0" w:line="177" w:lineRule="exact"/>
        <w:rPr>
          <w:sz w:val="20"/>
          <w:szCs w:val="20"/>
          <w:color w:val="auto"/>
        </w:rPr>
      </w:pPr>
    </w:p>
    <w:p>
      <w:pPr>
        <w:ind w:left="640" w:hanging="635"/>
        <w:spacing w:after="0"/>
        <w:tabs>
          <w:tab w:leader="none" w:pos="64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WAIVERS</w:t>
      </w:r>
    </w:p>
    <w:p>
      <w:pPr>
        <w:spacing w:after="0" w:line="230" w:lineRule="exact"/>
        <w:rPr>
          <w:sz w:val="20"/>
          <w:szCs w:val="20"/>
          <w:color w:val="auto"/>
        </w:rPr>
      </w:pPr>
    </w:p>
    <w:p>
      <w:pPr>
        <w:jc w:val="both"/>
        <w:ind w:right="200" w:firstLine="640"/>
        <w:spacing w:after="0" w:line="270" w:lineRule="auto"/>
        <w:rPr>
          <w:sz w:val="20"/>
          <w:szCs w:val="20"/>
          <w:color w:val="auto"/>
        </w:rPr>
      </w:pPr>
      <w:r>
        <w:rPr>
          <w:rFonts w:ascii="Times New Roman" w:cs="Times New Roman" w:eastAsia="Times New Roman" w:hAnsi="Times New Roman"/>
          <w:sz w:val="21"/>
          <w:szCs w:val="21"/>
          <w:color w:val="auto"/>
        </w:rPr>
        <w:t>A waiver of any provision of these Trading Procedures in a specific instance may be authorized in writing by one of the Compliance Officers, his or her designee or the Chair of the Audit Committee of the Board of Directors, and any such waiver shall be reported to the Company’s Board of Directors.</w:t>
      </w:r>
    </w:p>
    <w:p>
      <w:pPr>
        <w:spacing w:after="0" w:line="155" w:lineRule="exact"/>
        <w:rPr>
          <w:sz w:val="20"/>
          <w:szCs w:val="20"/>
          <w:color w:val="auto"/>
        </w:rPr>
      </w:pPr>
    </w:p>
    <w:p>
      <w:pPr>
        <w:ind w:left="700" w:hanging="695"/>
        <w:spacing w:after="0"/>
        <w:tabs>
          <w:tab w:leader="none" w:pos="700"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ACKNOWLEDGMENT</w:t>
      </w:r>
    </w:p>
    <w:p>
      <w:pPr>
        <w:spacing w:after="0" w:line="230" w:lineRule="exact"/>
        <w:rPr>
          <w:sz w:val="20"/>
          <w:szCs w:val="20"/>
          <w:color w:val="auto"/>
        </w:rPr>
      </w:pPr>
    </w:p>
    <w:p>
      <w:pPr>
        <w:jc w:val="both"/>
        <w:ind w:right="200" w:firstLine="640"/>
        <w:spacing w:after="0" w:line="261" w:lineRule="auto"/>
        <w:rPr>
          <w:sz w:val="20"/>
          <w:szCs w:val="20"/>
          <w:color w:val="auto"/>
        </w:rPr>
      </w:pPr>
      <w:r>
        <w:rPr>
          <w:rFonts w:ascii="Times New Roman" w:cs="Times New Roman" w:eastAsia="Times New Roman" w:hAnsi="Times New Roman"/>
          <w:sz w:val="21"/>
          <w:szCs w:val="21"/>
          <w:color w:val="auto"/>
        </w:rPr>
        <w:t>In addition to the Company’s Insider Trading Policy, these Trading Procedures will be delivered to all current Designated Persons and to all new Designated Persons at the start of their employment or relationship with the Company. Upon first receiving a copy of these Trading Procedures, each Designated Person must acknowledge that he or she has received a copy and agrees to comply with the terms of these Trading Procedures and the Insider Trading Policy. The acknowledgment should be returned in the manner provided for in the notice accompanying the delivery of these Trading Procedures or, alternatively, by delivering the acknowledgement attached to these Trading Procedures within ten days of receipt to:</w:t>
      </w:r>
    </w:p>
    <w:p>
      <w:pPr>
        <w:spacing w:after="0" w:line="19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1"/>
          <w:szCs w:val="21"/>
          <w:color w:val="auto"/>
        </w:rPr>
        <w:t>Twilio Inc.</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1"/>
          <w:szCs w:val="21"/>
          <w:color w:val="auto"/>
        </w:rPr>
        <w:t>101 Spear Street Fifth Floor</w:t>
      </w:r>
    </w:p>
    <w:p>
      <w:pPr>
        <w:spacing w:after="0" w:line="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San Francisco, CA 94105</w:t>
      </w:r>
    </w:p>
    <w:p>
      <w:pPr>
        <w:spacing w:after="0" w:line="1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insidertrading@twilio.com</w:t>
      </w:r>
    </w:p>
    <w:p>
      <w:pPr>
        <w:spacing w:after="0" w:line="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Attn: Chief Legal Officer</w:t>
      </w:r>
    </w:p>
    <w:p>
      <w:pPr>
        <w:spacing w:after="0" w:line="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VP of Ethics, Corporate Compliance and Risk Management</w:t>
      </w:r>
    </w:p>
    <w:p>
      <w:pPr>
        <w:spacing w:after="0" w:line="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VP of Legal, Corporate</w:t>
      </w:r>
    </w:p>
    <w:p>
      <w:pPr>
        <w:spacing w:after="0" w:line="228" w:lineRule="exact"/>
        <w:rPr>
          <w:sz w:val="20"/>
          <w:szCs w:val="20"/>
          <w:color w:val="auto"/>
        </w:rPr>
      </w:pPr>
    </w:p>
    <w:p>
      <w:pPr>
        <w:jc w:val="both"/>
        <w:ind w:right="200" w:firstLine="640"/>
        <w:spacing w:after="0" w:line="276" w:lineRule="auto"/>
        <w:rPr>
          <w:sz w:val="20"/>
          <w:szCs w:val="20"/>
          <w:color w:val="auto"/>
        </w:rPr>
      </w:pPr>
      <w:r>
        <w:rPr>
          <w:rFonts w:ascii="Times New Roman" w:cs="Times New Roman" w:eastAsia="Times New Roman" w:hAnsi="Times New Roman"/>
          <w:sz w:val="21"/>
          <w:szCs w:val="21"/>
          <w:color w:val="auto"/>
        </w:rPr>
        <w:t>This acknowledgment will constitute consent for the Company to impose sanctions for violation of the Insider Trading Policy or these Trading Procedures, and to issue any necessary stop-transfer orders to the Company’s transfer agent to ensure compliance.</w:t>
      </w:r>
    </w:p>
    <w:p>
      <w:pPr>
        <w:spacing w:after="0" w:line="181" w:lineRule="exact"/>
        <w:rPr>
          <w:sz w:val="20"/>
          <w:szCs w:val="20"/>
          <w:color w:val="auto"/>
        </w:rPr>
      </w:pPr>
    </w:p>
    <w:p>
      <w:pPr>
        <w:jc w:val="both"/>
        <w:ind w:right="200" w:firstLine="640"/>
        <w:spacing w:after="0" w:line="261" w:lineRule="auto"/>
        <w:rPr>
          <w:sz w:val="20"/>
          <w:szCs w:val="20"/>
          <w:color w:val="auto"/>
        </w:rPr>
      </w:pPr>
      <w:r>
        <w:rPr>
          <w:rFonts w:ascii="Times New Roman" w:cs="Times New Roman" w:eastAsia="Times New Roman" w:hAnsi="Times New Roman"/>
          <w:sz w:val="21"/>
          <w:szCs w:val="21"/>
          <w:color w:val="auto"/>
        </w:rPr>
        <w:t>Designated Persons will be required upon the Company’s request to re-acknowledge and agree to comply with these Trading Procedures and the Insider Trading Policy (including any amendments or modifications). For such purpose, a Designated Person will be deemed to have acknowledged and agreed to comply with these Trading Procedures and the Insider Trading Policy when copies of such items have been delivered to the Designated Person by regular or electronic mail (or other delivery option used by the Company) by a Compliance Officer or his or her designee, unless the Designated Person objects in a written statement received by a Compliance Officer within two business days of such delivery.</w:t>
      </w:r>
    </w:p>
    <w:p>
      <w:pPr>
        <w:sectPr>
          <w:pgSz w:w="11900" w:h="16838" w:orient="portrait"/>
          <w:cols w:equalWidth="0" w:num="1">
            <w:col w:w="11140"/>
          </w:cols>
          <w:pgMar w:left="420" w:top="1216" w:right="339" w:bottom="1440" w:gutter="0" w:footer="0" w:header="0"/>
        </w:sectPr>
      </w:pPr>
    </w:p>
    <w:bookmarkStart w:id="135" w:name="page136"/>
    <w:bookmarkEnd w:id="135"/>
    <w:p>
      <w:pPr>
        <w:jc w:val="both"/>
        <w:ind w:firstLine="640"/>
        <w:spacing w:after="0" w:line="272" w:lineRule="auto"/>
        <w:rPr>
          <w:sz w:val="20"/>
          <w:szCs w:val="20"/>
          <w:color w:val="auto"/>
        </w:rPr>
      </w:pPr>
      <w:r>
        <w:rPr>
          <w:rFonts w:ascii="Times New Roman" w:cs="Times New Roman" w:eastAsia="Times New Roman" w:hAnsi="Times New Roman"/>
          <w:sz w:val="21"/>
          <w:szCs w:val="21"/>
          <w:b w:val="1"/>
          <w:bCs w:val="1"/>
          <w:color w:val="auto"/>
        </w:rPr>
        <w:t>Failure to observe these Trading Procedures and the Insider Trading Policy could lead to significant legal problems, and could have other serious consequences, including termination of employment. Questions regarding these Trading Procedures or the Insider Trading Policy are encouraged and may be directed to the Compliance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ADOPTED: January 25, 2016, as amended June 14, 2018, December 15, 2021, and March 28, 2023.</w:t>
      </w:r>
    </w:p>
    <w:p>
      <w:pPr>
        <w:sectPr>
          <w:pgSz w:w="11900" w:h="16838" w:orient="portrait"/>
          <w:cols w:equalWidth="0" w:num="1">
            <w:col w:w="10940"/>
          </w:cols>
          <w:pgMar w:left="420" w:top="1416" w:right="5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Exhibit 19.3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Twilio Inc. - Requirements for 10b5-1 Trading Plans</w:t>
      </w:r>
    </w:p>
    <w:p>
      <w:pPr>
        <w:spacing w:after="0" w:line="230"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21"/>
          <w:szCs w:val="21"/>
          <w:color w:val="auto"/>
        </w:rPr>
        <w:t>Rule 10b5-1 of the SEC rules provides an affirmative defense from insider trading liability under the federal securities laws for trading plans that meet certain requirements. Transactions effected pursuant to pre-approved trading plans will not be subject to Twilio Inc.’s (the “Company’s”) trading windows.</w:t>
      </w:r>
    </w:p>
    <w:p>
      <w:pPr>
        <w:spacing w:after="0" w:line="15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1"/>
          <w:szCs w:val="21"/>
          <w:color w:val="auto"/>
        </w:rPr>
        <w:t>If you intend to put a pre-approved 10b5-1 Trading Plan (“trading plan”) in place, you will be subject to the rules below, and a Compliance Officer (as defined in the Company’s Insider Trading Policy) may refuse to approve a trading plan as he or she deems appropriate including, without limitation, if he or she determines that such plan does not satisfy the requirements of Rule 10b5-1, the Company’s Insider Trading Policy or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Creating a New Trading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you would like to create a new trading plan, you must:</w:t>
      </w:r>
    </w:p>
    <w:p>
      <w:pPr>
        <w:spacing w:after="0" w:line="226" w:lineRule="exact"/>
        <w:rPr>
          <w:sz w:val="20"/>
          <w:szCs w:val="20"/>
          <w:color w:val="auto"/>
        </w:rPr>
      </w:pPr>
    </w:p>
    <w:p>
      <w:pPr>
        <w:ind w:left="940" w:hanging="306"/>
        <w:spacing w:after="0"/>
        <w:tabs>
          <w:tab w:leader="none" w:pos="9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satisfy the requirements of Rule 10b5-1;</w:t>
      </w:r>
    </w:p>
    <w:p>
      <w:pPr>
        <w:spacing w:after="0" w:line="238"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document the trading plan in writing;</w:t>
      </w:r>
    </w:p>
    <w:p>
      <w:pPr>
        <w:spacing w:after="0" w:line="225" w:lineRule="exact"/>
        <w:rPr>
          <w:rFonts w:ascii="Times New Roman" w:cs="Times New Roman" w:eastAsia="Times New Roman" w:hAnsi="Times New Roman"/>
          <w:sz w:val="21"/>
          <w:szCs w:val="21"/>
          <w:color w:val="auto"/>
        </w:rPr>
      </w:pPr>
    </w:p>
    <w:p>
      <w:pPr>
        <w:ind w:left="960" w:right="1540" w:hanging="326"/>
        <w:spacing w:after="0" w:line="288" w:lineRule="auto"/>
        <w:tabs>
          <w:tab w:leader="none" w:pos="95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 the trading plan during an open trading window when you are not in possession of material, nonpublic information;</w:t>
      </w:r>
    </w:p>
    <w:p>
      <w:pPr>
        <w:spacing w:after="0" w:line="140"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 the trading plan with a minimum term of one year (starting from the date of adoption of the trading plan);</w:t>
      </w:r>
    </w:p>
    <w:p>
      <w:pPr>
        <w:spacing w:after="0" w:line="225" w:lineRule="exact"/>
        <w:rPr>
          <w:rFonts w:ascii="Times New Roman" w:cs="Times New Roman" w:eastAsia="Times New Roman" w:hAnsi="Times New Roman"/>
          <w:sz w:val="21"/>
          <w:szCs w:val="21"/>
          <w:color w:val="auto"/>
        </w:rPr>
      </w:pPr>
    </w:p>
    <w:p>
      <w:pPr>
        <w:ind w:left="960" w:right="320" w:hanging="326"/>
        <w:spacing w:after="0" w:line="261" w:lineRule="auto"/>
        <w:tabs>
          <w:tab w:leader="none" w:pos="95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directors and officers subject to Section 16 of the Securities Exchange Act of 1934, as amended (the “Exchange Act”), require that the first trade under the trading plan does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spacing w:after="0" w:line="172" w:lineRule="exact"/>
        <w:rPr>
          <w:rFonts w:ascii="Times New Roman" w:cs="Times New Roman" w:eastAsia="Times New Roman" w:hAnsi="Times New Roman"/>
          <w:sz w:val="21"/>
          <w:szCs w:val="21"/>
          <w:color w:val="auto"/>
        </w:rPr>
      </w:pPr>
    </w:p>
    <w:p>
      <w:pPr>
        <w:ind w:left="960" w:right="540" w:hanging="326"/>
        <w:spacing w:after="0" w:line="268" w:lineRule="auto"/>
        <w:tabs>
          <w:tab w:leader="none" w:pos="95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all persons other than directors, officers subject to Section 16 of the Exchange Act, and the Company, require that the first trade under the trading plan does not occur until the expiration of a cooling-off period consisting of the later of (a) 60 calendar days after the adoption of the trading plan and (b) the next open trading window following the adoption of the trading plan;</w:t>
      </w:r>
    </w:p>
    <w:p>
      <w:pPr>
        <w:spacing w:after="0" w:line="162" w:lineRule="exact"/>
        <w:rPr>
          <w:rFonts w:ascii="Times New Roman" w:cs="Times New Roman" w:eastAsia="Times New Roman" w:hAnsi="Times New Roman"/>
          <w:sz w:val="21"/>
          <w:szCs w:val="21"/>
          <w:color w:val="auto"/>
        </w:rPr>
      </w:pPr>
    </w:p>
    <w:p>
      <w:pPr>
        <w:ind w:left="960" w:right="220" w:hanging="326"/>
        <w:spacing w:after="0" w:line="288" w:lineRule="auto"/>
        <w:tabs>
          <w:tab w:leader="none" w:pos="95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the trading plan in good faith and not as part of a plan or scheme to evade the prohibitions of Rule 10b5-1, and the individual adopting the trading plan must act in good faith with respect to that plan;</w:t>
      </w:r>
    </w:p>
    <w:p>
      <w:pPr>
        <w:spacing w:after="0" w:line="154" w:lineRule="exact"/>
        <w:rPr>
          <w:rFonts w:ascii="Times New Roman" w:cs="Times New Roman" w:eastAsia="Times New Roman" w:hAnsi="Times New Roman"/>
          <w:sz w:val="21"/>
          <w:szCs w:val="21"/>
          <w:color w:val="auto"/>
        </w:rPr>
      </w:pPr>
    </w:p>
    <w:p>
      <w:pPr>
        <w:ind w:left="960" w:right="360" w:hanging="326"/>
        <w:spacing w:after="0" w:line="270" w:lineRule="auto"/>
        <w:tabs>
          <w:tab w:leader="none" w:pos="95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include representations in the trading plan that, on the date of adoption of the trading plan, you are not aware of material nonpublic information about the securities or the Company and are adopting the trading plan in good faith and not as part of a plan or scheme to evade the prohibitions of Rule 10b5-1;</w:t>
      </w:r>
    </w:p>
    <w:p>
      <w:pPr>
        <w:sectPr>
          <w:pgSz w:w="11900" w:h="16838" w:orient="portrait"/>
          <w:cols w:equalWidth="0" w:num="1">
            <w:col w:w="11120"/>
          </w:cols>
          <w:pgMar w:left="440" w:top="114" w:right="339" w:bottom="1440" w:gutter="0" w:footer="0" w:header="0"/>
        </w:sectPr>
      </w:pPr>
    </w:p>
    <w:bookmarkStart w:id="137" w:name="page138"/>
    <w:bookmarkEnd w:id="137"/>
    <w:p>
      <w:pPr>
        <w:ind w:left="940" w:hanging="306"/>
        <w:spacing w:after="0"/>
        <w:tabs>
          <w:tab w:leader="none" w:pos="94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have one trading plan outstanding, except as permitted by Rule 10b5-1;</w:t>
      </w:r>
    </w:p>
    <w:p>
      <w:pPr>
        <w:spacing w:after="0" w:line="225" w:lineRule="exact"/>
        <w:rPr>
          <w:rFonts w:ascii="Times New Roman" w:cs="Times New Roman" w:eastAsia="Times New Roman" w:hAnsi="Times New Roman"/>
          <w:sz w:val="21"/>
          <w:szCs w:val="21"/>
          <w:color w:val="auto"/>
        </w:rPr>
      </w:pPr>
    </w:p>
    <w:p>
      <w:pPr>
        <w:ind w:left="960" w:right="180" w:hanging="326"/>
        <w:spacing w:after="0" w:line="301" w:lineRule="auto"/>
        <w:tabs>
          <w:tab w:leader="none" w:pos="95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that the Company has the authority to require the suspension or cancellation of the trading plan at any time; and</w:t>
      </w:r>
    </w:p>
    <w:p>
      <w:pPr>
        <w:spacing w:after="0" w:line="128"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get the trading plan pre-approved by a Compliance Officer (as defined in the Insider Trading Policy).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Modifications of Existing Trading Plans.</w:t>
      </w:r>
    </w:p>
    <w:p>
      <w:pPr>
        <w:spacing w:after="0" w:line="230" w:lineRule="exact"/>
        <w:rPr>
          <w:sz w:val="20"/>
          <w:szCs w:val="20"/>
          <w:color w:val="auto"/>
        </w:rPr>
      </w:pPr>
    </w:p>
    <w:p>
      <w:pPr>
        <w:ind w:left="960" w:hanging="327"/>
        <w:spacing w:after="0" w:line="264" w:lineRule="auto"/>
        <w:tabs>
          <w:tab w:leader="none" w:pos="95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modification of, or change to, the specifications of an approved trading plan (including, without limitation, the amount, price or timing of a purchase or sale) must be reported in advance to, and is subject to the pre-approval of, a Compliance Officer. Any such modification or change is deemed the termination of the trading plan, and the adoption of a new trading plan. As a result, any modification or change is subject to the same conditions as a new trading plan as set forth in the bullet points immediately above under the heading “Creating a New Trading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addition, you may modify a trading plan only once within a rolling 12 month period.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Terminating an Existing Trading Plan.</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you would like to terminate a trading plan, you must:</w:t>
      </w:r>
    </w:p>
    <w:p>
      <w:pPr>
        <w:spacing w:after="0" w:line="239" w:lineRule="exact"/>
        <w:rPr>
          <w:sz w:val="20"/>
          <w:szCs w:val="20"/>
          <w:color w:val="auto"/>
        </w:rPr>
      </w:pPr>
    </w:p>
    <w:p>
      <w:pPr>
        <w:ind w:left="960" w:right="1700" w:hanging="327"/>
        <w:spacing w:after="0" w:line="288" w:lineRule="auto"/>
        <w:tabs>
          <w:tab w:leader="none" w:pos="95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terminate it during an open trading window when you are not in possession of material, nonpublic information;</w:t>
      </w:r>
    </w:p>
    <w:p>
      <w:pPr>
        <w:spacing w:after="0" w:line="140" w:lineRule="exact"/>
        <w:rPr>
          <w:rFonts w:ascii="Times New Roman" w:cs="Times New Roman" w:eastAsia="Times New Roman" w:hAnsi="Times New Roman"/>
          <w:sz w:val="21"/>
          <w:szCs w:val="21"/>
          <w:color w:val="auto"/>
        </w:rPr>
      </w:pPr>
    </w:p>
    <w:p>
      <w:pPr>
        <w:ind w:left="960" w:right="780" w:hanging="327"/>
        <w:spacing w:after="0" w:line="288" w:lineRule="auto"/>
        <w:tabs>
          <w:tab w:leader="none" w:pos="95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its stated duration, not trade the Company’s securities until after the expiration of 30 calendar days following termination, and then only in accordance with the requirements set forth herein; and</w:t>
      </w:r>
    </w:p>
    <w:p>
      <w:pPr>
        <w:spacing w:after="0" w:line="140" w:lineRule="exact"/>
        <w:rPr>
          <w:rFonts w:ascii="Times New Roman" w:cs="Times New Roman" w:eastAsia="Times New Roman" w:hAnsi="Times New Roman"/>
          <w:sz w:val="21"/>
          <w:szCs w:val="21"/>
          <w:color w:val="auto"/>
        </w:rPr>
      </w:pPr>
    </w:p>
    <w:p>
      <w:pPr>
        <w:ind w:left="960" w:right="780" w:hanging="327"/>
        <w:spacing w:after="0" w:line="301" w:lineRule="auto"/>
        <w:tabs>
          <w:tab w:leader="none" w:pos="95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 Compliance Officer (as defined in the Insider Trading Policy) with prompt notification of any such termination of a trading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addition, you may terminate a trading plan only once within a rolling 12 month period.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Additional Considerations.</w:t>
      </w:r>
    </w:p>
    <w:p>
      <w:pPr>
        <w:spacing w:after="0" w:line="230" w:lineRule="exact"/>
        <w:rPr>
          <w:sz w:val="20"/>
          <w:szCs w:val="20"/>
          <w:color w:val="auto"/>
        </w:rPr>
      </w:pPr>
    </w:p>
    <w:p>
      <w:pPr>
        <w:ind w:left="960" w:right="60" w:hanging="327"/>
        <w:spacing w:after="0" w:line="288" w:lineRule="auto"/>
        <w:tabs>
          <w:tab w:leader="none" w:pos="955"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transactions during the term of a 10b5-1 trading plan (except for transactions exempt from the trading restrictions in the Insider Trading Policy and bona fide gifts) must be conducted through the trading plan.</w:t>
      </w:r>
    </w:p>
    <w:p>
      <w:pPr>
        <w:spacing w:after="0" w:line="140" w:lineRule="exact"/>
        <w:rPr>
          <w:rFonts w:ascii="Times New Roman" w:cs="Times New Roman" w:eastAsia="Times New Roman" w:hAnsi="Times New Roman"/>
          <w:sz w:val="21"/>
          <w:szCs w:val="21"/>
          <w:color w:val="auto"/>
        </w:rPr>
      </w:pPr>
    </w:p>
    <w:p>
      <w:pPr>
        <w:ind w:left="960" w:right="340" w:hanging="327"/>
        <w:spacing w:after="0" w:line="301" w:lineRule="auto"/>
        <w:tabs>
          <w:tab w:leader="none" w:pos="955"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not adopt a trading plan with a single trade if you have previously adopted a single-trade plan during the twelve months prior to the proposed adoption of such single-trade plan.</w:t>
      </w:r>
    </w:p>
    <w:p>
      <w:pPr>
        <w:spacing w:after="0" w:line="101" w:lineRule="exact"/>
        <w:rPr>
          <w:rFonts w:ascii="Times New Roman" w:cs="Times New Roman" w:eastAsia="Times New Roman" w:hAnsi="Times New Roman"/>
          <w:sz w:val="21"/>
          <w:szCs w:val="21"/>
          <w:color w:val="auto"/>
        </w:rPr>
      </w:pPr>
    </w:p>
    <w:p>
      <w:pPr>
        <w:ind w:left="940" w:hanging="307"/>
        <w:spacing w:after="0"/>
        <w:tabs>
          <w:tab w:leader="none" w:pos="94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Additional shares may not be added to the trading plan without a full modification to the trading plan.</w:t>
      </w:r>
    </w:p>
    <w:p>
      <w:pPr>
        <w:spacing w:after="0" w:line="200" w:lineRule="exact"/>
        <w:rPr>
          <w:sz w:val="20"/>
          <w:szCs w:val="20"/>
          <w:color w:val="auto"/>
        </w:rPr>
      </w:pPr>
    </w:p>
    <w:p>
      <w:pPr>
        <w:spacing w:after="0" w:line="292"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20"/>
          </w:cols>
          <w:pgMar w:left="440" w:top="1059" w:right="439" w:bottom="1440" w:gutter="0" w:footer="0" w:header="0"/>
        </w:sectPr>
      </w:pPr>
    </w:p>
    <w:bookmarkStart w:id="138" w:name="page139"/>
    <w:bookmarkEnd w:id="138"/>
    <w:p>
      <w:pPr>
        <w:ind w:left="326" w:right="140" w:hanging="326"/>
        <w:spacing w:after="0" w:line="288" w:lineRule="auto"/>
        <w:tabs>
          <w:tab w:leader="none" w:pos="321"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Please be aware that terminations or modifications should be made as a last resort as this can impede the affirmative defense which a trading plan may provide.</w:t>
      </w:r>
    </w:p>
    <w:p>
      <w:pPr>
        <w:spacing w:after="0" w:line="154" w:lineRule="exact"/>
        <w:rPr>
          <w:rFonts w:ascii="Times New Roman" w:cs="Times New Roman" w:eastAsia="Times New Roman" w:hAnsi="Times New Roman"/>
          <w:sz w:val="21"/>
          <w:szCs w:val="21"/>
          <w:color w:val="auto"/>
        </w:rPr>
      </w:pPr>
    </w:p>
    <w:p>
      <w:pPr>
        <w:ind w:left="326" w:right="300" w:hanging="326"/>
        <w:spacing w:after="0" w:line="264" w:lineRule="auto"/>
        <w:tabs>
          <w:tab w:leader="none" w:pos="321"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trading plans adopted or modified prior to February 27, 2023 (the “Effective Date”) are permitted to continue in place until all trades are executed thereunder or they expire by their terms (“Grandfathered Plans”). If you undertake a modification of a Grandfathered Plan on or after the Effective Date, then the modification must meet all of the requirements set forth herein.</w:t>
      </w:r>
    </w:p>
    <w:p>
      <w:pPr>
        <w:spacing w:after="0" w:line="200" w:lineRule="exact"/>
        <w:rPr>
          <w:sz w:val="20"/>
          <w:szCs w:val="20"/>
          <w:color w:val="auto"/>
        </w:rPr>
      </w:pPr>
    </w:p>
    <w:p>
      <w:pPr>
        <w:spacing w:after="0" w:line="392" w:lineRule="exact"/>
        <w:rPr>
          <w:sz w:val="20"/>
          <w:szCs w:val="20"/>
          <w:color w:val="auto"/>
        </w:rPr>
      </w:pPr>
    </w:p>
    <w:p>
      <w:pPr>
        <w:ind w:left="4706"/>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366"/>
          </w:cols>
          <w:pgMar w:left="1074" w:top="1300" w:right="45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Subsidiaries of Twilio Inc.</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542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20"/>
                <w:szCs w:val="20"/>
                <w:b w:val="1"/>
                <w:bCs w:val="1"/>
                <w:color w:val="auto"/>
              </w:rPr>
              <w:t>Country</w:t>
            </w: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Australia Pty Ltd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Australia</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Teravoz Telecom Telecomunicacoes Ltda.</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Brazil</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Canada Corp.</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Canada</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Colombia S.A.S.</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Colombia</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Estonia OÜ</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Estonia</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France SARL</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France</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Germany GmbH</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Germany</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Hong Kong Limited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Hong Kong</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Technology India Private Limited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India</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Ireland Limited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Ireland</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Japan GK</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Japan</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Poland sp. z o.o.</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Poland</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Singapore Pte. Ltd.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Singapore</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Spain, S.L.</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Spain</w:t>
            </w:r>
          </w:p>
        </w:tc>
      </w:tr>
      <w:tr>
        <w:trPr>
          <w:trHeight w:val="22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Sweden AB</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Sweden</w:t>
            </w: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Twilio UK Limited</w:t>
            </w:r>
          </w:p>
        </w:tc>
        <w:tc>
          <w:tcPr>
            <w:tcW w:w="54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England and Wales</w:t>
            </w:r>
          </w:p>
        </w:tc>
      </w:tr>
    </w:tbl>
    <w:p>
      <w:pPr>
        <w:spacing w:after="0" w:line="310"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4"/>
          <w:szCs w:val="14"/>
          <w:color w:val="auto"/>
        </w:rPr>
        <w:t>In accordance with Item 601(b)(21)(ii) of Regulation S-K, the names of certain other subsidiaries of Twilio Inc. are omitted which, considered in the aggregate, would not constitute a significant subsidiary as of the end of the year covered by this report.</w:t>
      </w:r>
    </w:p>
    <w:p>
      <w:pPr>
        <w:sectPr>
          <w:pgSz w:w="11900" w:h="16838" w:orient="portrait"/>
          <w:cols w:equalWidth="0" w:num="1">
            <w:col w:w="11240"/>
          </w:cols>
          <w:pgMar w:left="320" w:top="109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1" w:lineRule="exact"/>
        <w:rPr>
          <w:sz w:val="20"/>
          <w:szCs w:val="20"/>
          <w:color w:val="auto"/>
        </w:rPr>
      </w:pPr>
    </w:p>
    <w:p>
      <w:pPr>
        <w:ind w:left="40" w:right="120" w:firstLine="480"/>
        <w:spacing w:after="0" w:line="28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 333-212191, 333-224812, 333-229580, 333-236819, 333-250032, 333-258368, 333-266593, 333-270025 and 333-277403) on Form S-8 and (No. 333-231794, 333-249889 and 333-258364) on Form S-3 of our report dated February 26, 2025, with respect to the consolidated financial statements of Twilio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240"/>
          </w:cols>
          <w:pgMar w:left="320" w:top="918"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Khozema Z. Shipchandler, certify that:</w:t>
      </w:r>
    </w:p>
    <w:p>
      <w:pPr>
        <w:spacing w:after="0" w:line="176" w:lineRule="exact"/>
        <w:rPr>
          <w:sz w:val="20"/>
          <w:szCs w:val="20"/>
          <w:color w:val="auto"/>
        </w:rPr>
      </w:pPr>
    </w:p>
    <w:p>
      <w:pPr>
        <w:ind w:left="1280" w:hanging="633"/>
        <w:spacing w:after="0"/>
        <w:tabs>
          <w:tab w:leader="none" w:pos="12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Twilio Inc.;</w:t>
      </w:r>
    </w:p>
    <w:p>
      <w:pPr>
        <w:spacing w:after="0" w:line="189" w:lineRule="exact"/>
        <w:rPr>
          <w:rFonts w:ascii="Times New Roman" w:cs="Times New Roman" w:eastAsia="Times New Roman" w:hAnsi="Times New Roman"/>
          <w:sz w:val="16"/>
          <w:szCs w:val="16"/>
          <w:color w:val="auto"/>
        </w:rPr>
      </w:pPr>
    </w:p>
    <w:p>
      <w:pPr>
        <w:ind w:right="640" w:firstLine="647"/>
        <w:spacing w:after="0" w:line="275" w:lineRule="auto"/>
        <w:tabs>
          <w:tab w:leader="none" w:pos="128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6"/>
          <w:szCs w:val="16"/>
          <w:color w:val="auto"/>
        </w:rPr>
      </w:pPr>
    </w:p>
    <w:p>
      <w:pPr>
        <w:ind w:firstLine="647"/>
        <w:spacing w:after="0" w:line="293" w:lineRule="auto"/>
        <w:tabs>
          <w:tab w:leader="none" w:pos="128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6"/>
          <w:szCs w:val="16"/>
          <w:color w:val="auto"/>
        </w:rPr>
      </w:pPr>
    </w:p>
    <w:p>
      <w:pPr>
        <w:ind w:right="160" w:firstLine="647"/>
        <w:spacing w:after="0" w:line="268" w:lineRule="auto"/>
        <w:tabs>
          <w:tab w:leader="none" w:pos="128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Times New Roman" w:cs="Times New Roman" w:eastAsia="Times New Roman" w:hAnsi="Times New Roman"/>
          <w:sz w:val="16"/>
          <w:szCs w:val="16"/>
          <w:color w:val="auto"/>
        </w:rPr>
      </w:pPr>
    </w:p>
    <w:p>
      <w:pPr>
        <w:jc w:val="both"/>
        <w:ind w:right="200" w:firstLine="1288"/>
        <w:spacing w:after="0" w:line="268" w:lineRule="auto"/>
        <w:tabs>
          <w:tab w:leader="none" w:pos="1912"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Times New Roman" w:cs="Times New Roman" w:eastAsia="Times New Roman" w:hAnsi="Times New Roman"/>
          <w:sz w:val="16"/>
          <w:szCs w:val="16"/>
          <w:color w:val="auto"/>
        </w:rPr>
      </w:pPr>
    </w:p>
    <w:p>
      <w:pPr>
        <w:ind w:right="20" w:firstLine="1288"/>
        <w:spacing w:after="0" w:line="268" w:lineRule="auto"/>
        <w:tabs>
          <w:tab w:leader="none" w:pos="1921"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6"/>
          <w:szCs w:val="16"/>
          <w:color w:val="auto"/>
        </w:rPr>
      </w:pPr>
    </w:p>
    <w:p>
      <w:pPr>
        <w:ind w:right="680" w:firstLine="1288"/>
        <w:spacing w:after="0" w:line="275" w:lineRule="auto"/>
        <w:tabs>
          <w:tab w:leader="none" w:pos="1912"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6"/>
          <w:szCs w:val="16"/>
          <w:color w:val="auto"/>
        </w:rPr>
      </w:pPr>
    </w:p>
    <w:p>
      <w:pPr>
        <w:ind w:right="220" w:firstLine="1288"/>
        <w:spacing w:after="0" w:line="268" w:lineRule="auto"/>
        <w:tabs>
          <w:tab w:leader="none" w:pos="1921"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Times New Roman" w:cs="Times New Roman" w:eastAsia="Times New Roman" w:hAnsi="Times New Roman"/>
          <w:sz w:val="16"/>
          <w:szCs w:val="16"/>
          <w:color w:val="auto"/>
        </w:rPr>
      </w:pPr>
    </w:p>
    <w:p>
      <w:pPr>
        <w:ind w:right="360" w:firstLine="647"/>
        <w:spacing w:after="0" w:line="293" w:lineRule="auto"/>
        <w:tabs>
          <w:tab w:leader="none" w:pos="128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6"/>
          <w:szCs w:val="16"/>
          <w:color w:val="auto"/>
        </w:rPr>
      </w:pPr>
    </w:p>
    <w:p>
      <w:pPr>
        <w:ind w:right="140" w:firstLine="1288"/>
        <w:spacing w:after="0" w:line="293" w:lineRule="auto"/>
        <w:tabs>
          <w:tab w:leader="none" w:pos="1912"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6"/>
          <w:szCs w:val="16"/>
          <w:color w:val="auto"/>
        </w:rPr>
      </w:pPr>
    </w:p>
    <w:p>
      <w:pPr>
        <w:ind w:left="1920" w:hanging="632"/>
        <w:spacing w:after="0"/>
        <w:tabs>
          <w:tab w:leader="none" w:pos="1920"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w:t>
      </w:r>
    </w:p>
    <w:p>
      <w:pPr>
        <w:spacing w:after="0" w:line="2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26, 2025</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49987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499872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Khozema Z. Shipchandler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 (Principal Executive Officer)</w:t>
      </w:r>
    </w:p>
    <w:p>
      <w:pPr>
        <w:sectPr>
          <w:pgSz w:w="11900" w:h="16838" w:orient="portrait"/>
          <w:cols w:equalWidth="0" w:num="1">
            <w:col w:w="11240"/>
          </w:cols>
          <w:pgMar w:left="320" w:top="1058"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Aidan Viggiano, certify that:</w:t>
      </w:r>
    </w:p>
    <w:p>
      <w:pPr>
        <w:spacing w:after="0" w:line="190" w:lineRule="exact"/>
        <w:rPr>
          <w:sz w:val="20"/>
          <w:szCs w:val="20"/>
          <w:color w:val="auto"/>
        </w:rPr>
      </w:pPr>
    </w:p>
    <w:p>
      <w:pPr>
        <w:ind w:left="1280" w:hanging="633"/>
        <w:spacing w:after="0"/>
        <w:tabs>
          <w:tab w:leader="none" w:pos="12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Twilio Inc.;</w:t>
      </w:r>
    </w:p>
    <w:p>
      <w:pPr>
        <w:spacing w:after="0" w:line="176" w:lineRule="exact"/>
        <w:rPr>
          <w:rFonts w:ascii="Times New Roman" w:cs="Times New Roman" w:eastAsia="Times New Roman" w:hAnsi="Times New Roman"/>
          <w:sz w:val="16"/>
          <w:szCs w:val="16"/>
          <w:color w:val="auto"/>
        </w:rPr>
      </w:pPr>
    </w:p>
    <w:p>
      <w:pPr>
        <w:ind w:right="640" w:firstLine="647"/>
        <w:spacing w:after="0" w:line="293" w:lineRule="auto"/>
        <w:tabs>
          <w:tab w:leader="none" w:pos="128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firstLine="647"/>
        <w:spacing w:after="0" w:line="275" w:lineRule="auto"/>
        <w:tabs>
          <w:tab w:leader="none" w:pos="128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6"/>
          <w:szCs w:val="16"/>
          <w:color w:val="auto"/>
        </w:rPr>
      </w:pPr>
    </w:p>
    <w:p>
      <w:pPr>
        <w:ind w:right="160" w:firstLine="647"/>
        <w:spacing w:after="0" w:line="259" w:lineRule="auto"/>
        <w:tabs>
          <w:tab w:leader="none" w:pos="128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6"/>
          <w:szCs w:val="16"/>
          <w:color w:val="auto"/>
        </w:rPr>
      </w:pPr>
    </w:p>
    <w:p>
      <w:pPr>
        <w:jc w:val="both"/>
        <w:ind w:right="200" w:firstLine="1288"/>
        <w:spacing w:after="0" w:line="268" w:lineRule="auto"/>
        <w:tabs>
          <w:tab w:leader="none" w:pos="1912"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6"/>
          <w:szCs w:val="16"/>
          <w:color w:val="auto"/>
        </w:rPr>
      </w:pPr>
    </w:p>
    <w:p>
      <w:pPr>
        <w:ind w:right="20" w:firstLine="1288"/>
        <w:spacing w:after="0" w:line="259" w:lineRule="auto"/>
        <w:tabs>
          <w:tab w:leader="none" w:pos="1921"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right="680" w:firstLine="1288"/>
        <w:spacing w:after="0" w:line="293" w:lineRule="auto"/>
        <w:tabs>
          <w:tab w:leader="none" w:pos="1912"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6"/>
          <w:szCs w:val="16"/>
          <w:color w:val="auto"/>
        </w:rPr>
      </w:pPr>
    </w:p>
    <w:p>
      <w:pPr>
        <w:ind w:right="220" w:firstLine="1288"/>
        <w:spacing w:after="0" w:line="268" w:lineRule="auto"/>
        <w:tabs>
          <w:tab w:leader="none" w:pos="1921"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Times New Roman" w:cs="Times New Roman" w:eastAsia="Times New Roman" w:hAnsi="Times New Roman"/>
          <w:sz w:val="16"/>
          <w:szCs w:val="16"/>
          <w:color w:val="auto"/>
        </w:rPr>
      </w:pPr>
    </w:p>
    <w:p>
      <w:pPr>
        <w:ind w:right="360" w:firstLine="647"/>
        <w:spacing w:after="0" w:line="275" w:lineRule="auto"/>
        <w:tabs>
          <w:tab w:leader="none" w:pos="128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6"/>
          <w:szCs w:val="16"/>
          <w:color w:val="auto"/>
        </w:rPr>
      </w:pPr>
    </w:p>
    <w:p>
      <w:pPr>
        <w:ind w:right="140" w:firstLine="1288"/>
        <w:spacing w:after="0" w:line="275" w:lineRule="auto"/>
        <w:tabs>
          <w:tab w:leader="none" w:pos="1912"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1920" w:hanging="632"/>
        <w:spacing w:after="0"/>
        <w:tabs>
          <w:tab w:leader="none" w:pos="1920"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w:t>
      </w:r>
    </w:p>
    <w:p>
      <w:pPr>
        <w:spacing w:after="0" w:line="2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 financial reporting.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26, 2025</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40500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4050030"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Aidan Viggiano</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p>
      <w:pPr>
        <w:sectPr>
          <w:pgSz w:w="11900" w:h="16838" w:orient="portrait"/>
          <w:cols w:equalWidth="0" w:num="1">
            <w:col w:w="11240"/>
          </w:cols>
          <w:pgMar w:left="320" w:top="884"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2" w:lineRule="exact"/>
        <w:rPr>
          <w:sz w:val="20"/>
          <w:szCs w:val="20"/>
          <w:color w:val="auto"/>
        </w:rPr>
      </w:pPr>
    </w:p>
    <w:p>
      <w:pPr>
        <w:jc w:val="both"/>
        <w:ind w:right="140" w:firstLine="640"/>
        <w:spacing w:after="0" w:line="259"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spacing w:after="0" w:line="152" w:lineRule="exact"/>
        <w:rPr>
          <w:sz w:val="20"/>
          <w:szCs w:val="20"/>
          <w:color w:val="auto"/>
        </w:rPr>
      </w:pPr>
    </w:p>
    <w:p>
      <w:pPr>
        <w:ind w:right="80" w:firstLine="647"/>
        <w:spacing w:after="0" w:line="293" w:lineRule="auto"/>
        <w:tabs>
          <w:tab w:leader="none" w:pos="1281"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year ended December 31, 2024, to which this Certification is attached as Exhibit 32.1 (the “Periodic Report”), fully complies with the requirements of Section 13(a) or Section 15(d) of the Exchange Act; and</w:t>
      </w:r>
    </w:p>
    <w:p>
      <w:pPr>
        <w:spacing w:after="0" w:line="111" w:lineRule="exact"/>
        <w:rPr>
          <w:rFonts w:ascii="Times New Roman" w:cs="Times New Roman" w:eastAsia="Times New Roman" w:hAnsi="Times New Roman"/>
          <w:sz w:val="16"/>
          <w:szCs w:val="16"/>
          <w:color w:val="auto"/>
        </w:rPr>
      </w:pPr>
    </w:p>
    <w:p>
      <w:pPr>
        <w:ind w:left="1280" w:hanging="633"/>
        <w:spacing w:after="0"/>
        <w:tabs>
          <w:tab w:leader="none" w:pos="12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26, 2025</w:t>
      </w:r>
    </w:p>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19050</wp:posOffset>
            </wp:positionV>
            <wp:extent cx="40500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4050030" cy="8255"/>
                    </a:xfrm>
                    <a:prstGeom prst="rect">
                      <a:avLst/>
                    </a:prstGeom>
                    <a:noFill/>
                  </pic:spPr>
                </pic:pic>
              </a:graphicData>
            </a:graphic>
          </wp:anchor>
        </w:drawing>
      </w:r>
    </w:p>
    <w:p>
      <w:pPr>
        <w:spacing w:after="0" w:line="5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Khozema Z. Shipchandler</w:t>
      </w:r>
    </w:p>
    <w:p>
      <w:pPr>
        <w:spacing w:after="0" w:line="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i w:val="1"/>
          <w:iCs w:val="1"/>
          <w:color w:val="auto"/>
        </w:rPr>
        <w:t>Chief Executive Officer (Principal Executive Officer)</w:t>
      </w:r>
    </w:p>
    <w:p>
      <w:pPr>
        <w:spacing w:after="0" w:line="2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19050</wp:posOffset>
            </wp:positionV>
            <wp:extent cx="40500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4050030" cy="8255"/>
                    </a:xfrm>
                    <a:prstGeom prst="rect">
                      <a:avLst/>
                    </a:prstGeom>
                    <a:noFill/>
                  </pic:spPr>
                </pic:pic>
              </a:graphicData>
            </a:graphic>
          </wp:anchor>
        </w:drawing>
      </w:r>
    </w:p>
    <w:p>
      <w:pPr>
        <w:spacing w:after="0" w:line="5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Aidan Viggiano</w:t>
      </w:r>
    </w:p>
    <w:p>
      <w:pPr>
        <w:spacing w:after="0" w:line="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lvl w:ilvl="1">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1)"/>
      <w:numFmt w:val="lowerLetter"/>
      <w:start w:val="1"/>
    </w:lvl>
  </w:abstractNum>
  <w:abstractNum w:abstractNumId="32">
    <w:nsid w:val="5F5E7FD0"/>
    <w:multiLevelType w:val="hybridMultilevel"/>
    <w:lvl w:ilvl="0">
      <w:lvlJc w:val="left"/>
      <w:lvlText w:val="(%1)"/>
      <w:numFmt w:val="lowerLetter"/>
      <w:start w:val="2"/>
    </w:lvl>
  </w:abstractNum>
  <w:abstractNum w:abstractNumId="33">
    <w:nsid w:val="98A3148"/>
    <w:multiLevelType w:val="hybridMultilevel"/>
    <w:lvl w:ilvl="0">
      <w:lvlJc w:val="left"/>
      <w:lvlText w:val="(%1)"/>
      <w:numFmt w:val="lowerLetter"/>
      <w:start w:val="3"/>
    </w:lvl>
  </w:abstractNum>
  <w:abstractNum w:abstractNumId="34">
    <w:nsid w:val="799D0247"/>
    <w:multiLevelType w:val="hybridMultilevel"/>
    <w:lvl w:ilvl="0">
      <w:lvlJc w:val="left"/>
      <w:lvlText w:val="(%1)"/>
      <w:numFmt w:val="lowerLetter"/>
      <w:start w:val="4"/>
    </w:lvl>
  </w:abstractNum>
  <w:abstractNum w:abstractNumId="35">
    <w:nsid w:val="6B94764"/>
    <w:multiLevelType w:val="hybridMultilevel"/>
    <w:lvl w:ilvl="0">
      <w:lvlJc w:val="left"/>
      <w:lvlText w:val="(%1)"/>
      <w:numFmt w:val="lowerLetter"/>
      <w:start w:val="5"/>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1)"/>
      <w:numFmt w:val="lowerLetter"/>
      <w:start w:val="6"/>
    </w:lvl>
  </w:abstractNum>
  <w:abstractNum w:abstractNumId="38">
    <w:nsid w:val="1EBA5D23"/>
    <w:multiLevelType w:val="hybridMultilevel"/>
    <w:lvl w:ilvl="0">
      <w:lvlJc w:val="left"/>
      <w:lvlText w:val="(%1)"/>
      <w:numFmt w:val="lowerLetter"/>
      <w:start w:val="7"/>
    </w:lvl>
  </w:abstractNum>
  <w:abstractNum w:abstractNumId="39">
    <w:nsid w:val="661E3F1E"/>
    <w:multiLevelType w:val="hybridMultilevel"/>
    <w:lvl w:ilvl="0">
      <w:lvlJc w:val="left"/>
      <w:lvlText w:val="(%1)"/>
      <w:numFmt w:val="lowerLetter"/>
      <w:start w:val="8"/>
    </w:lvl>
  </w:abstractNum>
  <w:abstractNum w:abstractNumId="40">
    <w:nsid w:val="5DC79EA8"/>
    <w:multiLevelType w:val="hybridMultilevel"/>
    <w:lvl w:ilvl="0">
      <w:lvlJc w:val="left"/>
      <w:lvlText w:val="(%1)"/>
      <w:numFmt w:val="lowerRoman"/>
      <w:start w:val="1"/>
    </w:lvl>
  </w:abstractNum>
  <w:abstractNum w:abstractNumId="41">
    <w:nsid w:val="540A471C"/>
    <w:multiLevelType w:val="hybridMultilevel"/>
    <w:lvl w:ilvl="0">
      <w:lvlJc w:val="left"/>
      <w:lvlText w:val="(%1)"/>
      <w:numFmt w:val="lowerLetter"/>
      <w:start w:val="10"/>
    </w:lvl>
  </w:abstractNum>
  <w:abstractNum w:abstractNumId="42">
    <w:nsid w:val="7BD3EE7B"/>
    <w:multiLevelType w:val="hybridMultilevel"/>
    <w:lvl w:ilvl="0">
      <w:lvlJc w:val="left"/>
      <w:lvlText w:val="(%1)"/>
      <w:numFmt w:val="lowerLetter"/>
      <w:start w:val="11"/>
    </w:lvl>
  </w:abstractNum>
  <w:abstractNum w:abstractNumId="43">
    <w:nsid w:val="51D9C564"/>
    <w:multiLevelType w:val="hybridMultilevel"/>
    <w:lvl w:ilvl="0">
      <w:lvlJc w:val="left"/>
      <w:lvlText w:val="(%1)"/>
      <w:numFmt w:val="lowerLetter"/>
      <w:start w:val="12"/>
    </w:lvl>
  </w:abstractNum>
  <w:abstractNum w:abstractNumId="44">
    <w:nsid w:val="613EFDC5"/>
    <w:multiLevelType w:val="hybridMultilevel"/>
    <w:lvl w:ilvl="0">
      <w:lvlJc w:val="left"/>
      <w:lvlText w:val="(%1)"/>
      <w:numFmt w:val="lowerLetter"/>
      <w:start w:val="13"/>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1)"/>
      <w:numFmt w:val="lowerLetter"/>
      <w:start w:val="13"/>
    </w:lvl>
    <w:lvl w:ilvl="1">
      <w:lvlJc w:val="left"/>
      <w:lvlText w:val="•"/>
      <w:numFmt w:val="bullet"/>
      <w:start w:val="1"/>
    </w:lvl>
  </w:abstractNum>
  <w:abstractNum w:abstractNumId="47">
    <w:nsid w:val="42963E5A"/>
    <w:multiLevelType w:val="hybridMultilevel"/>
    <w:lvl w:ilvl="0">
      <w:lvlJc w:val="left"/>
      <w:lvlText w:val="(%1)"/>
      <w:numFmt w:val="lowerLetter"/>
      <w:start w:val="15"/>
    </w:lvl>
  </w:abstractNum>
  <w:abstractNum w:abstractNumId="48">
    <w:nsid w:val="A0382C5"/>
    <w:multiLevelType w:val="hybridMultilevel"/>
    <w:lvl w:ilvl="0">
      <w:lvlJc w:val="left"/>
      <w:lvlText w:val="(%1)"/>
      <w:numFmt w:val="lowerLetter"/>
      <w:start w:val="16"/>
    </w:lvl>
  </w:abstractNum>
  <w:abstractNum w:abstractNumId="49">
    <w:nsid w:val="8F2B15E"/>
    <w:multiLevelType w:val="hybridMultilevel"/>
    <w:lvl w:ilvl="0">
      <w:lvlJc w:val="left"/>
      <w:lvlText w:val="(%1)"/>
      <w:numFmt w:val="lowerLetter"/>
      <w:start w:val="17"/>
    </w:lvl>
  </w:abstractNum>
  <w:abstractNum w:abstractNumId="50">
    <w:nsid w:val="1A32234B"/>
    <w:multiLevelType w:val="hybridMultilevel"/>
    <w:lvl w:ilvl="0">
      <w:lvlJc w:val="left"/>
      <w:lvlText w:val="(%1)"/>
      <w:numFmt w:val="lowerLetter"/>
      <w:start w:val="18"/>
    </w:lvl>
  </w:abstractNum>
  <w:abstractNum w:abstractNumId="51">
    <w:nsid w:val="3B0FD379"/>
    <w:multiLevelType w:val="hybridMultilevel"/>
    <w:lvl w:ilvl="0">
      <w:lvlJc w:val="left"/>
      <w:lvlText w:val="(%1)"/>
      <w:numFmt w:val="lowerLetter"/>
      <w:start w:val="19"/>
    </w:lvl>
  </w:abstractNum>
  <w:abstractNum w:abstractNumId="52">
    <w:nsid w:val="68EB2F63"/>
    <w:multiLevelType w:val="hybridMultilevel"/>
    <w:lvl w:ilvl="0">
      <w:lvlJc w:val="left"/>
      <w:lvlText w:val="(%1)"/>
      <w:numFmt w:val="lowerLetter"/>
      <w:start w:val="20"/>
    </w:lvl>
  </w:abstractNum>
  <w:abstractNum w:abstractNumId="53">
    <w:nsid w:val="4962813B"/>
    <w:multiLevelType w:val="hybridMultilevel"/>
    <w:lvl w:ilvl="0">
      <w:lvlJc w:val="left"/>
      <w:lvlText w:val="(%1)"/>
      <w:numFmt w:val="lowerLetter"/>
      <w:start w:val="21"/>
    </w:lvl>
  </w:abstractNum>
  <w:abstractNum w:abstractNumId="54">
    <w:nsid w:val="60B6DF70"/>
    <w:multiLevelType w:val="hybridMultilevel"/>
    <w:lvl w:ilvl="0">
      <w:lvlJc w:val="left"/>
      <w:lvlText w:val="(%1)"/>
      <w:numFmt w:val="lowerRoman"/>
      <w:start w:val="5"/>
    </w:lvl>
  </w:abstractNum>
  <w:abstractNum w:abstractNumId="55">
    <w:nsid w:val="6A5EE64"/>
    <w:multiLevelType w:val="hybridMultilevel"/>
    <w:lvl w:ilvl="0">
      <w:lvlJc w:val="left"/>
      <w:lvlText w:val="(%1)"/>
      <w:numFmt w:val="lowerLetter"/>
      <w:start w:val="23"/>
    </w:lvl>
  </w:abstractNum>
  <w:abstractNum w:abstractNumId="56">
    <w:nsid w:val="14330624"/>
    <w:multiLevelType w:val="hybridMultilevel"/>
    <w:lvl w:ilvl="0">
      <w:lvlJc w:val="left"/>
      <w:lvlText w:val="(%1)"/>
      <w:numFmt w:val="lowerRoman"/>
      <w:start w:val="10"/>
    </w:lvl>
  </w:abstractNum>
  <w:abstractNum w:abstractNumId="57">
    <w:nsid w:val="7FFFCA11"/>
    <w:multiLevelType w:val="hybridMultilevel"/>
    <w:lvl w:ilvl="0">
      <w:lvlJc w:val="left"/>
      <w:lvlText w:val="(%1)"/>
      <w:numFmt w:val="lowerLetter"/>
      <w:start w:val="25"/>
    </w:lvl>
  </w:abstractNum>
  <w:abstractNum w:abstractNumId="58">
    <w:nsid w:val="1A27709E"/>
    <w:multiLevelType w:val="hybridMultilevel"/>
    <w:lvl w:ilvl="0">
      <w:lvlJc w:val="left"/>
      <w:lvlText w:val="(%1)"/>
      <w:numFmt w:val="lowerLetter"/>
      <w:start w:val="26"/>
    </w:lvl>
  </w:abstractNum>
  <w:abstractNum w:abstractNumId="59">
    <w:nsid w:val="71EA1109"/>
    <w:multiLevelType w:val="hybridMultilevel"/>
    <w:lvl w:ilvl="0">
      <w:lvlJc w:val="left"/>
      <w:lvlText w:val="(%1)"/>
      <w:numFmt w:val="lowerLetter"/>
      <w:start w:val="27"/>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1."/>
      <w:numFmt w:val="decimal"/>
      <w:start w:val="3"/>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1)"/>
      <w:numFmt w:val="decimal"/>
      <w:start w:val="1"/>
    </w:lvl>
  </w:abstractNum>
  <w:abstractNum w:abstractNumId="66">
    <w:nsid w:val="76272110"/>
    <w:multiLevelType w:val="hybridMultilevel"/>
    <w:lvl w:ilvl="0">
      <w:lvlJc w:val="left"/>
      <w:lvlText w:val="(%1)"/>
      <w:numFmt w:val="decimal"/>
      <w:start w:val="2"/>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1)"/>
      <w:numFmt w:val="lowerRoman"/>
      <w:start w:val="1"/>
    </w:lvl>
  </w:abstractNum>
  <w:abstractNum w:abstractNumId="70">
    <w:nsid w:val="3222E7CD"/>
    <w:multiLevelType w:val="hybridMultilevel"/>
    <w:lvl w:ilvl="0">
      <w:lvlJc w:val="left"/>
      <w:lvlText w:val="(%1)"/>
      <w:numFmt w:val="lowerLetter"/>
      <w:start w:val="1"/>
    </w:lvl>
  </w:abstractNum>
  <w:abstractNum w:abstractNumId="71">
    <w:nsid w:val="74DE0EE3"/>
    <w:multiLevelType w:val="hybridMultilevel"/>
    <w:lvl w:ilvl="0">
      <w:lvlJc w:val="left"/>
      <w:lvlText w:val="(%1)"/>
      <w:numFmt w:val="lowerLetter"/>
      <w:start w:val="2"/>
    </w:lvl>
  </w:abstractNum>
  <w:abstractNum w:abstractNumId="72">
    <w:nsid w:val="68EBC550"/>
    <w:multiLevelType w:val="hybridMultilevel"/>
    <w:lvl w:ilvl="0">
      <w:lvlJc w:val="left"/>
      <w:lvlText w:val="(%1)"/>
      <w:numFmt w:val="lowerLetter"/>
      <w:start w:val="3"/>
    </w:lvl>
  </w:abstractNum>
  <w:abstractNum w:abstractNumId="73">
    <w:nsid w:val="2DF6D648"/>
    <w:multiLevelType w:val="hybridMultilevel"/>
    <w:lvl w:ilvl="0">
      <w:lvlJc w:val="left"/>
      <w:lvlText w:val="(%1)"/>
      <w:numFmt w:val="lowerLetter"/>
      <w:start w:val="4"/>
    </w:lvl>
  </w:abstractNum>
  <w:abstractNum w:abstractNumId="74">
    <w:nsid w:val="46B7D447"/>
    <w:multiLevelType w:val="hybridMultilevel"/>
    <w:lvl w:ilvl="0">
      <w:lvlJc w:val="left"/>
      <w:lvlText w:val="(%1)"/>
      <w:numFmt w:val="lowerRoman"/>
      <w:start w:val="1"/>
    </w:lvl>
  </w:abstractNum>
  <w:abstractNum w:abstractNumId="75">
    <w:nsid w:val="4A2AC315"/>
    <w:multiLevelType w:val="hybridMultilevel"/>
    <w:lvl w:ilvl="0">
      <w:lvlJc w:val="left"/>
      <w:lvlText w:val="(%1)"/>
      <w:numFmt w:val="decimal"/>
      <w:start w:val="1"/>
    </w:lvl>
  </w:abstractNum>
  <w:abstractNum w:abstractNumId="76">
    <w:nsid w:val="39EE015C"/>
    <w:multiLevelType w:val="hybridMultilevel"/>
    <w:lvl w:ilvl="0">
      <w:lvlJc w:val="left"/>
      <w:lvlText w:val="(%1)"/>
      <w:numFmt w:val="lowerLetter"/>
      <w:start w:val="1"/>
    </w:lvl>
  </w:abstractNum>
  <w:abstractNum w:abstractNumId="77">
    <w:nsid w:val="57FC4FBB"/>
    <w:multiLevelType w:val="hybridMultilevel"/>
    <w:lvl w:ilvl="0">
      <w:lvlJc w:val="left"/>
      <w:lvlText w:val="%1"/>
      <w:numFmt w:val="decimal"/>
      <w:start w:val="104"/>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1."/>
      <w:numFmt w:val="upperLetter"/>
      <w:start w:val="9"/>
    </w:lvl>
  </w:abstractNum>
  <w:abstractNum w:abstractNumId="83">
    <w:nsid w:val="49DA307D"/>
    <w:multiLevelType w:val="hybridMultilevel"/>
    <w:lvl w:ilvl="0">
      <w:lvlJc w:val="left"/>
      <w:lvlText w:val="(%1)"/>
      <w:numFmt w:val="decimal"/>
      <w:start w:val="2"/>
    </w:lvl>
  </w:abstractNum>
  <w:abstractNum w:abstractNumId="84">
    <w:nsid w:val="7055A5F5"/>
    <w:multiLevelType w:val="hybridMultilevel"/>
    <w:lvl w:ilvl="0">
      <w:lvlJc w:val="left"/>
      <w:lvlText w:val="%1."/>
      <w:numFmt w:val="upperLetter"/>
      <w:start w:val="35"/>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1."/>
      <w:numFmt w:val="upperLetter"/>
      <w:start w:val="6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1."/>
      <w:numFmt w:val="upperLetter"/>
      <w:start w:val="22"/>
    </w:lvl>
  </w:abstractNum>
  <w:abstractNum w:abstractNumId="91">
    <w:nsid w:val="6FC75AF8"/>
    <w:multiLevelType w:val="hybridMultilevel"/>
    <w:lvl w:ilvl="0">
      <w:lvlJc w:val="left"/>
      <w:lvlText w:val="%1."/>
      <w:numFmt w:val="upperLetter"/>
      <w:start w:val="1"/>
    </w:lvl>
  </w:abstractNum>
  <w:abstractNum w:abstractNumId="92">
    <w:nsid w:val="6A5F7029"/>
    <w:multiLevelType w:val="hybridMultilevel"/>
    <w:lvl w:ilvl="0">
      <w:lvlJc w:val="left"/>
      <w:lvlText w:val="%1."/>
      <w:numFmt w:val="upperLetter"/>
      <w:start w:val="2"/>
    </w:lvl>
  </w:abstractNum>
  <w:abstractNum w:abstractNumId="93">
    <w:nsid w:val="7D5E18F8"/>
    <w:multiLevelType w:val="hybridMultilevel"/>
    <w:lvl w:ilvl="0">
      <w:lvlJc w:val="left"/>
      <w:lvlText w:val="%1."/>
      <w:numFmt w:val="upperLetter"/>
      <w:start w:val="3"/>
    </w:lvl>
    <w:lvl w:ilvl="1">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1."/>
      <w:numFmt w:val="upperLetter"/>
      <w:start w:val="4"/>
    </w:lvl>
  </w:abstractNum>
  <w:abstractNum w:abstractNumId="96">
    <w:nsid w:val="7DE67713"/>
    <w:multiLevelType w:val="hybridMultilevel"/>
    <w:lvl w:ilvl="0">
      <w:lvlJc w:val="left"/>
      <w:lvlText w:val="%1."/>
      <w:numFmt w:val="upperLetter"/>
      <w:start w:val="5"/>
    </w:lvl>
  </w:abstractNum>
  <w:abstractNum w:abstractNumId="97">
    <w:nsid w:val="555C55B5"/>
    <w:multiLevelType w:val="hybridMultilevel"/>
    <w:lvl w:ilvl="0">
      <w:lvlJc w:val="left"/>
      <w:lvlText w:val="%1."/>
      <w:numFmt w:val="upperLetter"/>
      <w:start w:val="6"/>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76"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50" Type="http://schemas.openxmlformats.org/officeDocument/2006/relationships/hyperlink" Target="https://www.sec.gov/Archives/edgar/data/1447669/000144766924000128/twilio-arcertificateofinco.htm" TargetMode="External"/><Relationship Id="rId151" Type="http://schemas.openxmlformats.org/officeDocument/2006/relationships/hyperlink" Target="https://www.sec.gov/Archives/edgar/data/1447669/000119312525011461/d867044dex31.htm" TargetMode="External"/><Relationship Id="rId152" Type="http://schemas.openxmlformats.org/officeDocument/2006/relationships/hyperlink" Target="https://www.sec.gov/Archives/edgar/data/1447669/000144766923000139/certificateofretirementdua.htm" TargetMode="External"/><Relationship Id="rId153" Type="http://schemas.openxmlformats.org/officeDocument/2006/relationships/hyperlink" Target="https://www.sec.gov/Archives/edgar/data/0001447669/000119312521075036/d78974dex41.htm" TargetMode="External"/><Relationship Id="rId154" Type="http://schemas.openxmlformats.org/officeDocument/2006/relationships/hyperlink" Target="https://www.sec.gov/Archives/edgar/data/0001447669/000119312521075036/d78974dex42.htm" TargetMode="External"/><Relationship Id="rId155" Type="http://schemas.openxmlformats.org/officeDocument/2006/relationships/hyperlink" Target="https://www.sec.gov/Archives/edgar/data/0001447669/000144766921000070/twlo-20201231ex101formofin.htm" TargetMode="External"/><Relationship Id="rId156" Type="http://schemas.openxmlformats.org/officeDocument/2006/relationships/hyperlink" Target="https://www.sec.gov/Archives/edgar/data/0001447669/000144766921000070/twlo-20201231ex102twilio20.htm" TargetMode="External"/><Relationship Id="rId157" Type="http://schemas.openxmlformats.org/officeDocument/2006/relationships/hyperlink" Target="https://www.sec.gov/Archives/edgar/data/0001447669/000144766921000070/twlo-2020x1231ex1032016sto.htm" TargetMode="External"/><Relationship Id="rId158" Type="http://schemas.openxmlformats.org/officeDocument/2006/relationships/hyperlink" Target="https://www.sec.gov/Archives/edgar/data/1447669/000144766919000028/twlo-2019x0930ex102.htm" TargetMode="External"/><Relationship Id="rId159" Type="http://schemas.openxmlformats.org/officeDocument/2006/relationships/hyperlink" Target="https://www.sec.gov/Archives/edgar/data/1447669/000119312523045159/d490360dex101.htm" TargetMode="External"/><Relationship Id="rId160" Type="http://schemas.openxmlformats.org/officeDocument/2006/relationships/hyperlink" Target="https://www.sec.gov/Archives/edgar/data/1447669/000144766924000074/twilioincnon-employeedirec.htm" TargetMode="External"/><Relationship Id="rId161" Type="http://schemas.openxmlformats.org/officeDocument/2006/relationships/hyperlink" Target="https://www.sec.gov/Archives/edgar/data/1447669/000144766919000028/twlo-20190930ex101.htm" TargetMode="External"/><Relationship Id="rId162" Type="http://schemas.openxmlformats.org/officeDocument/2006/relationships/hyperlink" Target="https://www.sec.gov/Archives/edgar/data/1447669/000144766924000159/exhibit101twilioincamended.htm" TargetMode="External"/><Relationship Id="rId163" Type="http://schemas.openxmlformats.org/officeDocument/2006/relationships/hyperlink" Target="https://www.sec.gov/Archives/edgar/data/1447669/000144766924000159/exhibit102twilioincamended.htm" TargetMode="External"/><Relationship Id="rId164" Type="http://schemas.openxmlformats.org/officeDocument/2006/relationships/hyperlink" Target="https://www.sec.gov/Archives/edgar/data/1447669/000144766923000101/non-employeedirectorsdefer.htm" TargetMode="External"/><Relationship Id="rId165" Type="http://schemas.openxmlformats.org/officeDocument/2006/relationships/hyperlink" Target="https://www.sec.gov/Archives/edgar/data/1447669/000144766923000241/exhibit101-twilioxexecutiv.htm" TargetMode="External"/><Relationship Id="rId166" Type="http://schemas.openxmlformats.org/officeDocument/2006/relationships/hyperlink" Target="https://www.sec.gov/Archives/edgar/data/1447669/000144766922000049/twlo-20211231ex1017.htm" TargetMode="External"/><Relationship Id="rId167" Type="http://schemas.openxmlformats.org/officeDocument/2006/relationships/hyperlink" Target="https://www.sec.gov/Archives/edgar/data/1447669/000144766923000049/twlo-20221231xex1014.htm" TargetMode="External"/><Relationship Id="rId168" Type="http://schemas.openxmlformats.org/officeDocument/2006/relationships/hyperlink" Target="https://www.sec.gov/Archives/edgar/data/1447669/000119312524004000/d551551dex102.htm" TargetMode="External"/><Relationship Id="rId169" Type="http://schemas.openxmlformats.org/officeDocument/2006/relationships/hyperlink" Target="https://www.sec.gov/Archives/edgar/data/1447669/000119312524004000/d551551dex101.htm" TargetMode="External"/><Relationship Id="rId170" Type="http://schemas.openxmlformats.org/officeDocument/2006/relationships/hyperlink" Target="https://www.sec.gov/Archives/edgar/data/1447669/000119312524082747/d819874dex101.htm" TargetMode="External"/><Relationship Id="rId171" Type="http://schemas.openxmlformats.org/officeDocument/2006/relationships/hyperlink" Target="https://www.sec.gov/Archives/edgar/data/1447669/000110465918067032/a18-18985_1ex10d1.htm" TargetMode="External"/><Relationship Id="rId172" Type="http://schemas.openxmlformats.org/officeDocument/2006/relationships/hyperlink" Target="https://www.sec.gov/Archives/edgar/data/1447669/000110465918067032/a18-18985_1ex10d2.htm" TargetMode="External"/><Relationship Id="rId173" Type="http://schemas.openxmlformats.org/officeDocument/2006/relationships/hyperlink" Target="https://www.sec.gov/Archives/edgar/data/0001447669/000144766921000126/twlo-20210331xex101.htm" TargetMode="External"/><Relationship Id="rId174" Type="http://schemas.openxmlformats.org/officeDocument/2006/relationships/hyperlink" Target="https://www.sec.gov/Archives/edgar/data/1447669/000119312521249124/d208582dex21.htm" TargetMode="External"/><Relationship Id="rId175" Type="http://schemas.openxmlformats.org/officeDocument/2006/relationships/hyperlink" Target="https://www.sec.gov/Archives/edgar/data/1447669/000119312522151997/d276115dex21.htm" TargetMode="External"/><Relationship Id="rId177" Type="http://schemas.openxmlformats.org/officeDocument/2006/relationships/hyperlink" Target="https://www.sec.gov/Archives/edgar/data/1447669/000144766924000034/twlo-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2025-02-26T15:46:42Z</dcterms:created>
  <dcterms:modified xsi:type="dcterms:W3CDTF">2025-02-26T15:46:42Z</dcterms:modified>
</cp:coreProperties>
</file>