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6,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32"/>
        </w:rPr>
        <w:t>Twilio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26-2574840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Spear Street, Fifth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390-2337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8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49"/>
        <w:gridCol w:w="1344"/>
        <w:gridCol w:w="1360"/>
        <w:gridCol w:w="109"/>
        <w:gridCol w:w="109"/>
        <w:gridCol w:w="109"/>
        <w:gridCol w:w="539"/>
        <w:gridCol w:w="539"/>
        <w:gridCol w:w="541"/>
        <w:gridCol w:w="109"/>
        <w:gridCol w:w="109"/>
        <w:gridCol w:w="109"/>
        <w:gridCol w:w="1074"/>
        <w:gridCol w:w="1074"/>
        <w:gridCol w:w="1531"/>
      </w:tblGrid>
      <w:tr>
        <w:trPr/>
        <w:tc>
          <w:tcPr>
            <w:tcW w:w="154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6, 2026, Twilio Inc. (the “Company”) issued a press release announcing its financial results for the quarter ended June 30, 2026. A copy of the press release is furnished herewith as Exhibit 99.1.</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(d) Exhibits.</w:t>
      </w:r>
    </w:p>
    <w:p>
      <w:pPr>
        <w:pStyle w:val="TextBody"/>
        <w:bidi w:val="0"/>
        <w:spacing w:lineRule="auto" w:line="288" w:before="160" w:after="160"/>
        <w:jc w:val="left"/>
        <w:rPr/>
      </w:pPr>
      <w:r>
        <w:rPr>
          <w:rFonts w:ascii="Times New Roman;serif" w:hAnsi="Times New Roman;serif"/>
          <w:b/>
          <w:color w:val="000000"/>
          <w:sz w:val="20"/>
          <w:u w:val="single"/>
        </w:rPr>
        <w:t>Exhibit No.</w:t>
      </w:r>
      <w:r>
        <w:rPr>
          <w:color w:val="000000"/>
        </w:rPr>
        <w:t>    </w:t>
      </w:r>
      <w:r>
        <w:rPr>
          <w:rFonts w:ascii="Times New Roman;serif" w:hAnsi="Times New Roman;serif"/>
          <w:b/>
          <w:color w:val="000000"/>
          <w:sz w:val="20"/>
          <w:u w:val="single"/>
        </w:rPr>
        <w:t>Description</w:t>
      </w:r>
    </w:p>
    <w:p>
      <w:pPr>
        <w:pStyle w:val="TextBody"/>
        <w:bidi w:val="0"/>
        <w:spacing w:lineRule="auto" w:line="288" w:before="160" w:after="160"/>
        <w:jc w:val="left"/>
        <w:rPr/>
      </w:pPr>
      <w:hyperlink w:anchor="twloq226ex991.htm">
        <w:r>
          <w:rPr>
            <w:rStyle w:val="InternetLink"/>
          </w:rPr>
          <w:t>99.1</w:t>
        </w:r>
      </w:hyperlink>
      <w:hyperlink w:anchor="twloq226ex991.htm">
        <w:r>
          <w:rPr>
            <w:rStyle w:val="InternetLink"/>
          </w:rPr>
          <w:t>    </w:t>
        </w:r>
      </w:hyperlink>
      <w:hyperlink w:anchor="twloq226ex991.htm">
        <w:r>
          <w:rPr>
            <w:rStyle w:val="InternetLink"/>
          </w:rPr>
          <w:t>    </w:t>
        </w:r>
      </w:hyperlink>
      <w:hyperlink w:anchor="twloq226ex991.htm">
        <w:r>
          <w:rPr>
            <w:rStyle w:val="InternetLink"/>
          </w:rPr>
          <w:t>Press release issued by Twilio Inc. dated A</w:t>
        </w:r>
      </w:hyperlink>
      <w:hyperlink w:anchor="twloq226ex991.htm">
        <w:r>
          <w:rPr>
            <w:rStyle w:val="InternetLink"/>
          </w:rPr>
          <w:t>ugust 6</w:t>
        </w:r>
      </w:hyperlink>
      <w:hyperlink w:anchor="twloq226ex991.htm">
        <w:r>
          <w:rPr>
            <w:rStyle w:val="InternetLink"/>
          </w:rPr>
          <w:t>, 2026</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004" w:type="dxa"/>
        <w:jc w:val="left"/>
        <w:tblInd w:w="0" w:type="dxa"/>
        <w:tblLayout w:type="fixed"/>
        <w:tblCellMar>
          <w:top w:w="28" w:type="dxa"/>
          <w:left w:w="28" w:type="dxa"/>
          <w:bottom w:w="28" w:type="dxa"/>
          <w:right w:w="28" w:type="dxa"/>
        </w:tblCellMar>
      </w:tblPr>
      <w:tblGrid>
        <w:gridCol w:w="493"/>
        <w:gridCol w:w="435"/>
        <w:gridCol w:w="437"/>
        <w:gridCol w:w="210"/>
        <w:gridCol w:w="210"/>
        <w:gridCol w:w="210"/>
        <w:gridCol w:w="581"/>
        <w:gridCol w:w="581"/>
        <w:gridCol w:w="84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TWILIO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Aidan Viggiano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Aidan Viggiano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Twilio Announces Second Quarter 2026 Results</w:t>
      </w:r>
    </w:p>
    <w:p>
      <w:pPr>
        <w:pStyle w:val="TextBody"/>
        <w:bidi w:val="0"/>
        <w:spacing w:before="0" w:after="60"/>
        <w:jc w:val="center"/>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color w:val="000000"/>
          <w:sz w:val="20"/>
        </w:rPr>
        <w:t>Revenue of</w:t>
      </w:r>
      <w:r>
        <w:rPr>
          <w:color w:val="000000"/>
        </w:rPr>
        <w:t xml:space="preserve"> </w:t>
      </w:r>
      <w:r>
        <w:rPr>
          <w:rFonts w:ascii="Times New Roman;serif" w:hAnsi="Times New Roman;serif"/>
          <w:b/>
          <w:color w:val="000000"/>
          <w:sz w:val="20"/>
        </w:rPr>
        <w:t>$1.50 billion, up 22% reported and 17% organic year-over-year</w:t>
      </w:r>
    </w:p>
    <w:p>
      <w:pPr>
        <w:pStyle w:val="TextBody"/>
        <w:bidi w:val="0"/>
        <w:spacing w:lineRule="auto" w:line="288" w:before="0" w:after="0"/>
        <w:ind w:left="0" w:right="0" w:hanging="180"/>
        <w:jc w:val="left"/>
        <w:rPr/>
      </w:pPr>
      <w:r>
        <w:rPr>
          <w:color w:val="000000"/>
        </w:rPr>
        <w:t>•</w:t>
      </w:r>
      <w:r>
        <w:rPr>
          <w:rFonts w:ascii="Times New Roman;serif" w:hAnsi="Times New Roman;serif"/>
          <w:b/>
          <w:color w:val="000000"/>
          <w:sz w:val="20"/>
        </w:rPr>
        <w:t>GAAP gross profit of $726 million, up 20% year-over-year</w:t>
      </w:r>
    </w:p>
    <w:p>
      <w:pPr>
        <w:pStyle w:val="TextBody"/>
        <w:bidi w:val="0"/>
        <w:spacing w:lineRule="auto" w:line="288" w:before="0" w:after="0"/>
        <w:ind w:left="0" w:right="0" w:hanging="180"/>
        <w:jc w:val="left"/>
        <w:rPr/>
      </w:pPr>
      <w:r>
        <w:rPr>
          <w:color w:val="000000"/>
        </w:rPr>
        <w:t>•</w:t>
      </w:r>
      <w:r>
        <w:rPr>
          <w:rFonts w:ascii="Times New Roman;serif" w:hAnsi="Times New Roman;serif"/>
          <w:b/>
          <w:color w:val="000000"/>
          <w:sz w:val="20"/>
        </w:rPr>
        <w:t>Non-GAAP gross profit of $736 million, up 18% year-over-year</w:t>
      </w:r>
    </w:p>
    <w:p>
      <w:pPr>
        <w:pStyle w:val="TextBody"/>
        <w:bidi w:val="0"/>
        <w:spacing w:lineRule="auto" w:line="288" w:before="0" w:after="0"/>
        <w:ind w:left="0" w:right="0" w:hanging="180"/>
        <w:jc w:val="left"/>
        <w:rPr/>
      </w:pPr>
      <w:r>
        <w:rPr>
          <w:color w:val="000000"/>
        </w:rPr>
        <w:t>•</w:t>
      </w:r>
      <w:r>
        <w:rPr>
          <w:rFonts w:ascii="Times New Roman;serif" w:hAnsi="Times New Roman;serif"/>
          <w:b/>
          <w:color w:val="000000"/>
          <w:sz w:val="20"/>
        </w:rPr>
        <w:t>GAAP Income from Operations of $85 million</w:t>
      </w:r>
    </w:p>
    <w:p>
      <w:pPr>
        <w:pStyle w:val="TextBody"/>
        <w:bidi w:val="0"/>
        <w:spacing w:lineRule="auto" w:line="288" w:before="0" w:after="0"/>
        <w:ind w:left="0" w:right="0" w:hanging="180"/>
        <w:jc w:val="left"/>
        <w:rPr/>
      </w:pPr>
      <w:r>
        <w:rPr>
          <w:color w:val="000000"/>
        </w:rPr>
        <w:t>•</w:t>
      </w:r>
      <w:r>
        <w:rPr>
          <w:rFonts w:ascii="Times New Roman;serif" w:hAnsi="Times New Roman;serif"/>
          <w:b/>
          <w:color w:val="000000"/>
          <w:sz w:val="20"/>
        </w:rPr>
        <w:t>Non-GAAP Income from Operations of $285 million</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SAN FRANCISCO--(BUSINESS WIRE)--August 6, 2026--Twilio (NYSE: TWLO), the infrastructure for customer engagement in the AI era, reported financial results for its second quarter ended June 30, 2026.</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18"/>
        </w:rPr>
        <w:t>We are in a powerful new chapter at Twilio, marked by another quarter of organic growth acceleration as well as record profitability and free cash flow,” said Khozema Shipchandler, CEO of Twilio. “At SIGNAL, we unveiled a revamped Twilio platform giving customers the building blocks they need to power rich, lifelong conversations. In a world where humans and AI agents increasingly work side by side, Twilio is providing the infrastructure to power them both.”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Second Quarter 2026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Revenue of $1.50 billion, up 22% year-over-year. Organic revenue growth was 17%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GAAP gross profit of $725.9 million, up 20%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Non-GAAP gross profit of $735.7 million, up 18%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GAAP income from operations of $84.5 million, up 129%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Non-GAAP income from operations of $284.6 million, up 29%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GAAP net income per share attributable to common stockholders, diluted, of $6.68 based on 159.7 million weighted average shares outstanding, compared with GAAP net income per share attributable to common stockholders, diluted, of $0.14 based on 159.7 million weighted average shares outstanding in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GAAP net income per share attributable to common stock holders, diluted, included a non-cash benefit of $5.91 per share associated with the release of a significant portion of the valuation allowance against Twilio’s U.S. deferred tax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Non-GAAP net income per share attributable to common stockholders, diluted, of $1.47 based on 159.7 million non-GAAP weighted average shares outstanding, compared with non-GAAP net income per share attributable to common stockholders, diluted, of $1.19 based on 159.7 million non-GAAP weighted average shares outstanding in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Net cash provided by operating activities of $372.4 million and free cash flow of $352.6 million, compared with net cash provided by operating activities of $277.1 million and free cash flow of $263.5 million for the second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18"/>
        </w:rPr>
      </w:pPr>
      <w:r>
        <w:rPr>
          <w:rFonts w:ascii="Times New Roman;serif" w:hAnsi="Times New Roman;serif"/>
          <w:b/>
          <w:color w:val="000000"/>
          <w:sz w:val="18"/>
        </w:rPr>
        <w:t>Key Metrics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Dollar-Based Net Expansion Rate of 116% for the second quarter of 2026 compared to Dollar-Based Net Expansion Rate of 108% for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5,492 employees as of June 30,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8546" w:type="dxa"/>
        <w:jc w:val="center"/>
        <w:tblInd w:w="0" w:type="dxa"/>
        <w:tblLayout w:type="fixed"/>
        <w:tblCellMar>
          <w:top w:w="28" w:type="dxa"/>
          <w:left w:w="28" w:type="dxa"/>
          <w:bottom w:w="28" w:type="dxa"/>
          <w:right w:w="28" w:type="dxa"/>
        </w:tblCellMar>
      </w:tblPr>
      <w:tblGrid>
        <w:gridCol w:w="1205"/>
        <w:gridCol w:w="1064"/>
        <w:gridCol w:w="1064"/>
        <w:gridCol w:w="781"/>
        <w:gridCol w:w="781"/>
        <w:gridCol w:w="788"/>
        <w:gridCol w:w="250"/>
        <w:gridCol w:w="250"/>
        <w:gridCol w:w="251"/>
        <w:gridCol w:w="225"/>
        <w:gridCol w:w="225"/>
        <w:gridCol w:w="226"/>
        <w:gridCol w:w="354"/>
        <w:gridCol w:w="354"/>
        <w:gridCol w:w="356"/>
        <w:gridCol w:w="109"/>
        <w:gridCol w:w="109"/>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per share amounts</w:t>
            </w:r>
          </w:p>
        </w:tc>
        <w:tc>
          <w:tcPr>
            <w:tcW w:w="2491" w:type="dxa"/>
            <w:gridSpan w:val="9"/>
            <w:tcBorders>
              <w:top w:val="single" w:sz="8" w:space="0" w:color="FFFFFF"/>
              <w:left w:val="single" w:sz="8"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w:t>
              <w:br/>
              <w:t>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68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9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6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Revenue Growth</w:t>
            </w:r>
          </w:p>
        </w:tc>
        <w:tc>
          <w:tcPr>
            <w:tcW w:w="24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Organic Revenue Growth</w:t>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676"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Margin</w:t>
            </w:r>
          </w:p>
        </w:tc>
        <w:tc>
          <w:tcPr>
            <w:tcW w:w="106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2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$726</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$736</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GAAP income from operations </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income attributable to common stockholders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$1,067</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attributable to common stockholders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6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income per share attributable to common stockholders, diluted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$6.68</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attributable to common stockholders, diluted</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Share Repurchase Program</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 January 2025, Twilio’s Board of Directors authorized a share repurchase program pursuant to which Twilio may repurchase up to $2.0 billion in aggregate value of its outstanding Class A common stock (“common stock”). The program is set to expire on December 31, 2027. During the second quarter of 2026, Twilio repurchased $66.0 million in aggregate value of shares of common stock. To date, Twilio has completed approximately $1.2 billion of aggregate repurchases and has $826.0 million of the originally authorized amount available for future repurchases as of June 30, 2026. </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Outlook</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For the third quarter ending September 30, 2026, Twilio is initiating a revenue range of $1.505 to $1.515 billion, which implies a reported revenue growth range of 16% to 16.5% and an organic revenue growth range of 11% to 12% year-over-year. In addition, Twilio is initiating a third quarter non-GAAP income from operations range of $285 to $295 million. Lastly, Twilio expects third quarter non-GAAP diluted earnings per share in a range of $1.42 to $1.47, based on non-GAAP weighted average diluted shares outstanding of 160 million.</w:t>
      </w:r>
    </w:p>
    <w:tbl>
      <w:tblPr>
        <w:tblW w:w="5786" w:type="dxa"/>
        <w:jc w:val="left"/>
        <w:tblInd w:w="0" w:type="dxa"/>
        <w:tblLayout w:type="fixed"/>
        <w:tblCellMar>
          <w:top w:w="28" w:type="dxa"/>
          <w:left w:w="28" w:type="dxa"/>
          <w:bottom w:w="28" w:type="dxa"/>
          <w:right w:w="28" w:type="dxa"/>
        </w:tblCellMar>
      </w:tblPr>
      <w:tblGrid>
        <w:gridCol w:w="768"/>
        <w:gridCol w:w="679"/>
        <w:gridCol w:w="679"/>
        <w:gridCol w:w="679"/>
        <w:gridCol w:w="679"/>
        <w:gridCol w:w="685"/>
        <w:gridCol w:w="109"/>
        <w:gridCol w:w="109"/>
        <w:gridCol w:w="109"/>
        <w:gridCol w:w="377"/>
        <w:gridCol w:w="377"/>
        <w:gridCol w:w="536"/>
      </w:tblGrid>
      <w:tr>
        <w:trPr/>
        <w:tc>
          <w:tcPr>
            <w:tcW w:w="7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169"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and shares in millions, except per share amounts</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2026</w:t>
              <w:br/>
              <w:t>Guidance</w:t>
            </w:r>
          </w:p>
        </w:tc>
      </w:tr>
      <w:tr>
        <w:trPr/>
        <w:tc>
          <w:tcPr>
            <w:tcW w:w="41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$1,505 - $1,515</w:t>
            </w:r>
          </w:p>
        </w:tc>
      </w:tr>
      <w:tr>
        <w:trPr/>
        <w:tc>
          <w:tcPr>
            <w:tcW w:w="41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Revenue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16% - 16.5%</w:t>
            </w:r>
          </w:p>
        </w:tc>
      </w:tr>
      <w:tr>
        <w:trPr/>
        <w:tc>
          <w:tcPr>
            <w:tcW w:w="416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Organic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11% - 12%</w:t>
            </w:r>
          </w:p>
        </w:tc>
      </w:tr>
      <w:tr>
        <w:trPr/>
        <w:tc>
          <w:tcPr>
            <w:tcW w:w="4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$285 - $295</w:t>
            </w:r>
          </w:p>
        </w:tc>
      </w:tr>
      <w:tr>
        <w:trPr/>
        <w:tc>
          <w:tcPr>
            <w:tcW w:w="416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diluted earnings per share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$1.42 - $1.47</w:t>
            </w:r>
          </w:p>
        </w:tc>
      </w:tr>
      <w:tr>
        <w:trPr/>
        <w:tc>
          <w:tcPr>
            <w:tcW w:w="41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weighted average 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bottom w:val="single" w:sz="8" w:space="0" w:color="FFFFFF"/>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r>
    </w:tbl>
    <w:p>
      <w:pPr>
        <w:pStyle w:val="TextBody"/>
        <w:bidi w:val="0"/>
        <w:spacing w:lineRule="auto" w:line="288" w:before="120" w:after="283"/>
        <w:jc w:val="left"/>
        <w:rPr/>
      </w:pPr>
      <w:r>
        <w:rPr>
          <w:rFonts w:ascii="Times New Roman;serif" w:hAnsi="Times New Roman;serif"/>
          <w:b w:val="false"/>
          <w:color w:val="000000"/>
          <w:sz w:val="18"/>
        </w:rPr>
        <w:br/>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diluted earnings per share guidance assumes no impact from volatility of foreign exchange rates.</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For fiscal year 2026, Twilio is raising its reported revenue growth range to 18% to 18.5% compared with 14% to 15% previously, and its organic revenue growth range to 13% to 13.5% year-over-year compared with 9.5% to 10.5% previously. In addition, Twilio expects full-year non-GAAP gross profit growth to be similar to its organic revenue growth range. Lastly, Twilio is raising its 2026 non-GAAP income from operations range to $1.135 billion to $1.155 billion compared to $1.08 billion to $1.10 billion previously, and raising its 2026 free cash flow range to $1.135 billion to $1.155 billion compared to $1.08 billion to $1.10 billion previously.</w:t>
      </w:r>
    </w:p>
    <w:tbl>
      <w:tblPr>
        <w:tblW w:w="4343" w:type="dxa"/>
        <w:jc w:val="left"/>
        <w:tblInd w:w="0" w:type="dxa"/>
        <w:tblLayout w:type="fixed"/>
        <w:tblCellMar>
          <w:top w:w="28" w:type="dxa"/>
          <w:left w:w="28" w:type="dxa"/>
          <w:bottom w:w="28" w:type="dxa"/>
          <w:right w:w="28" w:type="dxa"/>
        </w:tblCellMar>
      </w:tblPr>
      <w:tblGrid>
        <w:gridCol w:w="506"/>
        <w:gridCol w:w="444"/>
        <w:gridCol w:w="444"/>
        <w:gridCol w:w="444"/>
        <w:gridCol w:w="444"/>
        <w:gridCol w:w="444"/>
        <w:gridCol w:w="109"/>
        <w:gridCol w:w="109"/>
        <w:gridCol w:w="109"/>
        <w:gridCol w:w="377"/>
        <w:gridCol w:w="377"/>
        <w:gridCol w:w="536"/>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726"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FY26</w:t>
              <w:br/>
              <w:t>Guidance</w:t>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18% - 18.5%</w:t>
            </w:r>
          </w:p>
        </w:tc>
      </w:tr>
      <w:tr>
        <w:trPr/>
        <w:tc>
          <w:tcPr>
            <w:tcW w:w="272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Y/Y Organic Revenue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 - 13.5%</w:t>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$1,135 - $1,155</w:t>
            </w:r>
          </w:p>
        </w:tc>
      </w:tr>
      <w:tr>
        <w:trPr/>
        <w:tc>
          <w:tcPr>
            <w:tcW w:w="272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$1,135 - $1,155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160"/>
        <w:jc w:val="left"/>
        <w:rPr>
          <w:rFonts w:ascii="Times New Roman;serif" w:hAnsi="Times New Roman;serif"/>
          <w:b/>
          <w:color w:val="000000"/>
          <w:sz w:val="18"/>
        </w:rPr>
      </w:pPr>
      <w:r>
        <w:rPr>
          <w:rFonts w:ascii="Times New Roman;serif" w:hAnsi="Times New Roman;serif"/>
          <w:b/>
          <w:color w:val="000000"/>
          <w:sz w:val="18"/>
        </w:rPr>
        <w:t>Conference Call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Twilio is hosting a Q&amp;A conference call today, August 6, 2026, to discuss its second quarter 2026 financial results. The conference call will begin at 2:00 p.m. (PT) / 5:00 p.m. (ET), and investors and analysts should register for the webcast in advance by visiting https://edge.media-server.com/mmc/p/tbyrninc/. The live webcast of the conference call, as well as a replay, and Twilio’s supplemental earnings presentation, will be available on the investor relations website.</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Twilio uses its investor relations website, its X feed (@twilio) and its LinkedIn page as a means of disclosing material non-public information and for complying with its disclosure obligations under Regulation FD.</w:t>
      </w:r>
    </w:p>
    <w:p>
      <w:pPr>
        <w:pStyle w:val="TextBody"/>
        <w:bidi w:val="0"/>
        <w:spacing w:lineRule="auto" w:line="288" w:before="160" w:after="160"/>
        <w:jc w:val="left"/>
        <w:rPr>
          <w:rFonts w:ascii="Times New Roman;serif" w:hAnsi="Times New Roman;serif"/>
          <w:b/>
          <w:color w:val="000000"/>
          <w:sz w:val="18"/>
        </w:rPr>
      </w:pPr>
      <w:r>
        <w:rPr>
          <w:rFonts w:ascii="Times New Roman;serif" w:hAnsi="Times New Roman;serif"/>
          <w:b/>
          <w:color w:val="000000"/>
          <w:sz w:val="18"/>
        </w:rPr>
        <w:t>About Twilio Inc.</w:t>
      </w:r>
    </w:p>
    <w:p>
      <w:pPr>
        <w:pStyle w:val="TextBody"/>
        <w:bidi w:val="0"/>
        <w:spacing w:lineRule="auto" w:line="288" w:before="120" w:after="160"/>
        <w:jc w:val="left"/>
        <w:rPr>
          <w:rFonts w:ascii="Times New Roman;serif" w:hAnsi="Times New Roman;serif"/>
          <w:b w:val="false"/>
          <w:color w:val="000000"/>
          <w:sz w:val="18"/>
        </w:rPr>
      </w:pPr>
      <w:r>
        <w:rPr>
          <w:rFonts w:ascii="Times New Roman;serif" w:hAnsi="Times New Roman;serif"/>
          <w:b w:val="false"/>
          <w:color w:val="000000"/>
          <w:sz w:val="18"/>
        </w:rPr>
        <w:t>Twilio (NYSE: TWLO) provides the infrastructure for customer engagement in the AI era. By combining global communications, memory, and AI orchestration with identity, governance, and observability, Twilio enables businesses to deliver continuous, contextual, personal, and secure conversations across every channel and participant—human or AI.</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Across 180+ countries, hundreds of thousands of the most innovative companies—from the Fortune 500 to startups—and millions of developers, rely on Twilio’s global platform across messaging, voice, email, and beyond, to power trusted customer experiences that drive real results. For more information about Twilio visit www.twilio.com.</w:t>
      </w:r>
    </w:p>
    <w:p>
      <w:pPr>
        <w:pStyle w:val="TextBody"/>
        <w:bidi w:val="0"/>
        <w:spacing w:lineRule="auto" w:line="288" w:before="160" w:after="160"/>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press release and the accompanying conference call contain forward-looking statements within the meaning of the federal securities laws.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press release and the accompanying conference call include, but are not limited to, statements about: our future financial and operating performance and outlook, including our expected financial and operating results, guidance and targets, including the assumptions underlying such guidance and targets; our anticipated strategies and business plans and our ability to successfully execute them; our ability to drive growth, profitability and free cash flow; our ability to maintain cost discipline and drive operating leverage; future investments and expenses; our expectations regarding carrier fees, and our related actions, and the impact of such fees on our financial and operating performance, including guidance; our expectations regarding our margins, including regarding price actions, product mix and growth in higher-margin products; our expectations regarding capital returns to shareholders, including share repurchases; our expectations regarding revenue from ISVs and self-serve customers; our expectations regarding our cross-sell, upsell and solution selling efforts; our pipeline of new business; the benefits our customers derive from our products; our ability to expand into new and existing markets; our innovation roadmap and the development, release and adoption of our products (and the timing thereof); the effects of our go-to-market efforts to drive profitable growth and capture market share; our expectations related to being a foundational infrastructure layer in the AI era; and our expectations regarding the macroeconomic environment. You should not rely upon forward-looking statements as predictions of future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outcome of the events described in these forward-looking statements is subject to known and unknown risks, uncertainties, and other factors that may cause our actual results, performance, or achievements to differ materially from those described in the forward-looking statements, including, among other things: the impact of global economic and political conditions and uncertainties; the accuracy of our forecasts and metrics; fluctuations in our results of operations and the levels of our customers’ usage of our platform; our ability to attract and retain customers and expand their usage of our platform; our ability to develop new products and integrate our products with third-party products effectively; our ability to manage our growth and strategic changes to our business; our ability to compete effectively in intensely competitive markets; the occurrence of and our ability to manage cybersecurity breaches and other incidents impacting our networks and systems or those of our third-party service providers; our ability to manage changes in network service provider fees and optimize our network service provider coverage and connectivity; and our compliance with industry standards, laws and regulations.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forward-looking statements contained in this press release and the accompanying conference call are also subject to additional risks, uncertainties, and factors, including those more fully described in our most recent filings with the Securities and Exchange Commission, including our Annual Report on Form 10-K and subsequent Quarterly Reports on Form 10-Q. Should any of these risks materialize, or should our assumptions prove to be incorrect, actual financial results could differ materially from our projections or those implied by these forward-looking statements. Moreover, we operate in a very competitive and rapidly changing environment, and new risks and uncertainties may emerge that could have an impact on the forward-looking statements contained in this press release and the accompanying conference call.</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All forward-looking statements contained in this press release and the accompanying conference call represent our management’s beliefs and assumptions only as of the date such statements are made and we do not assume any obligation to update any forward-looking statements to reflect events or circumstances occurring after the date on which the statements were made, or to reflect new information or the occurrence of unanticipated events, except as required by law.</w:t>
      </w:r>
    </w:p>
    <w:p>
      <w:pPr>
        <w:pStyle w:val="TextBody"/>
        <w:bidi w:val="0"/>
        <w:spacing w:lineRule="auto" w:line="288" w:before="160" w:after="160"/>
        <w:jc w:val="left"/>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to financial information presented in accordance with U.S. generally accepted accounting principles (“GAAP”), this press release and the accompanying conference call include certain non-GAAP financial measures, including those listed below. We use these non-GAAP financial measures to evaluate our ongoing operations and for internal planning and forecasting purposes. We believe that these non-GAAP financial measures may be helpful to investors because they provide consistency and comparability with past financial performance, facilitate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period-to-period comparisons of results of operations and assist in comparisons with other companies, many of which use similar non-GAAP financial measures to supplement their GAAP results. We believe organic revenue and organic revenue growth are useful in understanding the ongoing results of our operations. We believe free cash flow and free cash flow margin provide useful supplemental information to help investors understand underlying trends in our business and our liquidity.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These non-GAAP financial measures are presented for supplemental informational purposes only, should not be considered substitutes for financial information presented in accordance with GAAP, and may be different from similarly-titled non-GAAP measures used by other companies. A reconciliation of these measures to the most directly comparable GAAP measures is included at the end of this press release. We have not provided the forward-looking GAAP equivalents for certain forward-looking non-GAAP measures presented in this press release and the accompanying conference call, or a GAAP reconciliation, as a result of the uncertainty regarding, and the potential variability of, reconciling items such as stock-based compensation expense. Accordingly, a reconciliation of these non-GAAP guidance metrics to their corresponding forward-looking GAAP equivalents is not available without unreasonable effort. However, it is important to note that material changes to reconciling items could have a significant effect on future GAAP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w:t>
        <w:noBreakHyphen/>
        <w:t xml:space="preserve">GAAP Gross Profit </w:t>
      </w:r>
      <w:r>
        <w:rPr>
          <w:rFonts w:ascii="Times New Roman;serif" w:hAnsi="Times New Roman;serif"/>
          <w:b w:val="false"/>
          <w:color w:val="000000"/>
          <w:sz w:val="18"/>
        </w:rPr>
        <w:t>and</w:t>
      </w:r>
      <w:r>
        <w:rPr>
          <w:color w:val="000000"/>
        </w:rPr>
        <w:t xml:space="preserve"> </w:t>
      </w:r>
      <w:r>
        <w:rPr>
          <w:rFonts w:ascii="Times New Roman;serif" w:hAnsi="Times New Roman;serif"/>
          <w:b/>
          <w:i/>
          <w:color w:val="000000"/>
          <w:sz w:val="18"/>
        </w:rPr>
        <w:t>Non</w:t>
        <w:noBreakHyphen/>
        <w:t>GAAP Gross Margin.</w:t>
      </w:r>
      <w:r>
        <w:rPr>
          <w:color w:val="000000"/>
        </w:rPr>
        <w:t xml:space="preserve"> </w:t>
      </w:r>
      <w:r>
        <w:rPr>
          <w:rFonts w:ascii="Times New Roman;serif" w:hAnsi="Times New Roman;serif"/>
          <w:b w:val="false"/>
          <w:color w:val="000000"/>
          <w:sz w:val="18"/>
        </w:rPr>
        <w:t>For the periods presented, we define non</w:t>
        <w:noBreakHyphen/>
        <w:t>GAAP gross profit and non</w:t>
        <w:noBreakHyphen/>
        <w:t xml:space="preserve">GAAP gross margin as GAAP gross profit and GAAP gross margin, respectively, adjusted to exclude stock-based compensation, amortization of acquired intangibles and payroll taxes related to stock-based compensation.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w:t>
        <w:noBreakHyphen/>
        <w:t xml:space="preserve">GAAP Income from Operations </w:t>
      </w:r>
      <w:r>
        <w:rPr>
          <w:rFonts w:ascii="Times New Roman;serif" w:hAnsi="Times New Roman;serif"/>
          <w:b w:val="false"/>
          <w:color w:val="000000"/>
          <w:sz w:val="18"/>
        </w:rPr>
        <w:t>and</w:t>
      </w:r>
      <w:r>
        <w:rPr>
          <w:color w:val="000000"/>
        </w:rPr>
        <w:t xml:space="preserve"> </w:t>
      </w:r>
      <w:r>
        <w:rPr>
          <w:rFonts w:ascii="Times New Roman;serif" w:hAnsi="Times New Roman;serif"/>
          <w:b/>
          <w:i/>
          <w:color w:val="000000"/>
          <w:sz w:val="18"/>
        </w:rPr>
        <w:t>Non</w:t>
        <w:noBreakHyphen/>
        <w:t xml:space="preserve">GAAP Operating Margin. </w:t>
      </w:r>
      <w:r>
        <w:rPr>
          <w:rFonts w:ascii="Times New Roman;serif" w:hAnsi="Times New Roman;serif"/>
          <w:b w:val="false"/>
          <w:color w:val="000000"/>
          <w:sz w:val="18"/>
        </w:rPr>
        <w:t>For the periods presented, we define non</w:t>
        <w:noBreakHyphen/>
        <w:t>GAAP income from operations and non</w:t>
        <w:noBreakHyphen/>
        <w:t xml:space="preserve">GAAP operating margin as GAAP income from operations and GAAP operating margin, respectively, adjusted to exclude, as applicable, stock-based compensation, amortization of acquired intangibles, loss on net assets divested, acquisition and divestiture related expenses, payroll taxes related to stock-based compensation, charitable contributions, restructuring costs, impairment of long-lived assets, gains or losses on lease termination, and impairment loss on prepaid assets.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w:t>
        <w:noBreakHyphen/>
        <w:t xml:space="preserve">GAAP Net Income Attributable to Common Stockholders </w:t>
      </w:r>
      <w:r>
        <w:rPr>
          <w:rFonts w:ascii="Times New Roman;serif" w:hAnsi="Times New Roman;serif"/>
          <w:b w:val="false"/>
          <w:color w:val="000000"/>
          <w:sz w:val="18"/>
        </w:rPr>
        <w:t>and</w:t>
      </w:r>
      <w:r>
        <w:rPr>
          <w:color w:val="000000"/>
        </w:rPr>
        <w:t xml:space="preserve"> </w:t>
      </w:r>
      <w:r>
        <w:rPr>
          <w:rFonts w:ascii="Times New Roman;serif" w:hAnsi="Times New Roman;serif"/>
          <w:b/>
          <w:i/>
          <w:color w:val="000000"/>
          <w:sz w:val="18"/>
        </w:rPr>
        <w:t>Non</w:t>
        <w:noBreakHyphen/>
        <w:t>GAAP Net Income Per Share Attributable to Common Stockholders.</w:t>
      </w:r>
      <w:r>
        <w:rPr>
          <w:color w:val="000000"/>
        </w:rPr>
        <w:t xml:space="preserve"> </w:t>
      </w:r>
      <w:r>
        <w:rPr>
          <w:rFonts w:ascii="Times New Roman;serif" w:hAnsi="Times New Roman;serif"/>
          <w:b w:val="false"/>
          <w:color w:val="000000"/>
          <w:sz w:val="18"/>
        </w:rPr>
        <w:t>For the periods presented, we define non-GAAP net income attributable to common stockholders and non</w:t>
        <w:noBreakHyphen/>
        <w:t xml:space="preserve">GAAP net income per share attributable to common stockholders, diluted (which we refer to as “non-GAAP diluted earnings per share”) as GAAP net income (loss) attributable to common stockholders and GAAP net income (loss) per share attributable to common stockholders, diluted, respectively, adjusted to exclude, as applicable, stock-based compensation, amortization of acquired intangibles, loss on net assets divested, acquisition and divestiture related expenses, losses (gains) on strategic investments, payroll taxes related to stock-based compensation, accretion of debt discount and issuance costs, provision of income tax effects related to non-GAAP adjustments, income tax benefit related to acquisitions, charitable contributions, share of losses from equity method investment, impairment of equity method investment, restructuring costs, impairment of long-lived assets, gains or losses on or impairment of strategic investments, gains or losses on lease termination, and impairment loss on prepaid assets.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Organic Revenue.</w:t>
      </w:r>
      <w:r>
        <w:rPr>
          <w:color w:val="000000"/>
        </w:rPr>
        <w:t xml:space="preserve"> </w:t>
      </w:r>
      <w:r>
        <w:rPr>
          <w:rFonts w:ascii="Times New Roman;serif" w:hAnsi="Times New Roman;serif"/>
          <w:b w:val="false"/>
          <w:color w:val="000000"/>
          <w:sz w:val="18"/>
        </w:rPr>
        <w:t>For the periods presented, we define organic revenue as GAAP revenue, excluding (i) revenue from each acquired business and revenue from incremental increases to application-to-person (“A2P”) fees imposed by major U.S. carriers on our core messaging business, in each case until the beginning of the first full quarter following the one-year anniversary of the closing date of such acquisition or the initial date such fees were charged and (ii) revenue from each divested business beginning in the quarter of the closing date of such divestiture; provided that (a) if an acquisition closes or such fees are initially charged on the first day of a quarter, such revenue will be included in organic revenue beginning on the one-year anniversary of the closing date of such acquisition or the initial date such fees were charged and (b) if a divestiture closes on the last day of a quarter, such revenue will be included in organic revenue for that quarter. As used in this definition, A2P fees refers to fees imposed by U.S. mobile carriers for A2P messages delivered to their subscribers, and we pass these fees to our messaging customers at cost.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Organic Revenue Growth.</w:t>
      </w:r>
      <w:r>
        <w:rPr>
          <w:color w:val="000000"/>
        </w:rPr>
        <w:t xml:space="preserve"> </w:t>
      </w:r>
      <w:r>
        <w:rPr>
          <w:rFonts w:ascii="Times New Roman;serif" w:hAnsi="Times New Roman;serif"/>
          <w:b w:val="false"/>
          <w:color w:val="000000"/>
          <w:sz w:val="18"/>
        </w:rPr>
        <w:t>For the periods presented, we calculate organic revenue growth by dividing (i) organic revenue for the period presented less organic revenue in the comparative period by (ii) organic revenue in the comparative period. If revenue from certain acquisitions, divestitures or A2P fees is included or excluded in organic revenue in the period presented, then revenue from the same acquisitions, divestitures and A2P fees is included or excluded in organic revenue in the comparative period for purposes of the organic revenue growth calculation. As a result, organic revenue used in this calculation for the comparative period will not always equal organic revenue reported for the comparative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Free Cash Flow </w:t>
      </w:r>
      <w:r>
        <w:rPr>
          <w:rFonts w:ascii="Times New Roman;serif" w:hAnsi="Times New Roman;serif"/>
          <w:b w:val="false"/>
          <w:color w:val="000000"/>
          <w:sz w:val="18"/>
        </w:rPr>
        <w:t>and</w:t>
      </w:r>
      <w:r>
        <w:rPr>
          <w:color w:val="000000"/>
        </w:rPr>
        <w:t xml:space="preserve"> </w:t>
      </w:r>
      <w:r>
        <w:rPr>
          <w:rFonts w:ascii="Times New Roman;serif" w:hAnsi="Times New Roman;serif"/>
          <w:b/>
          <w:i/>
          <w:color w:val="000000"/>
          <w:sz w:val="18"/>
        </w:rPr>
        <w:t>Free Cash Flow Margin.</w:t>
      </w:r>
      <w:r>
        <w:rPr>
          <w:color w:val="000000"/>
        </w:rPr>
        <w:t xml:space="preserve"> </w:t>
      </w:r>
      <w:r>
        <w:rPr>
          <w:rFonts w:ascii="Times New Roman;serif" w:hAnsi="Times New Roman;serif"/>
          <w:b w:val="false"/>
          <w:color w:val="000000"/>
          <w:sz w:val="18"/>
        </w:rPr>
        <w:t>For the periods presented, we define free cash flow as net cash provided by operating activities, excluding capitalized software development costs and purchases of long-lived assets, and we define free cash flow margin as free cash flow divided by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Metrics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xml:space="preserve">We review a number of operational and financial metrics, including Dollar-Based Net Expansion Rate (“DBNE”), to evaluate our business, measure our performance, identify trends affecting our business, formulate business plans and make strategic decisions. Our DBNE is not based on any standardized industry methodology and is not necessarily calculated in the same manner or comparable to similarly titled measures presented by other companies. Similarly, our DBNE may differ from estimates published by third parties or from similarly titled metrics of our competitors due to differences in methodology. The numbers that we use to calculate DBNE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their accuracy. If investors or analysts do not perceive our metrics to be accurate representations of our business, or if we discover material inaccuracies in our metrics, our reputation, business, results of operations, and financial condition would be harmed.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Dollar-Based Net Expansion Rate. </w:t>
      </w:r>
      <w:r>
        <w:rPr>
          <w:rFonts w:ascii="Times New Roman;serif" w:hAnsi="Times New Roman;serif"/>
          <w:b w:val="false"/>
          <w:color w:val="000000"/>
          <w:sz w:val="18"/>
        </w:rPr>
        <w:t>Our DBNE compares the total revenue in a quarter from all individual customer accounts, as identified by a unique account identifier, 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pStyle w:val="TextBody"/>
        <w:bidi w:val="0"/>
        <w:spacing w:lineRule="auto" w:line="276" w:before="160" w:after="160"/>
        <w:jc w:val="left"/>
        <w:rPr>
          <w:rFonts w:ascii="Times New Roman;serif" w:hAnsi="Times New Roman;serif"/>
          <w:b w:val="false"/>
          <w:color w:val="000000"/>
          <w:sz w:val="18"/>
        </w:rPr>
      </w:pPr>
      <w:r>
        <w:rPr>
          <w:rFonts w:ascii="Times New Roman;serif" w:hAnsi="Times New Roman;serif"/>
          <w:b w:val="false"/>
          <w:color w:val="000000"/>
          <w:sz w:val="18"/>
        </w:rPr>
        <w:t>Source: Twilio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Operations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shares and per share amounts)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1"/>
        <w:gridCol w:w="2159"/>
        <w:gridCol w:w="2175"/>
        <w:gridCol w:w="109"/>
        <w:gridCol w:w="109"/>
        <w:gridCol w:w="109"/>
        <w:gridCol w:w="196"/>
        <w:gridCol w:w="871"/>
        <w:gridCol w:w="109"/>
        <w:gridCol w:w="109"/>
        <w:gridCol w:w="109"/>
        <w:gridCol w:w="109"/>
        <w:gridCol w:w="196"/>
        <w:gridCol w:w="871"/>
        <w:gridCol w:w="109"/>
        <w:gridCol w:w="109"/>
        <w:gridCol w:w="109"/>
        <w:gridCol w:w="156"/>
      </w:tblGrid>
      <w:tr>
        <w:trPr/>
        <w:tc>
          <w:tcPr>
            <w:tcW w:w="249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tbl>
      <w:tblPr>
        <w:tblW w:w="7649" w:type="dxa"/>
        <w:jc w:val="left"/>
        <w:tblInd w:w="0" w:type="dxa"/>
        <w:tblLayout w:type="fixed"/>
        <w:tblCellMar>
          <w:top w:w="28" w:type="dxa"/>
          <w:left w:w="28" w:type="dxa"/>
          <w:bottom w:w="28" w:type="dxa"/>
          <w:right w:w="28" w:type="dxa"/>
        </w:tblCellMar>
      </w:tblPr>
      <w:tblGrid>
        <w:gridCol w:w="1485"/>
        <w:gridCol w:w="1302"/>
        <w:gridCol w:w="1307"/>
        <w:gridCol w:w="109"/>
        <w:gridCol w:w="109"/>
        <w:gridCol w:w="109"/>
        <w:gridCol w:w="196"/>
        <w:gridCol w:w="961"/>
        <w:gridCol w:w="109"/>
        <w:gridCol w:w="109"/>
        <w:gridCol w:w="109"/>
        <w:gridCol w:w="109"/>
        <w:gridCol w:w="262"/>
        <w:gridCol w:w="1167"/>
        <w:gridCol w:w="206"/>
      </w:tblGrid>
      <w:tr>
        <w:trPr/>
        <w:tc>
          <w:tcPr>
            <w:tcW w:w="148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682,335 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1,788,007 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636,736 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3,576,728 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5,291,787 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887,008 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1,949,344 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16,148,190 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(8,342,464)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7,821,546 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Cash Flows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59"/>
        <w:gridCol w:w="2250"/>
        <w:gridCol w:w="2261"/>
        <w:gridCol w:w="109"/>
        <w:gridCol w:w="109"/>
        <w:gridCol w:w="109"/>
        <w:gridCol w:w="196"/>
        <w:gridCol w:w="871"/>
        <w:gridCol w:w="109"/>
        <w:gridCol w:w="109"/>
        <w:gridCol w:w="109"/>
        <w:gridCol w:w="109"/>
        <w:gridCol w:w="196"/>
        <w:gridCol w:w="736"/>
        <w:gridCol w:w="109"/>
        <w:gridCol w:w="109"/>
        <w:gridCol w:w="155"/>
      </w:tblGrid>
      <w:tr>
        <w:trPr/>
        <w:tc>
          <w:tcPr>
            <w:tcW w:w="255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related to release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 and payments related to prior period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shares of Class A common stock issued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Financial Measures to Non-GAAP Financial Measures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6705" w:type="dxa"/>
        <w:jc w:val="left"/>
        <w:tblInd w:w="0" w:type="dxa"/>
        <w:tblLayout w:type="fixed"/>
        <w:tblCellMar>
          <w:top w:w="28" w:type="dxa"/>
          <w:left w:w="28" w:type="dxa"/>
          <w:bottom w:w="28" w:type="dxa"/>
          <w:right w:w="28" w:type="dxa"/>
        </w:tblCellMar>
      </w:tblPr>
      <w:tblGrid>
        <w:gridCol w:w="1313"/>
        <w:gridCol w:w="1156"/>
        <w:gridCol w:w="1161"/>
        <w:gridCol w:w="109"/>
        <w:gridCol w:w="109"/>
        <w:gridCol w:w="109"/>
        <w:gridCol w:w="196"/>
        <w:gridCol w:w="736"/>
        <w:gridCol w:w="256"/>
        <w:gridCol w:w="109"/>
        <w:gridCol w:w="109"/>
        <w:gridCol w:w="109"/>
        <w:gridCol w:w="196"/>
        <w:gridCol w:w="736"/>
        <w:gridCol w:w="301"/>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GAAP gross profit growth (Y/Y)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622,902 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gross profit growth (Y/Y)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6839" w:type="dxa"/>
        <w:jc w:val="center"/>
        <w:tblInd w:w="0" w:type="dxa"/>
        <w:tblLayout w:type="fixed"/>
        <w:tblCellMar>
          <w:top w:w="28" w:type="dxa"/>
          <w:left w:w="28" w:type="dxa"/>
          <w:bottom w:w="28" w:type="dxa"/>
          <w:right w:w="28" w:type="dxa"/>
        </w:tblCellMar>
      </w:tblPr>
      <w:tblGrid>
        <w:gridCol w:w="1363"/>
        <w:gridCol w:w="1196"/>
        <w:gridCol w:w="1205"/>
        <w:gridCol w:w="109"/>
        <w:gridCol w:w="109"/>
        <w:gridCol w:w="109"/>
        <w:gridCol w:w="196"/>
        <w:gridCol w:w="736"/>
        <w:gridCol w:w="256"/>
        <w:gridCol w:w="109"/>
        <w:gridCol w:w="109"/>
        <w:gridCol w:w="109"/>
        <w:gridCol w:w="196"/>
        <w:gridCol w:w="736"/>
        <w:gridCol w:w="301"/>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GAAP income from operations growth (Y/Y)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220,543 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 growth (Y/Y)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tbl>
      <w:tblPr>
        <w:tblW w:w="7700" w:type="dxa"/>
        <w:jc w:val="left"/>
        <w:tblInd w:w="0" w:type="dxa"/>
        <w:tblLayout w:type="fixed"/>
        <w:tblCellMar>
          <w:top w:w="28" w:type="dxa"/>
          <w:left w:w="28" w:type="dxa"/>
          <w:bottom w:w="28" w:type="dxa"/>
          <w:right w:w="28" w:type="dxa"/>
        </w:tblCellMar>
      </w:tblPr>
      <w:tblGrid>
        <w:gridCol w:w="1733"/>
        <w:gridCol w:w="1523"/>
        <w:gridCol w:w="1528"/>
        <w:gridCol w:w="109"/>
        <w:gridCol w:w="109"/>
        <w:gridCol w:w="109"/>
        <w:gridCol w:w="196"/>
        <w:gridCol w:w="871"/>
        <w:gridCol w:w="109"/>
        <w:gridCol w:w="109"/>
        <w:gridCol w:w="109"/>
        <w:gridCol w:w="109"/>
        <w:gridCol w:w="196"/>
        <w:gridCol w:w="736"/>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GAAP net income attributable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of income tax effects related to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Financial Measures to Non-GAAP Financial Measures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shares and per share amounts)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1"/>
        <w:gridCol w:w="2332"/>
        <w:gridCol w:w="2340"/>
        <w:gridCol w:w="109"/>
        <w:gridCol w:w="109"/>
        <w:gridCol w:w="109"/>
        <w:gridCol w:w="255"/>
        <w:gridCol w:w="608"/>
        <w:gridCol w:w="143"/>
        <w:gridCol w:w="133"/>
        <w:gridCol w:w="133"/>
        <w:gridCol w:w="133"/>
        <w:gridCol w:w="255"/>
        <w:gridCol w:w="606"/>
        <w:gridCol w:w="199"/>
      </w:tblGrid>
      <w:tr>
        <w:trPr/>
        <w:tc>
          <w:tcPr>
            <w:tcW w:w="2741"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7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GAAP net income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of income tax effects related to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Weighted-average shares used to compute non-GAAP net income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159,708,166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w:t>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Some columns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to Non-GAAP Financial Measures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5007" w:type="dxa"/>
        <w:jc w:val="left"/>
        <w:tblInd w:w="0" w:type="dxa"/>
        <w:tblLayout w:type="fixed"/>
        <w:tblCellMar>
          <w:top w:w="28" w:type="dxa"/>
          <w:left w:w="28" w:type="dxa"/>
          <w:bottom w:w="28" w:type="dxa"/>
          <w:right w:w="28" w:type="dxa"/>
        </w:tblCellMar>
      </w:tblPr>
      <w:tblGrid>
        <w:gridCol w:w="886"/>
        <w:gridCol w:w="775"/>
        <w:gridCol w:w="783"/>
        <w:gridCol w:w="109"/>
        <w:gridCol w:w="109"/>
        <w:gridCol w:w="109"/>
        <w:gridCol w:w="260"/>
        <w:gridCol w:w="1156"/>
        <w:gridCol w:w="339"/>
        <w:gridCol w:w="109"/>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Organic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A2P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(71,050)</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1,426,379 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Revenue Y/Y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Revenue Y/Y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17%</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4"/>
        </w:rPr>
        <w:t>¹</w:t>
      </w:r>
      <w:r>
        <w:rPr>
          <w:color w:val="000000"/>
        </w:rPr>
        <w:t xml:space="preserve"> </w:t>
      </w:r>
      <w:r>
        <w:rPr>
          <w:rFonts w:ascii="Times New Roman;serif" w:hAnsi="Times New Roman;serif"/>
          <w:b w:val="false"/>
          <w:color w:val="000000"/>
          <w:sz w:val="18"/>
        </w:rPr>
        <w:t>Organic revenue for the three months ended June 30, 2025, when used as the denominator for Organic Revenue Growth for the three months ended June 30, 2026, excludes $6.2 million of A2P revenue. Revenue for the three months ended June 30, 2025 was $1.23 billion.</w:t>
      </w:r>
    </w:p>
    <w:p>
      <w:pPr>
        <w:pStyle w:val="TextBody"/>
        <w:bidi w:val="0"/>
        <w:spacing w:before="0" w:after="0"/>
        <w:jc w:val="center"/>
        <w:rPr/>
      </w:pPr>
      <w:r>
        <w:rPr/>
      </w:r>
    </w:p>
    <w:tbl>
      <w:tblPr>
        <w:tblW w:w="6810" w:type="dxa"/>
        <w:jc w:val="left"/>
        <w:tblInd w:w="0" w:type="dxa"/>
        <w:tblLayout w:type="fixed"/>
        <w:tblCellMar>
          <w:top w:w="28" w:type="dxa"/>
          <w:left w:w="28" w:type="dxa"/>
          <w:bottom w:w="28" w:type="dxa"/>
          <w:right w:w="28" w:type="dxa"/>
        </w:tblCellMar>
      </w:tblPr>
      <w:tblGrid>
        <w:gridCol w:w="1319"/>
        <w:gridCol w:w="1163"/>
        <w:gridCol w:w="1178"/>
        <w:gridCol w:w="109"/>
        <w:gridCol w:w="109"/>
        <w:gridCol w:w="109"/>
        <w:gridCol w:w="196"/>
        <w:gridCol w:w="736"/>
        <w:gridCol w:w="256"/>
        <w:gridCol w:w="109"/>
        <w:gridCol w:w="109"/>
        <w:gridCol w:w="109"/>
        <w:gridCol w:w="196"/>
        <w:gridCol w:w="811"/>
        <w:gridCol w:w="301"/>
      </w:tblGrid>
      <w:tr>
        <w:trPr/>
        <w:tc>
          <w:tcPr>
            <w:tcW w:w="13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263,492 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Supplemental Stock-Based Compensation Expense Information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138" w:type="dxa"/>
        <w:jc w:val="left"/>
        <w:tblInd w:w="0" w:type="dxa"/>
        <w:tblLayout w:type="fixed"/>
        <w:tblCellMar>
          <w:top w:w="28" w:type="dxa"/>
          <w:left w:w="28" w:type="dxa"/>
          <w:bottom w:w="28" w:type="dxa"/>
          <w:right w:w="28" w:type="dxa"/>
        </w:tblCellMar>
      </w:tblPr>
      <w:tblGrid>
        <w:gridCol w:w="1596"/>
        <w:gridCol w:w="1405"/>
        <w:gridCol w:w="1408"/>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Stock-Based Compensation Expense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CONTACT: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Investor Contact: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Rodney Nelson</w:t>
      </w:r>
    </w:p>
    <w:p>
      <w:pPr>
        <w:pStyle w:val="TextBody"/>
        <w:bidi w:val="0"/>
        <w:spacing w:lineRule="auto" w:line="288"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ir@Twilio.com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Media Contact: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Caitlin Epstein</w:t>
      </w:r>
    </w:p>
    <w:p>
      <w:pPr>
        <w:pStyle w:val="TextBody"/>
        <w:bidi w:val="0"/>
        <w:spacing w:lineRule="auto" w:line="288"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press@Twilio.com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5212</Words>
  <Characters>30372</Characters>
  <CharactersWithSpaces>35199</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